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AE267" w14:textId="77777777" w:rsidR="00D43BD2" w:rsidRDefault="00D43BD2" w:rsidP="00D43BD2">
      <w:pPr>
        <w:jc w:val="both"/>
        <w:rPr>
          <w:rFonts w:ascii="Times" w:hAnsi="Times"/>
          <w:b/>
          <w:sz w:val="22"/>
          <w:szCs w:val="22"/>
        </w:rPr>
      </w:pPr>
      <w:r>
        <w:rPr>
          <w:rFonts w:ascii="Times" w:hAnsi="Times"/>
          <w:b/>
          <w:sz w:val="22"/>
          <w:szCs w:val="22"/>
        </w:rPr>
        <w:t>Supplementary Table</w:t>
      </w:r>
      <w:r w:rsidRPr="00B03BA8">
        <w:rPr>
          <w:rFonts w:ascii="Times" w:hAnsi="Times"/>
          <w:b/>
          <w:sz w:val="22"/>
          <w:szCs w:val="22"/>
        </w:rPr>
        <w:t xml:space="preserve"> 1</w:t>
      </w:r>
      <w:r>
        <w:rPr>
          <w:rFonts w:ascii="Times" w:hAnsi="Times"/>
          <w:b/>
          <w:sz w:val="22"/>
          <w:szCs w:val="22"/>
        </w:rPr>
        <w:t>a</w:t>
      </w:r>
      <w:r w:rsidRPr="00B03BA8">
        <w:rPr>
          <w:rFonts w:ascii="Times" w:hAnsi="Times"/>
          <w:b/>
          <w:sz w:val="22"/>
          <w:szCs w:val="22"/>
        </w:rPr>
        <w:t xml:space="preserve">: Primers used for amplification of DLA-DRB1, -DQA1 and </w:t>
      </w:r>
      <w:r>
        <w:rPr>
          <w:rFonts w:ascii="Times" w:hAnsi="Times"/>
          <w:b/>
          <w:sz w:val="22"/>
          <w:szCs w:val="22"/>
        </w:rPr>
        <w:t>-</w:t>
      </w:r>
      <w:r w:rsidRPr="00B03BA8">
        <w:rPr>
          <w:rFonts w:ascii="Times" w:hAnsi="Times"/>
          <w:b/>
          <w:sz w:val="22"/>
          <w:szCs w:val="22"/>
        </w:rPr>
        <w:t>DQB1 exon 2</w:t>
      </w:r>
      <w:r>
        <w:rPr>
          <w:rFonts w:ascii="Times" w:hAnsi="Times"/>
          <w:b/>
          <w:sz w:val="22"/>
          <w:szCs w:val="22"/>
        </w:rPr>
        <w:t xml:space="preserve"> (31)</w:t>
      </w:r>
    </w:p>
    <w:p w14:paraId="3DBC5519" w14:textId="77777777" w:rsidR="00D43BD2" w:rsidRPr="00A10EE3" w:rsidRDefault="00D43BD2" w:rsidP="00D43BD2">
      <w:pPr>
        <w:jc w:val="both"/>
        <w:rPr>
          <w:rFonts w:ascii="Times" w:hAnsi="Times"/>
          <w:b/>
          <w:sz w:val="22"/>
          <w:szCs w:val="22"/>
        </w:rPr>
      </w:pPr>
    </w:p>
    <w:tbl>
      <w:tblPr>
        <w:tblStyle w:val="PlainTable4"/>
        <w:tblW w:w="0" w:type="auto"/>
        <w:tblLook w:val="04A0" w:firstRow="1" w:lastRow="0" w:firstColumn="1" w:lastColumn="0" w:noHBand="0" w:noVBand="1"/>
      </w:tblPr>
      <w:tblGrid>
        <w:gridCol w:w="1288"/>
        <w:gridCol w:w="1296"/>
        <w:gridCol w:w="6350"/>
      </w:tblGrid>
      <w:tr w:rsidR="00D43BD2" w:rsidRPr="00DE5E63" w14:paraId="2791E4D8" w14:textId="77777777" w:rsidTr="009F1A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8" w:type="dxa"/>
            <w:tcBorders>
              <w:bottom w:val="single" w:sz="4" w:space="0" w:color="000000"/>
            </w:tcBorders>
            <w:shd w:val="clear" w:color="auto" w:fill="auto"/>
          </w:tcPr>
          <w:p w14:paraId="7D196516" w14:textId="77777777" w:rsidR="00D43BD2" w:rsidRPr="00DE5E63" w:rsidRDefault="00D43BD2" w:rsidP="009F1A43">
            <w:pPr>
              <w:jc w:val="both"/>
              <w:rPr>
                <w:rFonts w:ascii="Times" w:hAnsi="Times"/>
                <w:b w:val="0"/>
                <w:sz w:val="22"/>
                <w:szCs w:val="22"/>
              </w:rPr>
            </w:pPr>
            <w:r w:rsidRPr="00DE5E63">
              <w:rPr>
                <w:rFonts w:ascii="Times" w:hAnsi="Times"/>
                <w:sz w:val="22"/>
                <w:szCs w:val="22"/>
              </w:rPr>
              <w:t>Locus</w:t>
            </w:r>
          </w:p>
        </w:tc>
        <w:tc>
          <w:tcPr>
            <w:tcW w:w="1296" w:type="dxa"/>
            <w:tcBorders>
              <w:bottom w:val="single" w:sz="4" w:space="0" w:color="000000"/>
            </w:tcBorders>
            <w:shd w:val="clear" w:color="auto" w:fill="auto"/>
          </w:tcPr>
          <w:p w14:paraId="5248085C" w14:textId="77777777" w:rsidR="00D43BD2" w:rsidRPr="00DE5E63" w:rsidRDefault="00D43BD2" w:rsidP="009F1A43">
            <w:pPr>
              <w:jc w:val="both"/>
              <w:cnfStyle w:val="100000000000" w:firstRow="1" w:lastRow="0" w:firstColumn="0" w:lastColumn="0" w:oddVBand="0" w:evenVBand="0" w:oddHBand="0" w:evenHBand="0" w:firstRowFirstColumn="0" w:firstRowLastColumn="0" w:lastRowFirstColumn="0" w:lastRowLastColumn="0"/>
              <w:rPr>
                <w:rFonts w:ascii="Times" w:hAnsi="Times"/>
                <w:b w:val="0"/>
                <w:sz w:val="22"/>
                <w:szCs w:val="22"/>
              </w:rPr>
            </w:pPr>
            <w:r w:rsidRPr="00DE5E63">
              <w:rPr>
                <w:rFonts w:ascii="Times" w:hAnsi="Times"/>
                <w:sz w:val="22"/>
                <w:szCs w:val="22"/>
              </w:rPr>
              <w:t>Primer name</w:t>
            </w:r>
          </w:p>
        </w:tc>
        <w:tc>
          <w:tcPr>
            <w:tcW w:w="6350" w:type="dxa"/>
            <w:tcBorders>
              <w:bottom w:val="single" w:sz="4" w:space="0" w:color="000000"/>
            </w:tcBorders>
            <w:shd w:val="clear" w:color="auto" w:fill="auto"/>
          </w:tcPr>
          <w:p w14:paraId="30758591" w14:textId="77777777" w:rsidR="00D43BD2" w:rsidRPr="00DE5E63" w:rsidRDefault="00D43BD2" w:rsidP="009F1A43">
            <w:pPr>
              <w:jc w:val="both"/>
              <w:cnfStyle w:val="100000000000" w:firstRow="1" w:lastRow="0" w:firstColumn="0" w:lastColumn="0" w:oddVBand="0" w:evenVBand="0" w:oddHBand="0" w:evenHBand="0" w:firstRowFirstColumn="0" w:firstRowLastColumn="0" w:lastRowFirstColumn="0" w:lastRowLastColumn="0"/>
              <w:rPr>
                <w:rFonts w:ascii="Times" w:hAnsi="Times"/>
                <w:b w:val="0"/>
                <w:sz w:val="22"/>
                <w:szCs w:val="22"/>
              </w:rPr>
            </w:pPr>
            <w:r w:rsidRPr="00DE5E63">
              <w:rPr>
                <w:rFonts w:ascii="Times" w:hAnsi="Times"/>
                <w:sz w:val="22"/>
                <w:szCs w:val="22"/>
              </w:rPr>
              <w:t>Primer sequence</w:t>
            </w:r>
          </w:p>
        </w:tc>
      </w:tr>
      <w:tr w:rsidR="00D43BD2" w:rsidRPr="00DE5E63" w14:paraId="38A13925" w14:textId="77777777" w:rsidTr="009F1A43">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288" w:type="dxa"/>
            <w:tcBorders>
              <w:top w:val="single" w:sz="4" w:space="0" w:color="000000"/>
            </w:tcBorders>
            <w:shd w:val="clear" w:color="auto" w:fill="auto"/>
          </w:tcPr>
          <w:p w14:paraId="2304EBCA" w14:textId="77777777" w:rsidR="00D43BD2" w:rsidRPr="00DE5E63" w:rsidRDefault="00D43BD2" w:rsidP="009F1A43">
            <w:pPr>
              <w:jc w:val="both"/>
              <w:rPr>
                <w:rFonts w:ascii="Times" w:hAnsi="Times"/>
                <w:b w:val="0"/>
                <w:sz w:val="22"/>
                <w:szCs w:val="22"/>
              </w:rPr>
            </w:pPr>
            <w:r w:rsidRPr="00DE5E63">
              <w:rPr>
                <w:rFonts w:ascii="Times" w:hAnsi="Times"/>
                <w:b w:val="0"/>
                <w:sz w:val="22"/>
                <w:szCs w:val="22"/>
              </w:rPr>
              <w:t>DRB1</w:t>
            </w:r>
          </w:p>
        </w:tc>
        <w:tc>
          <w:tcPr>
            <w:tcW w:w="1296" w:type="dxa"/>
            <w:tcBorders>
              <w:top w:val="single" w:sz="4" w:space="0" w:color="000000"/>
            </w:tcBorders>
            <w:shd w:val="clear" w:color="auto" w:fill="auto"/>
          </w:tcPr>
          <w:p w14:paraId="0ED67C80" w14:textId="77777777" w:rsidR="00D43BD2" w:rsidRPr="00DE5E63" w:rsidRDefault="00D43BD2" w:rsidP="009F1A43">
            <w:pPr>
              <w:jc w:val="both"/>
              <w:cnfStyle w:val="000000100000" w:firstRow="0" w:lastRow="0" w:firstColumn="0" w:lastColumn="0" w:oddVBand="0" w:evenVBand="0" w:oddHBand="1" w:evenHBand="0" w:firstRowFirstColumn="0" w:firstRowLastColumn="0" w:lastRowFirstColumn="0" w:lastRowLastColumn="0"/>
              <w:rPr>
                <w:rFonts w:ascii="Times" w:hAnsi="Times"/>
                <w:sz w:val="22"/>
                <w:szCs w:val="22"/>
              </w:rPr>
            </w:pPr>
            <w:r w:rsidRPr="00DE5E63">
              <w:rPr>
                <w:rFonts w:ascii="Times" w:hAnsi="Times"/>
                <w:sz w:val="22"/>
                <w:szCs w:val="22"/>
                <w:lang w:val="en-US"/>
              </w:rPr>
              <w:t>DRBIn1</w:t>
            </w:r>
          </w:p>
        </w:tc>
        <w:tc>
          <w:tcPr>
            <w:tcW w:w="6350" w:type="dxa"/>
            <w:tcBorders>
              <w:top w:val="single" w:sz="4" w:space="0" w:color="000000"/>
            </w:tcBorders>
            <w:shd w:val="clear" w:color="auto" w:fill="auto"/>
          </w:tcPr>
          <w:p w14:paraId="5573055A" w14:textId="77777777" w:rsidR="00D43BD2" w:rsidRPr="00DE5E63" w:rsidRDefault="00D43BD2" w:rsidP="009F1A43">
            <w:pPr>
              <w:jc w:val="both"/>
              <w:cnfStyle w:val="000000100000" w:firstRow="0" w:lastRow="0" w:firstColumn="0" w:lastColumn="0" w:oddVBand="0" w:evenVBand="0" w:oddHBand="1" w:evenHBand="0" w:firstRowFirstColumn="0" w:firstRowLastColumn="0" w:lastRowFirstColumn="0" w:lastRowLastColumn="0"/>
              <w:rPr>
                <w:rFonts w:ascii="Times" w:hAnsi="Times"/>
                <w:sz w:val="22"/>
                <w:szCs w:val="22"/>
              </w:rPr>
            </w:pPr>
            <w:r w:rsidRPr="00DE5E63">
              <w:rPr>
                <w:rFonts w:ascii="Times" w:hAnsi="Times"/>
                <w:sz w:val="22"/>
                <w:szCs w:val="22"/>
              </w:rPr>
              <w:t>CCG TCC CCA CAG CAC ATT TC</w:t>
            </w:r>
          </w:p>
        </w:tc>
      </w:tr>
      <w:tr w:rsidR="00D43BD2" w:rsidRPr="00DE5E63" w14:paraId="56136842" w14:textId="77777777" w:rsidTr="009F1A43">
        <w:trPr>
          <w:trHeight w:val="389"/>
        </w:trPr>
        <w:tc>
          <w:tcPr>
            <w:cnfStyle w:val="001000000000" w:firstRow="0" w:lastRow="0" w:firstColumn="1" w:lastColumn="0" w:oddVBand="0" w:evenVBand="0" w:oddHBand="0" w:evenHBand="0" w:firstRowFirstColumn="0" w:firstRowLastColumn="0" w:lastRowFirstColumn="0" w:lastRowLastColumn="0"/>
            <w:tcW w:w="1288" w:type="dxa"/>
            <w:shd w:val="clear" w:color="auto" w:fill="auto"/>
          </w:tcPr>
          <w:p w14:paraId="1C1A060D" w14:textId="77777777" w:rsidR="00D43BD2" w:rsidRPr="00DE5E63" w:rsidRDefault="00D43BD2" w:rsidP="009F1A43">
            <w:pPr>
              <w:jc w:val="both"/>
              <w:rPr>
                <w:rFonts w:ascii="Times" w:hAnsi="Times"/>
                <w:b w:val="0"/>
                <w:sz w:val="22"/>
                <w:szCs w:val="22"/>
              </w:rPr>
            </w:pPr>
          </w:p>
        </w:tc>
        <w:tc>
          <w:tcPr>
            <w:tcW w:w="1296" w:type="dxa"/>
            <w:shd w:val="clear" w:color="auto" w:fill="auto"/>
          </w:tcPr>
          <w:p w14:paraId="2D66F0BF" w14:textId="77777777" w:rsidR="00D43BD2" w:rsidRPr="00DE5E63" w:rsidRDefault="00D43BD2" w:rsidP="009F1A43">
            <w:pPr>
              <w:jc w:val="both"/>
              <w:cnfStyle w:val="000000000000" w:firstRow="0" w:lastRow="0" w:firstColumn="0" w:lastColumn="0" w:oddVBand="0" w:evenVBand="0" w:oddHBand="0" w:evenHBand="0" w:firstRowFirstColumn="0" w:firstRowLastColumn="0" w:lastRowFirstColumn="0" w:lastRowLastColumn="0"/>
              <w:rPr>
                <w:rFonts w:ascii="Times" w:hAnsi="Times"/>
                <w:sz w:val="22"/>
                <w:szCs w:val="22"/>
              </w:rPr>
            </w:pPr>
            <w:r w:rsidRPr="00DE5E63">
              <w:rPr>
                <w:rFonts w:ascii="Times" w:hAnsi="Times"/>
                <w:sz w:val="22"/>
                <w:szCs w:val="22"/>
              </w:rPr>
              <w:t>DRBIn2T7</w:t>
            </w:r>
          </w:p>
        </w:tc>
        <w:tc>
          <w:tcPr>
            <w:tcW w:w="6350" w:type="dxa"/>
            <w:shd w:val="clear" w:color="auto" w:fill="auto"/>
          </w:tcPr>
          <w:p w14:paraId="612EA8ED" w14:textId="77777777" w:rsidR="00D43BD2" w:rsidRPr="00DE5E63" w:rsidRDefault="00D43BD2" w:rsidP="009F1A43">
            <w:pPr>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r>
              <w:rPr>
                <w:rFonts w:ascii="Times" w:hAnsi="Times"/>
                <w:sz w:val="22"/>
                <w:szCs w:val="22"/>
                <w:u w:val="single"/>
              </w:rPr>
              <w:t>TAA TAC GAC TCA CTA TAG GG</w:t>
            </w:r>
            <w:r>
              <w:rPr>
                <w:rFonts w:ascii="Times" w:hAnsi="Times"/>
                <w:sz w:val="22"/>
                <w:szCs w:val="22"/>
              </w:rPr>
              <w:t xml:space="preserve"> TGT GTC ACA CAC CTC AGC ACC A</w:t>
            </w:r>
          </w:p>
        </w:tc>
      </w:tr>
      <w:tr w:rsidR="00D43BD2" w:rsidRPr="00DE5E63" w14:paraId="37A82C13" w14:textId="77777777" w:rsidTr="009F1A43">
        <w:trPr>
          <w:cnfStyle w:val="000000100000" w:firstRow="0" w:lastRow="0" w:firstColumn="0" w:lastColumn="0" w:oddVBand="0" w:evenVBand="0" w:oddHBand="1"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288" w:type="dxa"/>
            <w:shd w:val="clear" w:color="auto" w:fill="auto"/>
          </w:tcPr>
          <w:p w14:paraId="419395DA" w14:textId="77777777" w:rsidR="00D43BD2" w:rsidRPr="00DE5E63" w:rsidRDefault="00D43BD2" w:rsidP="009F1A43">
            <w:pPr>
              <w:jc w:val="both"/>
              <w:rPr>
                <w:rFonts w:ascii="Times" w:hAnsi="Times"/>
                <w:b w:val="0"/>
                <w:sz w:val="22"/>
                <w:szCs w:val="22"/>
              </w:rPr>
            </w:pPr>
            <w:r w:rsidRPr="00DE5E63">
              <w:rPr>
                <w:rFonts w:ascii="Times" w:hAnsi="Times"/>
                <w:b w:val="0"/>
                <w:sz w:val="22"/>
                <w:szCs w:val="22"/>
              </w:rPr>
              <w:t>DQA1</w:t>
            </w:r>
          </w:p>
        </w:tc>
        <w:tc>
          <w:tcPr>
            <w:tcW w:w="1296" w:type="dxa"/>
            <w:shd w:val="clear" w:color="auto" w:fill="auto"/>
          </w:tcPr>
          <w:p w14:paraId="55E898EC" w14:textId="77777777" w:rsidR="00D43BD2" w:rsidRPr="00DE5E63" w:rsidRDefault="00D43BD2" w:rsidP="009F1A43">
            <w:pPr>
              <w:jc w:val="both"/>
              <w:cnfStyle w:val="000000100000" w:firstRow="0" w:lastRow="0" w:firstColumn="0" w:lastColumn="0" w:oddVBand="0" w:evenVBand="0" w:oddHBand="1" w:evenHBand="0" w:firstRowFirstColumn="0" w:firstRowLastColumn="0" w:lastRowFirstColumn="0" w:lastRowLastColumn="0"/>
              <w:rPr>
                <w:rFonts w:ascii="Times" w:hAnsi="Times"/>
                <w:sz w:val="22"/>
                <w:szCs w:val="22"/>
              </w:rPr>
            </w:pPr>
            <w:r w:rsidRPr="00DE5E63">
              <w:rPr>
                <w:rFonts w:ascii="Times" w:hAnsi="Times"/>
                <w:sz w:val="22"/>
                <w:szCs w:val="22"/>
              </w:rPr>
              <w:t>DQAIn1</w:t>
            </w:r>
          </w:p>
        </w:tc>
        <w:tc>
          <w:tcPr>
            <w:tcW w:w="6350" w:type="dxa"/>
            <w:shd w:val="clear" w:color="auto" w:fill="auto"/>
          </w:tcPr>
          <w:p w14:paraId="573F6F93" w14:textId="77777777" w:rsidR="00D43BD2" w:rsidRPr="00DE5E63" w:rsidRDefault="00D43BD2" w:rsidP="009F1A43">
            <w:pPr>
              <w:jc w:val="both"/>
              <w:cnfStyle w:val="000000100000" w:firstRow="0" w:lastRow="0" w:firstColumn="0" w:lastColumn="0" w:oddVBand="0" w:evenVBand="0" w:oddHBand="1" w:evenHBand="0" w:firstRowFirstColumn="0" w:firstRowLastColumn="0" w:lastRowFirstColumn="0" w:lastRowLastColumn="0"/>
              <w:rPr>
                <w:rFonts w:ascii="Times" w:hAnsi="Times"/>
                <w:sz w:val="22"/>
                <w:szCs w:val="22"/>
              </w:rPr>
            </w:pPr>
            <w:r w:rsidRPr="00DE5E63">
              <w:rPr>
                <w:rFonts w:ascii="Times" w:hAnsi="Times"/>
                <w:sz w:val="22"/>
                <w:szCs w:val="22"/>
              </w:rPr>
              <w:t>TAA GGT TCT TTT CTC CCT CT</w:t>
            </w:r>
          </w:p>
        </w:tc>
      </w:tr>
      <w:tr w:rsidR="00D43BD2" w:rsidRPr="00DE5E63" w14:paraId="61F0342B" w14:textId="77777777" w:rsidTr="009F1A43">
        <w:trPr>
          <w:trHeight w:val="330"/>
        </w:trPr>
        <w:tc>
          <w:tcPr>
            <w:cnfStyle w:val="001000000000" w:firstRow="0" w:lastRow="0" w:firstColumn="1" w:lastColumn="0" w:oddVBand="0" w:evenVBand="0" w:oddHBand="0" w:evenHBand="0" w:firstRowFirstColumn="0" w:firstRowLastColumn="0" w:lastRowFirstColumn="0" w:lastRowLastColumn="0"/>
            <w:tcW w:w="1288" w:type="dxa"/>
            <w:shd w:val="clear" w:color="auto" w:fill="auto"/>
          </w:tcPr>
          <w:p w14:paraId="49AFAE4B" w14:textId="77777777" w:rsidR="00D43BD2" w:rsidRPr="00DE5E63" w:rsidRDefault="00D43BD2" w:rsidP="009F1A43">
            <w:pPr>
              <w:jc w:val="both"/>
              <w:rPr>
                <w:rFonts w:ascii="Times" w:hAnsi="Times"/>
                <w:b w:val="0"/>
                <w:sz w:val="22"/>
                <w:szCs w:val="22"/>
              </w:rPr>
            </w:pPr>
          </w:p>
        </w:tc>
        <w:tc>
          <w:tcPr>
            <w:tcW w:w="1296" w:type="dxa"/>
            <w:shd w:val="clear" w:color="auto" w:fill="auto"/>
          </w:tcPr>
          <w:p w14:paraId="73BE4178" w14:textId="77777777" w:rsidR="00D43BD2" w:rsidRPr="00DE5E63" w:rsidRDefault="00D43BD2" w:rsidP="009F1A43">
            <w:pPr>
              <w:jc w:val="both"/>
              <w:cnfStyle w:val="000000000000" w:firstRow="0" w:lastRow="0" w:firstColumn="0" w:lastColumn="0" w:oddVBand="0" w:evenVBand="0" w:oddHBand="0" w:evenHBand="0" w:firstRowFirstColumn="0" w:firstRowLastColumn="0" w:lastRowFirstColumn="0" w:lastRowLastColumn="0"/>
              <w:rPr>
                <w:rFonts w:ascii="Times" w:hAnsi="Times"/>
                <w:sz w:val="22"/>
                <w:szCs w:val="22"/>
              </w:rPr>
            </w:pPr>
            <w:r w:rsidRPr="00DE5E63">
              <w:rPr>
                <w:rFonts w:ascii="Times" w:hAnsi="Times"/>
                <w:sz w:val="22"/>
                <w:szCs w:val="22"/>
              </w:rPr>
              <w:t>DQAIn2</w:t>
            </w:r>
          </w:p>
        </w:tc>
        <w:tc>
          <w:tcPr>
            <w:tcW w:w="6350" w:type="dxa"/>
            <w:shd w:val="clear" w:color="auto" w:fill="auto"/>
          </w:tcPr>
          <w:p w14:paraId="64E28AB5" w14:textId="77777777" w:rsidR="00D43BD2" w:rsidRPr="00DE5E63" w:rsidRDefault="00D43BD2" w:rsidP="009F1A43">
            <w:pPr>
              <w:jc w:val="both"/>
              <w:cnfStyle w:val="000000000000" w:firstRow="0" w:lastRow="0" w:firstColumn="0" w:lastColumn="0" w:oddVBand="0" w:evenVBand="0" w:oddHBand="0" w:evenHBand="0" w:firstRowFirstColumn="0" w:firstRowLastColumn="0" w:lastRowFirstColumn="0" w:lastRowLastColumn="0"/>
              <w:rPr>
                <w:rFonts w:ascii="Times" w:hAnsi="Times"/>
                <w:sz w:val="22"/>
                <w:szCs w:val="22"/>
              </w:rPr>
            </w:pPr>
            <w:r w:rsidRPr="00DE5E63">
              <w:rPr>
                <w:rFonts w:ascii="Times" w:hAnsi="Times"/>
                <w:sz w:val="22"/>
                <w:szCs w:val="22"/>
              </w:rPr>
              <w:t>GGA CAG ATT CAG TGA AGA GA</w:t>
            </w:r>
          </w:p>
        </w:tc>
      </w:tr>
      <w:tr w:rsidR="00D43BD2" w:rsidRPr="00DE5E63" w14:paraId="2D88EED3" w14:textId="77777777" w:rsidTr="009F1A43">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1288" w:type="dxa"/>
            <w:shd w:val="clear" w:color="auto" w:fill="auto"/>
          </w:tcPr>
          <w:p w14:paraId="570E3D78" w14:textId="77777777" w:rsidR="00D43BD2" w:rsidRPr="00DE5E63" w:rsidRDefault="00D43BD2" w:rsidP="009F1A43">
            <w:pPr>
              <w:jc w:val="both"/>
              <w:rPr>
                <w:rFonts w:ascii="Times" w:hAnsi="Times"/>
                <w:b w:val="0"/>
                <w:sz w:val="22"/>
                <w:szCs w:val="22"/>
              </w:rPr>
            </w:pPr>
            <w:r w:rsidRPr="00DE5E63">
              <w:rPr>
                <w:rFonts w:ascii="Times" w:hAnsi="Times"/>
                <w:b w:val="0"/>
                <w:sz w:val="22"/>
                <w:szCs w:val="22"/>
              </w:rPr>
              <w:t>DQB1</w:t>
            </w:r>
          </w:p>
        </w:tc>
        <w:tc>
          <w:tcPr>
            <w:tcW w:w="1296" w:type="dxa"/>
            <w:shd w:val="clear" w:color="auto" w:fill="auto"/>
          </w:tcPr>
          <w:p w14:paraId="58591B5B" w14:textId="77777777" w:rsidR="00D43BD2" w:rsidRPr="00DE5E63" w:rsidRDefault="00D43BD2" w:rsidP="009F1A43">
            <w:pPr>
              <w:jc w:val="both"/>
              <w:cnfStyle w:val="000000100000" w:firstRow="0" w:lastRow="0" w:firstColumn="0" w:lastColumn="0" w:oddVBand="0" w:evenVBand="0" w:oddHBand="1" w:evenHBand="0" w:firstRowFirstColumn="0" w:firstRowLastColumn="0" w:lastRowFirstColumn="0" w:lastRowLastColumn="0"/>
              <w:rPr>
                <w:rFonts w:ascii="Times" w:hAnsi="Times"/>
                <w:sz w:val="22"/>
                <w:szCs w:val="22"/>
              </w:rPr>
            </w:pPr>
            <w:r w:rsidRPr="00DE5E63">
              <w:rPr>
                <w:rFonts w:ascii="Times" w:hAnsi="Times"/>
                <w:sz w:val="22"/>
                <w:szCs w:val="22"/>
              </w:rPr>
              <w:t>DQB1BT7</w:t>
            </w:r>
          </w:p>
        </w:tc>
        <w:tc>
          <w:tcPr>
            <w:tcW w:w="6350" w:type="dxa"/>
            <w:shd w:val="clear" w:color="auto" w:fill="auto"/>
          </w:tcPr>
          <w:p w14:paraId="6D7B4813" w14:textId="77777777" w:rsidR="00D43BD2" w:rsidRPr="00DE5E63" w:rsidRDefault="00D43BD2" w:rsidP="009F1A43">
            <w:pPr>
              <w:cnfStyle w:val="000000100000" w:firstRow="0" w:lastRow="0" w:firstColumn="0" w:lastColumn="0" w:oddVBand="0" w:evenVBand="0" w:oddHBand="1" w:evenHBand="0" w:firstRowFirstColumn="0" w:firstRowLastColumn="0" w:lastRowFirstColumn="0" w:lastRowLastColumn="0"/>
              <w:rPr>
                <w:sz w:val="22"/>
                <w:szCs w:val="22"/>
              </w:rPr>
            </w:pPr>
            <w:r>
              <w:rPr>
                <w:rFonts w:ascii="Times" w:hAnsi="Times"/>
                <w:sz w:val="22"/>
                <w:szCs w:val="22"/>
                <w:u w:val="single"/>
              </w:rPr>
              <w:t>TAA TAC GAC TCA CTA TAG GG</w:t>
            </w:r>
            <w:r>
              <w:rPr>
                <w:rFonts w:ascii="Times" w:hAnsi="Times"/>
                <w:sz w:val="22"/>
                <w:szCs w:val="22"/>
              </w:rPr>
              <w:t xml:space="preserve"> CTC ACT GGC CCG GCT GTC TC</w:t>
            </w:r>
          </w:p>
        </w:tc>
      </w:tr>
      <w:tr w:rsidR="00D43BD2" w:rsidRPr="00DE5E63" w14:paraId="1F1494DA" w14:textId="77777777" w:rsidTr="009F1A43">
        <w:tc>
          <w:tcPr>
            <w:cnfStyle w:val="001000000000" w:firstRow="0" w:lastRow="0" w:firstColumn="1" w:lastColumn="0" w:oddVBand="0" w:evenVBand="0" w:oddHBand="0" w:evenHBand="0" w:firstRowFirstColumn="0" w:firstRowLastColumn="0" w:lastRowFirstColumn="0" w:lastRowLastColumn="0"/>
            <w:tcW w:w="1288" w:type="dxa"/>
            <w:tcBorders>
              <w:bottom w:val="single" w:sz="4" w:space="0" w:color="000000"/>
            </w:tcBorders>
            <w:shd w:val="clear" w:color="auto" w:fill="auto"/>
          </w:tcPr>
          <w:p w14:paraId="793EDA1C" w14:textId="77777777" w:rsidR="00D43BD2" w:rsidRPr="00DE5E63" w:rsidRDefault="00D43BD2" w:rsidP="009F1A43">
            <w:pPr>
              <w:jc w:val="both"/>
              <w:rPr>
                <w:rFonts w:ascii="Times" w:hAnsi="Times"/>
                <w:sz w:val="22"/>
                <w:szCs w:val="22"/>
              </w:rPr>
            </w:pPr>
          </w:p>
        </w:tc>
        <w:tc>
          <w:tcPr>
            <w:tcW w:w="1296" w:type="dxa"/>
            <w:tcBorders>
              <w:bottom w:val="single" w:sz="4" w:space="0" w:color="000000"/>
            </w:tcBorders>
            <w:shd w:val="clear" w:color="auto" w:fill="auto"/>
          </w:tcPr>
          <w:p w14:paraId="7B424C9E" w14:textId="77777777" w:rsidR="00D43BD2" w:rsidRPr="00DE5E63" w:rsidRDefault="00D43BD2" w:rsidP="009F1A43">
            <w:pPr>
              <w:jc w:val="both"/>
              <w:cnfStyle w:val="000000000000" w:firstRow="0" w:lastRow="0" w:firstColumn="0" w:lastColumn="0" w:oddVBand="0" w:evenVBand="0" w:oddHBand="0" w:evenHBand="0" w:firstRowFirstColumn="0" w:firstRowLastColumn="0" w:lastRowFirstColumn="0" w:lastRowLastColumn="0"/>
              <w:rPr>
                <w:rFonts w:ascii="Times" w:hAnsi="Times"/>
                <w:sz w:val="22"/>
                <w:szCs w:val="22"/>
              </w:rPr>
            </w:pPr>
            <w:r w:rsidRPr="00DE5E63">
              <w:rPr>
                <w:rFonts w:ascii="Times" w:hAnsi="Times"/>
                <w:sz w:val="22"/>
                <w:szCs w:val="22"/>
              </w:rPr>
              <w:t>DQBR2</w:t>
            </w:r>
          </w:p>
        </w:tc>
        <w:tc>
          <w:tcPr>
            <w:tcW w:w="6350" w:type="dxa"/>
            <w:tcBorders>
              <w:bottom w:val="single" w:sz="4" w:space="0" w:color="000000"/>
            </w:tcBorders>
            <w:shd w:val="clear" w:color="auto" w:fill="auto"/>
          </w:tcPr>
          <w:p w14:paraId="398251B2" w14:textId="77777777" w:rsidR="00D43BD2" w:rsidRPr="00DE5E63" w:rsidRDefault="00D43BD2" w:rsidP="009F1A43">
            <w:pPr>
              <w:pStyle w:val="p1"/>
              <w:cnfStyle w:val="000000000000" w:firstRow="0" w:lastRow="0" w:firstColumn="0" w:lastColumn="0" w:oddVBand="0" w:evenVBand="0" w:oddHBand="0" w:evenHBand="0" w:firstRowFirstColumn="0" w:firstRowLastColumn="0" w:lastRowFirstColumn="0" w:lastRowLastColumn="0"/>
              <w:rPr>
                <w:rFonts w:ascii="Times" w:hAnsi="Times"/>
                <w:sz w:val="22"/>
                <w:szCs w:val="22"/>
              </w:rPr>
            </w:pPr>
            <w:r w:rsidRPr="00DE5E63">
              <w:rPr>
                <w:rFonts w:ascii="Times" w:hAnsi="Times"/>
                <w:sz w:val="22"/>
                <w:szCs w:val="22"/>
              </w:rPr>
              <w:t>CAC CTC GCC GCT GCA ACG TG</w:t>
            </w:r>
          </w:p>
          <w:p w14:paraId="5784DCB9" w14:textId="77777777" w:rsidR="00D43BD2" w:rsidRPr="00DE5E63" w:rsidRDefault="00D43BD2" w:rsidP="009F1A43">
            <w:pPr>
              <w:jc w:val="both"/>
              <w:cnfStyle w:val="000000000000" w:firstRow="0" w:lastRow="0" w:firstColumn="0" w:lastColumn="0" w:oddVBand="0" w:evenVBand="0" w:oddHBand="0" w:evenHBand="0" w:firstRowFirstColumn="0" w:firstRowLastColumn="0" w:lastRowFirstColumn="0" w:lastRowLastColumn="0"/>
              <w:rPr>
                <w:rFonts w:ascii="Times" w:hAnsi="Times"/>
                <w:sz w:val="22"/>
                <w:szCs w:val="22"/>
              </w:rPr>
            </w:pPr>
          </w:p>
        </w:tc>
      </w:tr>
    </w:tbl>
    <w:p w14:paraId="739F3B65" w14:textId="77777777" w:rsidR="00D43BD2" w:rsidRPr="00A10EE3" w:rsidRDefault="00D43BD2" w:rsidP="00D43BD2">
      <w:pPr>
        <w:jc w:val="both"/>
        <w:rPr>
          <w:rFonts w:ascii="Times" w:hAnsi="Times"/>
          <w:color w:val="000000" w:themeColor="text1"/>
          <w:sz w:val="22"/>
          <w:szCs w:val="22"/>
        </w:rPr>
      </w:pPr>
      <w:r w:rsidRPr="00A10EE3">
        <w:rPr>
          <w:rFonts w:ascii="Times" w:hAnsi="Times"/>
          <w:color w:val="000000" w:themeColor="text1"/>
          <w:sz w:val="22"/>
          <w:szCs w:val="22"/>
        </w:rPr>
        <w:t>The T7 tailed portion is underlined</w:t>
      </w:r>
      <w:r>
        <w:rPr>
          <w:rFonts w:ascii="Times" w:hAnsi="Times"/>
          <w:color w:val="000000" w:themeColor="text1"/>
          <w:sz w:val="22"/>
          <w:szCs w:val="22"/>
        </w:rPr>
        <w:t xml:space="preserve"> where relevant </w:t>
      </w:r>
      <w:r w:rsidRPr="00A10EE3">
        <w:rPr>
          <w:rFonts w:ascii="Times" w:hAnsi="Times"/>
          <w:color w:val="000000" w:themeColor="text1"/>
          <w:sz w:val="22"/>
          <w:szCs w:val="22"/>
        </w:rPr>
        <w:t xml:space="preserve"> </w:t>
      </w:r>
    </w:p>
    <w:p w14:paraId="3EB6877B" w14:textId="77777777" w:rsidR="00D43BD2" w:rsidRDefault="00D43BD2" w:rsidP="00D43BD2">
      <w:pPr>
        <w:jc w:val="both"/>
        <w:rPr>
          <w:rFonts w:ascii="Times" w:hAnsi="Times"/>
          <w:sz w:val="22"/>
          <w:szCs w:val="22"/>
        </w:rPr>
      </w:pPr>
    </w:p>
    <w:p w14:paraId="7B7841D6" w14:textId="77777777" w:rsidR="00D43BD2" w:rsidRDefault="00D43BD2" w:rsidP="00D43BD2">
      <w:pPr>
        <w:jc w:val="both"/>
        <w:rPr>
          <w:rFonts w:ascii="Times" w:hAnsi="Times"/>
          <w:sz w:val="22"/>
          <w:szCs w:val="22"/>
        </w:rPr>
      </w:pPr>
    </w:p>
    <w:p w14:paraId="4F82ABDF" w14:textId="77777777" w:rsidR="00D43BD2" w:rsidRPr="00A10EE3" w:rsidRDefault="00D43BD2" w:rsidP="00D43BD2">
      <w:pPr>
        <w:jc w:val="both"/>
        <w:rPr>
          <w:rFonts w:ascii="Times" w:hAnsi="Times"/>
          <w:b/>
          <w:sz w:val="22"/>
          <w:szCs w:val="22"/>
        </w:rPr>
      </w:pPr>
      <w:r>
        <w:rPr>
          <w:rFonts w:ascii="Times" w:hAnsi="Times"/>
          <w:b/>
          <w:sz w:val="22"/>
          <w:szCs w:val="22"/>
        </w:rPr>
        <w:t>Supplementary Table</w:t>
      </w:r>
      <w:r w:rsidRPr="00B03BA8">
        <w:rPr>
          <w:rFonts w:ascii="Times" w:hAnsi="Times"/>
          <w:b/>
          <w:sz w:val="22"/>
          <w:szCs w:val="22"/>
        </w:rPr>
        <w:t xml:space="preserve"> 1</w:t>
      </w:r>
      <w:r>
        <w:rPr>
          <w:rFonts w:ascii="Times" w:hAnsi="Times"/>
          <w:b/>
          <w:sz w:val="22"/>
          <w:szCs w:val="22"/>
        </w:rPr>
        <w:t>b</w:t>
      </w:r>
      <w:r w:rsidRPr="00B03BA8">
        <w:rPr>
          <w:rFonts w:ascii="Times" w:hAnsi="Times"/>
          <w:b/>
          <w:sz w:val="22"/>
          <w:szCs w:val="22"/>
        </w:rPr>
        <w:t xml:space="preserve">: Primers used for amplification of DLA-DRB1, -DQA1 and </w:t>
      </w:r>
      <w:r>
        <w:rPr>
          <w:rFonts w:ascii="Times" w:hAnsi="Times"/>
          <w:b/>
          <w:sz w:val="22"/>
          <w:szCs w:val="22"/>
        </w:rPr>
        <w:t>-</w:t>
      </w:r>
      <w:r w:rsidRPr="00B03BA8">
        <w:rPr>
          <w:rFonts w:ascii="Times" w:hAnsi="Times"/>
          <w:b/>
          <w:sz w:val="22"/>
          <w:szCs w:val="22"/>
        </w:rPr>
        <w:t>DQB1 exon 2</w:t>
      </w:r>
      <w:r>
        <w:rPr>
          <w:rFonts w:ascii="Times" w:hAnsi="Times"/>
          <w:b/>
          <w:sz w:val="22"/>
          <w:szCs w:val="22"/>
        </w:rPr>
        <w:t xml:space="preserve"> in a small number of additional Samoyed samples</w:t>
      </w:r>
    </w:p>
    <w:p w14:paraId="63087109" w14:textId="77777777" w:rsidR="00D43BD2" w:rsidRPr="00B03BA8" w:rsidRDefault="00D43BD2" w:rsidP="00D43BD2">
      <w:pPr>
        <w:jc w:val="both"/>
        <w:rPr>
          <w:rFonts w:ascii="Times" w:hAnsi="Times"/>
          <w:color w:val="595959" w:themeColor="text1" w:themeTint="A6"/>
          <w:sz w:val="22"/>
          <w:szCs w:val="22"/>
        </w:rPr>
      </w:pPr>
    </w:p>
    <w:tbl>
      <w:tblPr>
        <w:tblStyle w:val="TableGrid"/>
        <w:tblW w:w="0" w:type="auto"/>
        <w:tblBorders>
          <w:top w:val="none" w:sz="0" w:space="0" w:color="auto"/>
          <w:left w:val="none" w:sz="0" w:space="0" w:color="auto"/>
          <w:bottom w:val="single" w:sz="4" w:space="0" w:color="000000"/>
          <w:right w:val="none" w:sz="0" w:space="0" w:color="auto"/>
          <w:insideH w:val="none" w:sz="0" w:space="0" w:color="auto"/>
          <w:insideV w:val="none" w:sz="0" w:space="0" w:color="auto"/>
        </w:tblBorders>
        <w:tblLayout w:type="fixed"/>
        <w:tblLook w:val="04A0" w:firstRow="1" w:lastRow="0" w:firstColumn="1" w:lastColumn="0" w:noHBand="0" w:noVBand="1"/>
      </w:tblPr>
      <w:tblGrid>
        <w:gridCol w:w="1271"/>
        <w:gridCol w:w="1276"/>
        <w:gridCol w:w="6469"/>
      </w:tblGrid>
      <w:tr w:rsidR="00D43BD2" w:rsidRPr="00DE5E63" w14:paraId="412E9A9E" w14:textId="77777777" w:rsidTr="009F1A43">
        <w:tc>
          <w:tcPr>
            <w:tcW w:w="1271" w:type="dxa"/>
            <w:tcBorders>
              <w:bottom w:val="single" w:sz="4" w:space="0" w:color="000000"/>
            </w:tcBorders>
          </w:tcPr>
          <w:p w14:paraId="55E55D1B" w14:textId="77777777" w:rsidR="00D43BD2" w:rsidRPr="00DE5E63" w:rsidRDefault="00D43BD2" w:rsidP="009F1A43">
            <w:pPr>
              <w:jc w:val="both"/>
              <w:rPr>
                <w:rFonts w:ascii="Times" w:hAnsi="Times"/>
                <w:b/>
              </w:rPr>
            </w:pPr>
            <w:r w:rsidRPr="00DE5E63">
              <w:rPr>
                <w:rFonts w:ascii="Times" w:hAnsi="Times"/>
                <w:b/>
              </w:rPr>
              <w:t>Locus</w:t>
            </w:r>
          </w:p>
        </w:tc>
        <w:tc>
          <w:tcPr>
            <w:tcW w:w="1276" w:type="dxa"/>
            <w:tcBorders>
              <w:bottom w:val="single" w:sz="4" w:space="0" w:color="000000"/>
            </w:tcBorders>
          </w:tcPr>
          <w:p w14:paraId="5B31B1CB" w14:textId="77777777" w:rsidR="00D43BD2" w:rsidRPr="00DE5E63" w:rsidRDefault="00D43BD2" w:rsidP="009F1A43">
            <w:pPr>
              <w:jc w:val="both"/>
              <w:rPr>
                <w:rFonts w:ascii="Times" w:hAnsi="Times"/>
                <w:b/>
              </w:rPr>
            </w:pPr>
            <w:r w:rsidRPr="00DE5E63">
              <w:rPr>
                <w:rFonts w:ascii="Times" w:hAnsi="Times"/>
                <w:b/>
              </w:rPr>
              <w:t>Primer name</w:t>
            </w:r>
          </w:p>
        </w:tc>
        <w:tc>
          <w:tcPr>
            <w:tcW w:w="6469" w:type="dxa"/>
            <w:tcBorders>
              <w:bottom w:val="single" w:sz="4" w:space="0" w:color="000000"/>
            </w:tcBorders>
          </w:tcPr>
          <w:p w14:paraId="1C7EA28C" w14:textId="77777777" w:rsidR="00D43BD2" w:rsidRPr="00DE5E63" w:rsidRDefault="00D43BD2" w:rsidP="009F1A43">
            <w:pPr>
              <w:jc w:val="both"/>
              <w:rPr>
                <w:rFonts w:ascii="Times" w:hAnsi="Times"/>
                <w:b/>
              </w:rPr>
            </w:pPr>
            <w:r w:rsidRPr="00DE5E63">
              <w:rPr>
                <w:rFonts w:ascii="Times" w:hAnsi="Times"/>
                <w:b/>
              </w:rPr>
              <w:t>Primer sequence</w:t>
            </w:r>
          </w:p>
        </w:tc>
      </w:tr>
      <w:tr w:rsidR="00D43BD2" w:rsidRPr="00DE5E63" w14:paraId="27397CF2" w14:textId="77777777" w:rsidTr="009F1A43">
        <w:trPr>
          <w:trHeight w:val="397"/>
        </w:trPr>
        <w:tc>
          <w:tcPr>
            <w:tcW w:w="1271" w:type="dxa"/>
            <w:vMerge w:val="restart"/>
            <w:tcBorders>
              <w:top w:val="single" w:sz="4" w:space="0" w:color="000000"/>
            </w:tcBorders>
          </w:tcPr>
          <w:p w14:paraId="33EE7D5C" w14:textId="6948A84D" w:rsidR="00D43BD2" w:rsidRPr="00DE5E63" w:rsidRDefault="00D43BD2" w:rsidP="009F1A43">
            <w:pPr>
              <w:jc w:val="both"/>
              <w:rPr>
                <w:rFonts w:ascii="Times" w:hAnsi="Times"/>
              </w:rPr>
            </w:pPr>
            <w:r w:rsidRPr="00DE5E63">
              <w:rPr>
                <w:rFonts w:ascii="Times" w:hAnsi="Times"/>
              </w:rPr>
              <w:t xml:space="preserve">DRB1 (adapted from </w:t>
            </w:r>
            <w:r w:rsidRPr="00DE5E63">
              <w:rPr>
                <w:rFonts w:ascii="Times" w:hAnsi="Times"/>
              </w:rPr>
              <w:fldChar w:fldCharType="begin" w:fldLock="1"/>
            </w:r>
            <w:r w:rsidRPr="00DE5E63">
              <w:rPr>
                <w:rFonts w:ascii="Times" w:hAnsi="Times"/>
              </w:rPr>
              <w:instrText>ADDIN CSL_CITATION {"citationItems":[{"id":"ITEM-1","itemData":{"DOI":"10.1111/j.1399-0039.1996.tb02669.x","ISSN":"00012815","abstract":"The polymorphism of the canine major histocompatibility complex class II DRB gene, DRBB1, was analyzed. Exon 2 that encodes the polymorphic β1 domain was amplified by the polymerase chain reaction (PCR). The PCR product from 250 dogs was cloned and sequenced. Eighteen alleles were identified. Most of the variation in amino acid composition occurred at positions in the peptide binding site. Inheritance of these sequences showed Mendelian segregation with one or two alleles per dog. Cluster analysis of the nucleotide and predicted amino acid sequences subdivided the canine DRBB1 alleles into three major allelic groups. The number of nonsynonymous changes was higher than the number of synonymous changes in the putative antigen recognition sites indicative of positive selection. The data generated can serve as a basis for developing a typing assay for the canine DRBB1 gene.","author":[{"dropping-particle":"","family":"Wagner","given":"J. L.","non-dropping-particle":"","parse-names":false,"suffix":""},{"dropping-particle":"","family":"Burnett","given":"R. C.","non-dropping-particle":"","parse-names":false,"suffix":""},{"dropping-particle":"","family":"Works","given":"J. D.","non-dropping-particle":"","parse-names":false,"suffix":""},{"dropping-particle":"","family":"Storb","given":"R.","non-dropping-particle":"","parse-names":false,"suffix":""}],"container-title":"Tissue Antigens","id":"ITEM-1","issue":"5","issued":{"date-parts":[["1996","11","1"]]},"page":"554-561","publisher":"Blackwell Publishing Ltd","title":"Molecular analysis of DLA-DRBB1 polymorphism","type":"article-journal","volume":"48"},"uris":["http://www.mendeley.com/documents/?uuid=5e474fc4-4d21-3373-9420-642009b50ac1"]}],"mendeley":{"formattedCitation":"(55)","plainTextFormattedCitation":"(55)","previouslyFormattedCitation":"(55)"},"properties":{"noteIndex":0},"schema":"https://github.com/citation-style-language/schema/raw/master/csl-citation.json"}</w:instrText>
            </w:r>
            <w:r w:rsidRPr="00DE5E63">
              <w:rPr>
                <w:rFonts w:ascii="Times" w:hAnsi="Times"/>
              </w:rPr>
              <w:fldChar w:fldCharType="separate"/>
            </w:r>
            <w:r w:rsidRPr="00DE5E63">
              <w:rPr>
                <w:rFonts w:ascii="Times" w:hAnsi="Times"/>
                <w:noProof/>
              </w:rPr>
              <w:t>(5</w:t>
            </w:r>
            <w:r w:rsidR="00DD14AD">
              <w:rPr>
                <w:rFonts w:ascii="Times" w:hAnsi="Times"/>
                <w:noProof/>
              </w:rPr>
              <w:t>9</w:t>
            </w:r>
            <w:r w:rsidRPr="00DE5E63">
              <w:rPr>
                <w:rFonts w:ascii="Times" w:hAnsi="Times"/>
                <w:noProof/>
              </w:rPr>
              <w:t>)</w:t>
            </w:r>
            <w:r w:rsidRPr="00DE5E63">
              <w:rPr>
                <w:rFonts w:ascii="Times" w:hAnsi="Times"/>
              </w:rPr>
              <w:fldChar w:fldCharType="end"/>
            </w:r>
            <w:r w:rsidRPr="00DE5E63">
              <w:rPr>
                <w:rFonts w:ascii="Times" w:hAnsi="Times"/>
              </w:rPr>
              <w:t>)</w:t>
            </w:r>
          </w:p>
        </w:tc>
        <w:tc>
          <w:tcPr>
            <w:tcW w:w="1276" w:type="dxa"/>
            <w:tcBorders>
              <w:top w:val="single" w:sz="4" w:space="0" w:color="000000"/>
            </w:tcBorders>
          </w:tcPr>
          <w:p w14:paraId="5F4C03B8" w14:textId="77777777" w:rsidR="00D43BD2" w:rsidRPr="00DE5E63" w:rsidRDefault="00D43BD2" w:rsidP="009F1A43">
            <w:pPr>
              <w:jc w:val="both"/>
              <w:rPr>
                <w:rFonts w:ascii="Times" w:hAnsi="Times"/>
              </w:rPr>
            </w:pPr>
            <w:r w:rsidRPr="00DE5E63">
              <w:rPr>
                <w:rFonts w:ascii="Times" w:hAnsi="Times"/>
                <w:lang w:val="en-US"/>
              </w:rPr>
              <w:t>DRBIn1</w:t>
            </w:r>
          </w:p>
        </w:tc>
        <w:tc>
          <w:tcPr>
            <w:tcW w:w="6469" w:type="dxa"/>
            <w:tcBorders>
              <w:top w:val="single" w:sz="4" w:space="0" w:color="000000"/>
            </w:tcBorders>
          </w:tcPr>
          <w:p w14:paraId="023786C2" w14:textId="77777777" w:rsidR="00D43BD2" w:rsidRPr="00DE5E63" w:rsidRDefault="00D43BD2" w:rsidP="009F1A43">
            <w:pPr>
              <w:jc w:val="both"/>
              <w:rPr>
                <w:rFonts w:ascii="Times" w:hAnsi="Times"/>
              </w:rPr>
            </w:pPr>
            <w:r w:rsidRPr="00DE5E63">
              <w:rPr>
                <w:rFonts w:ascii="Times" w:hAnsi="Times"/>
              </w:rPr>
              <w:t>CCG TCC CCA CAG CAC ATT TC</w:t>
            </w:r>
          </w:p>
        </w:tc>
      </w:tr>
      <w:tr w:rsidR="00D43BD2" w:rsidRPr="00DE5E63" w14:paraId="7639159C" w14:textId="77777777" w:rsidTr="009F1A43">
        <w:trPr>
          <w:trHeight w:val="397"/>
        </w:trPr>
        <w:tc>
          <w:tcPr>
            <w:tcW w:w="1271" w:type="dxa"/>
            <w:vMerge/>
          </w:tcPr>
          <w:p w14:paraId="637B19CB" w14:textId="77777777" w:rsidR="00D43BD2" w:rsidRPr="00DE5E63" w:rsidRDefault="00D43BD2" w:rsidP="009F1A43">
            <w:pPr>
              <w:jc w:val="both"/>
              <w:rPr>
                <w:rFonts w:ascii="Times" w:hAnsi="Times"/>
              </w:rPr>
            </w:pPr>
          </w:p>
        </w:tc>
        <w:tc>
          <w:tcPr>
            <w:tcW w:w="1276" w:type="dxa"/>
          </w:tcPr>
          <w:p w14:paraId="04997557" w14:textId="77777777" w:rsidR="00D43BD2" w:rsidRPr="00DE5E63" w:rsidRDefault="00D43BD2" w:rsidP="009F1A43">
            <w:pPr>
              <w:jc w:val="both"/>
              <w:rPr>
                <w:rFonts w:ascii="Times" w:hAnsi="Times"/>
              </w:rPr>
            </w:pPr>
            <w:r w:rsidRPr="00DE5E63">
              <w:rPr>
                <w:rFonts w:ascii="Times" w:hAnsi="Times"/>
              </w:rPr>
              <w:t>DRB1 M13 REV</w:t>
            </w:r>
          </w:p>
        </w:tc>
        <w:tc>
          <w:tcPr>
            <w:tcW w:w="6469" w:type="dxa"/>
          </w:tcPr>
          <w:p w14:paraId="0E373000" w14:textId="77777777" w:rsidR="00D43BD2" w:rsidRPr="00D5016F" w:rsidRDefault="00D43BD2" w:rsidP="009F1A43">
            <w:pPr>
              <w:rPr>
                <w:color w:val="000000" w:themeColor="text1"/>
              </w:rPr>
            </w:pPr>
            <w:r w:rsidRPr="00D5016F">
              <w:rPr>
                <w:color w:val="000000" w:themeColor="text1"/>
                <w:u w:val="single"/>
              </w:rPr>
              <w:t>TGTAAAACGACGGCCAGT</w:t>
            </w:r>
            <w:r w:rsidRPr="00D5016F">
              <w:rPr>
                <w:color w:val="000000" w:themeColor="text1"/>
              </w:rPr>
              <w:t>GTC</w:t>
            </w:r>
            <w:bookmarkStart w:id="0" w:name="_GoBack"/>
            <w:bookmarkEnd w:id="0"/>
            <w:r w:rsidRPr="00D5016F">
              <w:rPr>
                <w:color w:val="000000" w:themeColor="text1"/>
              </w:rPr>
              <w:t>ACACACCTCAGCACCA</w:t>
            </w:r>
          </w:p>
        </w:tc>
      </w:tr>
      <w:tr w:rsidR="00D43BD2" w:rsidRPr="00DE5E63" w14:paraId="628B21ED" w14:textId="77777777" w:rsidTr="009F1A43">
        <w:trPr>
          <w:trHeight w:val="397"/>
        </w:trPr>
        <w:tc>
          <w:tcPr>
            <w:tcW w:w="1271" w:type="dxa"/>
            <w:vMerge w:val="restart"/>
          </w:tcPr>
          <w:p w14:paraId="06FF08EC" w14:textId="6DB6B30C" w:rsidR="00D43BD2" w:rsidRPr="00DE5E63" w:rsidRDefault="00D43BD2" w:rsidP="009F1A43">
            <w:pPr>
              <w:jc w:val="both"/>
              <w:rPr>
                <w:rFonts w:ascii="Times" w:hAnsi="Times"/>
              </w:rPr>
            </w:pPr>
            <w:r w:rsidRPr="00DE5E63">
              <w:rPr>
                <w:rFonts w:ascii="Times" w:hAnsi="Times"/>
              </w:rPr>
              <w:t xml:space="preserve">DQA1 (adapted from </w:t>
            </w:r>
            <w:r w:rsidRPr="00DE5E63">
              <w:rPr>
                <w:rFonts w:ascii="Times" w:hAnsi="Times"/>
              </w:rPr>
              <w:fldChar w:fldCharType="begin" w:fldLock="1"/>
            </w:r>
            <w:r w:rsidRPr="00DE5E63">
              <w:rPr>
                <w:rFonts w:ascii="Times" w:hAnsi="Times"/>
              </w:rPr>
              <w:instrText>ADDIN CSL_CITATION {"citationItems":[{"id":"ITEM-1","itemData":{"DOI":"10.1111/j.1399-0039.1996.tb02629.x","ISSN":"00012815","abstract":"A full-length cDNA clone and two overlapping genomic clones corresponding to the canine DQA class II gene were isolated and sequenced. Restriction mapping and sequence data allow identification and orientation of the five exons corresponding to the alpha (α) chain. Sequence analysis of exon 2 amplified from 17 unrelated dogs of various breeds identified seven alleles. The structure of the canine DQA gene is similar to HLA-DQA1 and other mammalian DQA genes. This study will serve as a reference for developing a typing system for the DLA-DQA gene for donor and recipient matching in the canine model for organ and bone marrow transplantation.","author":[{"dropping-particle":"","family":"Wagner","given":"J. L.","non-dropping-particle":"","parse-names":false,"suffix":""},{"dropping-particle":"","family":"Burnett","given":"R. C.","non-dropping-particle":"","parse-names":false,"suffix":""},{"dropping-particle":"","family":"DeRose","given":"S. A.","non-dropping-particle":"","parse-names":false,"suffix":""},{"dropping-particle":"","family":"Storb","given":"R.","non-dropping-particle":"","parse-names":false,"suffix":""}],"container-title":"Tissue Antigens","id":"ITEM-1","issue":"3","issued":{"date-parts":[["1996","9","1"]]},"page":"199-204","publisher":"Blackwell Publishing Ltd","title":"Molecular analysis and polymorphism of the DLA-DQA gene.","type":"article-journal","volume":"48"},"uris":["http://www.mendeley.com/documents/?uuid=ba6dc259-5cb6-3249-97b5-6444a26674a0"]}],"mendeley":{"formattedCitation":"(56)","plainTextFormattedCitation":"(56)","previouslyFormattedCitation":"(56)"},"properties":{"noteIndex":0},"schema":"https://github.com/citation-style-language/schema/raw/master/csl-citation.json"}</w:instrText>
            </w:r>
            <w:r w:rsidRPr="00DE5E63">
              <w:rPr>
                <w:rFonts w:ascii="Times" w:hAnsi="Times"/>
              </w:rPr>
              <w:fldChar w:fldCharType="separate"/>
            </w:r>
            <w:r w:rsidRPr="00DE5E63">
              <w:rPr>
                <w:rFonts w:ascii="Times" w:hAnsi="Times"/>
                <w:noProof/>
              </w:rPr>
              <w:t>(</w:t>
            </w:r>
            <w:r w:rsidR="00DD14AD">
              <w:rPr>
                <w:rFonts w:ascii="Times" w:hAnsi="Times"/>
                <w:noProof/>
              </w:rPr>
              <w:t>60</w:t>
            </w:r>
            <w:r w:rsidRPr="00DE5E63">
              <w:rPr>
                <w:rFonts w:ascii="Times" w:hAnsi="Times"/>
                <w:noProof/>
              </w:rPr>
              <w:t>)</w:t>
            </w:r>
            <w:r w:rsidRPr="00DE5E63">
              <w:rPr>
                <w:rFonts w:ascii="Times" w:hAnsi="Times"/>
              </w:rPr>
              <w:fldChar w:fldCharType="end"/>
            </w:r>
            <w:r w:rsidRPr="00DE5E63">
              <w:rPr>
                <w:rFonts w:ascii="Times" w:hAnsi="Times"/>
              </w:rPr>
              <w:t>)</w:t>
            </w:r>
          </w:p>
        </w:tc>
        <w:tc>
          <w:tcPr>
            <w:tcW w:w="1276" w:type="dxa"/>
          </w:tcPr>
          <w:p w14:paraId="0105F3F8" w14:textId="77777777" w:rsidR="00D43BD2" w:rsidRPr="00DE5E63" w:rsidRDefault="00D43BD2" w:rsidP="009F1A43">
            <w:pPr>
              <w:jc w:val="both"/>
              <w:rPr>
                <w:rFonts w:ascii="Times" w:hAnsi="Times"/>
              </w:rPr>
            </w:pPr>
            <w:r w:rsidRPr="00DE5E63">
              <w:rPr>
                <w:rFonts w:ascii="Times" w:hAnsi="Times"/>
              </w:rPr>
              <w:t>DQA1 M13 FOR</w:t>
            </w:r>
          </w:p>
        </w:tc>
        <w:tc>
          <w:tcPr>
            <w:tcW w:w="6469" w:type="dxa"/>
          </w:tcPr>
          <w:p w14:paraId="5C6D2757" w14:textId="77777777" w:rsidR="00D43BD2" w:rsidRPr="00D5016F" w:rsidRDefault="00D43BD2" w:rsidP="009F1A43">
            <w:pPr>
              <w:rPr>
                <w:color w:val="000000" w:themeColor="text1"/>
              </w:rPr>
            </w:pPr>
            <w:r w:rsidRPr="00D5016F">
              <w:rPr>
                <w:color w:val="000000" w:themeColor="text1"/>
                <w:u w:val="single"/>
              </w:rPr>
              <w:t>TGTAAAACGACGGCCAGT</w:t>
            </w:r>
            <w:r w:rsidRPr="00D5016F">
              <w:rPr>
                <w:color w:val="000000" w:themeColor="text1"/>
              </w:rPr>
              <w:t>CTCAGCTGACCATGTTGC</w:t>
            </w:r>
          </w:p>
        </w:tc>
      </w:tr>
      <w:tr w:rsidR="00D43BD2" w:rsidRPr="00DE5E63" w14:paraId="71E1A2BA" w14:textId="77777777" w:rsidTr="009F1A43">
        <w:trPr>
          <w:trHeight w:val="397"/>
        </w:trPr>
        <w:tc>
          <w:tcPr>
            <w:tcW w:w="1271" w:type="dxa"/>
            <w:vMerge/>
          </w:tcPr>
          <w:p w14:paraId="0EA166EE" w14:textId="77777777" w:rsidR="00D43BD2" w:rsidRPr="00DE5E63" w:rsidRDefault="00D43BD2" w:rsidP="009F1A43">
            <w:pPr>
              <w:jc w:val="both"/>
              <w:rPr>
                <w:rFonts w:ascii="Times" w:hAnsi="Times"/>
              </w:rPr>
            </w:pPr>
          </w:p>
        </w:tc>
        <w:tc>
          <w:tcPr>
            <w:tcW w:w="1276" w:type="dxa"/>
          </w:tcPr>
          <w:p w14:paraId="60F6662A" w14:textId="77777777" w:rsidR="00D43BD2" w:rsidRPr="00DE5E63" w:rsidRDefault="00D43BD2" w:rsidP="009F1A43">
            <w:pPr>
              <w:jc w:val="both"/>
              <w:rPr>
                <w:rFonts w:ascii="Times" w:hAnsi="Times"/>
              </w:rPr>
            </w:pPr>
            <w:r w:rsidRPr="00DE5E63">
              <w:rPr>
                <w:rFonts w:ascii="Times" w:hAnsi="Times"/>
              </w:rPr>
              <w:t>DQAIn2</w:t>
            </w:r>
          </w:p>
        </w:tc>
        <w:tc>
          <w:tcPr>
            <w:tcW w:w="6469" w:type="dxa"/>
          </w:tcPr>
          <w:p w14:paraId="67BA51D1" w14:textId="77777777" w:rsidR="00D43BD2" w:rsidRPr="00DE5E63" w:rsidRDefault="00D43BD2" w:rsidP="009F1A43">
            <w:pPr>
              <w:jc w:val="both"/>
              <w:rPr>
                <w:rFonts w:ascii="Times" w:hAnsi="Times"/>
              </w:rPr>
            </w:pPr>
            <w:r w:rsidRPr="00DE5E63">
              <w:rPr>
                <w:rFonts w:ascii="Times" w:hAnsi="Times"/>
              </w:rPr>
              <w:t>GGA CAG ATT CAG TGA AGA GAG</w:t>
            </w:r>
          </w:p>
        </w:tc>
      </w:tr>
      <w:tr w:rsidR="00D43BD2" w:rsidRPr="00DE5E63" w14:paraId="1852108E" w14:textId="77777777" w:rsidTr="009F1A43">
        <w:trPr>
          <w:trHeight w:val="397"/>
        </w:trPr>
        <w:tc>
          <w:tcPr>
            <w:tcW w:w="1271" w:type="dxa"/>
            <w:vMerge w:val="restart"/>
          </w:tcPr>
          <w:p w14:paraId="782CB7AC" w14:textId="39083098" w:rsidR="00D43BD2" w:rsidRPr="00DE5E63" w:rsidRDefault="00D43BD2" w:rsidP="009F1A43">
            <w:pPr>
              <w:jc w:val="both"/>
              <w:rPr>
                <w:rFonts w:ascii="Times" w:hAnsi="Times"/>
              </w:rPr>
            </w:pPr>
            <w:r w:rsidRPr="00DE5E63">
              <w:rPr>
                <w:rFonts w:ascii="Times" w:hAnsi="Times"/>
              </w:rPr>
              <w:t xml:space="preserve">DQB1 (adapted from </w:t>
            </w:r>
            <w:r w:rsidRPr="00DE5E63">
              <w:rPr>
                <w:rFonts w:ascii="Times" w:hAnsi="Times"/>
              </w:rPr>
              <w:fldChar w:fldCharType="begin" w:fldLock="1"/>
            </w:r>
            <w:r w:rsidRPr="00DE5E63">
              <w:rPr>
                <w:rFonts w:ascii="Times" w:hAnsi="Times"/>
              </w:rPr>
              <w:instrText>ADDIN CSL_CITATION {"citationItems":[{"id":"ITEM-1","itemData":{"DOI":"10.1111/j.1399-0039.1998.tb03039.x","ISSN":"00012815","abstract":"Partial-length cDNA clones and full-length genomic clones corresponding to a complete canine DQB class II gene were isolated. Southern analyses suggested the presence of two DQB genes - one of which appeared to be a pseudogene lacking exon 2 called DQB2. The other DQB gene, called DQB1, was isolated from a genomic phage clone and contained six exons. The DQB1 clone was restriction mapped, and exon 2 was sequenced from 70 dogs. Twenty alleles were found. Most of the amino acid substitutions occurred at putative positions in the peptide binding site. Inheritance of these sequences showed Mendelian segregation with one or two alleles per dog. Cluster analysis of the nucleotide and predicted amino acid sequences subdivided the canine DQB1 alleles into four major allelic groups. The number of nonsynonymous changes was higher than the number of synonymous changes in the putative antigen recognition sites suggestive of positive selection.","author":[{"dropping-particle":"","family":"Wagner","given":"J.L.","non-dropping-particle":"","parse-names":false,"suffix":""},{"dropping-particle":"","family":"Hayes-Lattin","given":"B.","non-dropping-particle":"","parse-names":false,"suffix":""},{"dropping-particle":"","family":"Works","given":"J.D.","non-dropping-particle":"","parse-names":false,"suffix":""},{"dropping-particle":"","family":"Storb","given":"R.","non-dropping-particle":"","parse-names":false,"suffix":""}],"container-title":"Tissue Antigens","id":"ITEM-1","issue":"3","issued":{"date-parts":[["1998","9","1"]]},"page":"242-250","publisher":"Blackwell Munksgaard","title":"Molecular analysis and polymorphism of the DLA-DQB genes","type":"article-journal","volume":"52"},"uris":["http://www.mendeley.com/documents/?uuid=2355ada4-cb9f-35f6-930f-fd105054ae29"]}],"mendeley":{"formattedCitation":"(57)","plainTextFormattedCitation":"(57)","previouslyFormattedCitation":"(57)"},"properties":{"noteIndex":0},"schema":"https://github.com/citation-style-language/schema/raw/master/csl-citation.json"}</w:instrText>
            </w:r>
            <w:r w:rsidRPr="00DE5E63">
              <w:rPr>
                <w:rFonts w:ascii="Times" w:hAnsi="Times"/>
              </w:rPr>
              <w:fldChar w:fldCharType="separate"/>
            </w:r>
            <w:r w:rsidRPr="00DE5E63">
              <w:rPr>
                <w:rFonts w:ascii="Times" w:hAnsi="Times"/>
                <w:noProof/>
              </w:rPr>
              <w:t>(</w:t>
            </w:r>
            <w:r w:rsidR="00DD14AD">
              <w:rPr>
                <w:rFonts w:ascii="Times" w:hAnsi="Times"/>
                <w:noProof/>
              </w:rPr>
              <w:t>61</w:t>
            </w:r>
            <w:r w:rsidRPr="00DE5E63">
              <w:rPr>
                <w:rFonts w:ascii="Times" w:hAnsi="Times"/>
                <w:noProof/>
              </w:rPr>
              <w:t>)</w:t>
            </w:r>
            <w:r w:rsidRPr="00DE5E63">
              <w:rPr>
                <w:rFonts w:ascii="Times" w:hAnsi="Times"/>
              </w:rPr>
              <w:fldChar w:fldCharType="end"/>
            </w:r>
            <w:r w:rsidRPr="00DE5E63">
              <w:rPr>
                <w:rFonts w:ascii="Times" w:hAnsi="Times"/>
              </w:rPr>
              <w:t>)</w:t>
            </w:r>
          </w:p>
        </w:tc>
        <w:tc>
          <w:tcPr>
            <w:tcW w:w="1276" w:type="dxa"/>
          </w:tcPr>
          <w:p w14:paraId="668F364C" w14:textId="77777777" w:rsidR="00D43BD2" w:rsidRPr="00DE5E63" w:rsidRDefault="00D43BD2" w:rsidP="009F1A43">
            <w:pPr>
              <w:jc w:val="both"/>
              <w:rPr>
                <w:rFonts w:ascii="Times" w:hAnsi="Times"/>
              </w:rPr>
            </w:pPr>
            <w:r w:rsidRPr="00DE5E63">
              <w:rPr>
                <w:rFonts w:ascii="Times" w:hAnsi="Times"/>
              </w:rPr>
              <w:t>DQB1 M13 FOR</w:t>
            </w:r>
          </w:p>
        </w:tc>
        <w:tc>
          <w:tcPr>
            <w:tcW w:w="6469" w:type="dxa"/>
          </w:tcPr>
          <w:p w14:paraId="1F22E258" w14:textId="77777777" w:rsidR="00D43BD2" w:rsidRPr="00DE5E63" w:rsidRDefault="00D43BD2" w:rsidP="009F1A43">
            <w:pPr>
              <w:pStyle w:val="p1"/>
              <w:keepNext/>
              <w:keepLines/>
              <w:spacing w:before="200"/>
              <w:outlineLvl w:val="6"/>
              <w:rPr>
                <w:rFonts w:ascii="Times" w:hAnsi="Times"/>
                <w:sz w:val="22"/>
                <w:szCs w:val="22"/>
              </w:rPr>
            </w:pPr>
            <w:r w:rsidRPr="00DE5E63">
              <w:rPr>
                <w:rFonts w:ascii="Times" w:hAnsi="Times"/>
                <w:sz w:val="22"/>
                <w:szCs w:val="22"/>
                <w:u w:val="single"/>
              </w:rPr>
              <w:t xml:space="preserve">TGT AAA ACG </w:t>
            </w:r>
            <w:proofErr w:type="spellStart"/>
            <w:r w:rsidRPr="00DE5E63">
              <w:rPr>
                <w:rFonts w:ascii="Times" w:hAnsi="Times"/>
                <w:sz w:val="22"/>
                <w:szCs w:val="22"/>
                <w:u w:val="single"/>
              </w:rPr>
              <w:t>ACG</w:t>
            </w:r>
            <w:proofErr w:type="spellEnd"/>
            <w:r w:rsidRPr="00DE5E63">
              <w:rPr>
                <w:rFonts w:ascii="Times" w:hAnsi="Times"/>
                <w:sz w:val="22"/>
                <w:szCs w:val="22"/>
                <w:u w:val="single"/>
              </w:rPr>
              <w:t xml:space="preserve"> GCC AGT</w:t>
            </w:r>
            <w:r w:rsidRPr="00DE5E63">
              <w:rPr>
                <w:rFonts w:ascii="Times" w:hAnsi="Times"/>
                <w:sz w:val="22"/>
                <w:szCs w:val="22"/>
              </w:rPr>
              <w:t xml:space="preserve"> CTC ACT GGC CCG GCC TGT CTC</w:t>
            </w:r>
          </w:p>
        </w:tc>
      </w:tr>
      <w:tr w:rsidR="00D43BD2" w:rsidRPr="00DE5E63" w14:paraId="29B39DDD" w14:textId="77777777" w:rsidTr="009F1A43">
        <w:trPr>
          <w:trHeight w:val="397"/>
        </w:trPr>
        <w:tc>
          <w:tcPr>
            <w:tcW w:w="1271" w:type="dxa"/>
            <w:vMerge/>
          </w:tcPr>
          <w:p w14:paraId="1F51CF1C" w14:textId="77777777" w:rsidR="00D43BD2" w:rsidRPr="00DE5E63" w:rsidRDefault="00D43BD2" w:rsidP="009F1A43">
            <w:pPr>
              <w:jc w:val="both"/>
              <w:rPr>
                <w:rFonts w:ascii="Times" w:hAnsi="Times"/>
              </w:rPr>
            </w:pPr>
          </w:p>
        </w:tc>
        <w:tc>
          <w:tcPr>
            <w:tcW w:w="1276" w:type="dxa"/>
          </w:tcPr>
          <w:p w14:paraId="20832F81" w14:textId="77777777" w:rsidR="00D43BD2" w:rsidRPr="00DE5E63" w:rsidRDefault="00D43BD2" w:rsidP="009F1A43">
            <w:pPr>
              <w:jc w:val="both"/>
              <w:rPr>
                <w:rFonts w:ascii="Times" w:hAnsi="Times"/>
              </w:rPr>
            </w:pPr>
            <w:r w:rsidRPr="00DE5E63">
              <w:rPr>
                <w:rFonts w:ascii="Times" w:hAnsi="Times"/>
              </w:rPr>
              <w:t>DQBR2</w:t>
            </w:r>
          </w:p>
        </w:tc>
        <w:tc>
          <w:tcPr>
            <w:tcW w:w="6469" w:type="dxa"/>
          </w:tcPr>
          <w:p w14:paraId="63C22288" w14:textId="77777777" w:rsidR="00D43BD2" w:rsidRPr="00DE5E63" w:rsidRDefault="00D43BD2" w:rsidP="009F1A43">
            <w:pPr>
              <w:pStyle w:val="p1"/>
              <w:rPr>
                <w:rFonts w:ascii="Times" w:hAnsi="Times"/>
                <w:sz w:val="22"/>
                <w:szCs w:val="22"/>
              </w:rPr>
            </w:pPr>
            <w:r w:rsidRPr="00DE5E63">
              <w:rPr>
                <w:rFonts w:ascii="Times" w:hAnsi="Times"/>
                <w:sz w:val="22"/>
                <w:szCs w:val="22"/>
              </w:rPr>
              <w:t>CAC CTC GCC GCT GCA ACG TG</w:t>
            </w:r>
          </w:p>
        </w:tc>
      </w:tr>
    </w:tbl>
    <w:p w14:paraId="086B37FA" w14:textId="6ABBF4AF" w:rsidR="00B652D1" w:rsidRDefault="00D43BD2">
      <w:r w:rsidRPr="00A10EE3">
        <w:rPr>
          <w:rFonts w:ascii="Times" w:hAnsi="Times"/>
          <w:color w:val="000000" w:themeColor="text1"/>
          <w:sz w:val="22"/>
          <w:szCs w:val="22"/>
        </w:rPr>
        <w:t>The M13 tailed portion is underlined where relevant</w:t>
      </w:r>
    </w:p>
    <w:sectPr w:rsidR="00B652D1" w:rsidSect="0028056F">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 Chancery">
    <w:panose1 w:val="03020702040506060504"/>
    <w:charset w:val="00"/>
    <w:family w:val="script"/>
    <w:pitch w:val="variable"/>
    <w:sig w:usb0="80000867" w:usb1="00000003" w:usb2="00000000" w:usb3="00000000" w:csb0="000001F3"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AC7"/>
    <w:rsid w:val="0028056F"/>
    <w:rsid w:val="0075626D"/>
    <w:rsid w:val="007607C8"/>
    <w:rsid w:val="007A76A2"/>
    <w:rsid w:val="00906AAD"/>
    <w:rsid w:val="009A51B4"/>
    <w:rsid w:val="00B652D1"/>
    <w:rsid w:val="00D43BD2"/>
    <w:rsid w:val="00D5016F"/>
    <w:rsid w:val="00DD14AD"/>
    <w:rsid w:val="00FB7A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C259CF8"/>
  <w14:defaultImageDpi w14:val="32767"/>
  <w15:chartTrackingRefBased/>
  <w15:docId w15:val="{2C347900-3C0D-0049-891F-BD96CB471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43BD2"/>
    <w:rPr>
      <w:rFonts w:ascii="Times New Roman" w:eastAsia="Times New Roman" w:hAnsi="Times New Roman" w:cs="Times New Roman"/>
    </w:rPr>
  </w:style>
  <w:style w:type="paragraph" w:styleId="Heading1">
    <w:name w:val="heading 1"/>
    <w:basedOn w:val="Normal"/>
    <w:next w:val="Normal"/>
    <w:link w:val="Heading1Char"/>
    <w:qFormat/>
    <w:rsid w:val="007607C8"/>
    <w:pPr>
      <w:keepNext/>
      <w:pBdr>
        <w:bottom w:val="double" w:sz="4" w:space="1" w:color="auto"/>
      </w:pBdr>
      <w:outlineLvl w:val="0"/>
    </w:pPr>
    <w:rPr>
      <w:rFonts w:ascii="Arial" w:hAnsi="Arial"/>
      <w:b/>
      <w:bCs/>
      <w:color w:val="7B7B7B" w:themeColor="accent3" w:themeShade="BF"/>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607C8"/>
    <w:rPr>
      <w:rFonts w:ascii="Arial" w:eastAsia="Times New Roman" w:hAnsi="Arial" w:cs="Times New Roman"/>
      <w:b/>
      <w:bCs/>
      <w:color w:val="7B7B7B" w:themeColor="accent3" w:themeShade="BF"/>
      <w:sz w:val="32"/>
      <w:szCs w:val="32"/>
      <w:u w:val="single"/>
    </w:rPr>
  </w:style>
  <w:style w:type="paragraph" w:customStyle="1" w:styleId="Style1">
    <w:name w:val="Style1"/>
    <w:basedOn w:val="Normal"/>
    <w:qFormat/>
    <w:rsid w:val="007607C8"/>
    <w:pPr>
      <w:spacing w:before="120"/>
      <w:ind w:left="288"/>
    </w:pPr>
    <w:rPr>
      <w:rFonts w:ascii="Apple Chancery" w:eastAsiaTheme="minorHAnsi" w:hAnsi="Apple Chancery" w:cs="Apple Chancery"/>
      <w:lang w:val="en-US"/>
    </w:rPr>
  </w:style>
  <w:style w:type="table" w:styleId="TableGrid">
    <w:name w:val="Table Grid"/>
    <w:basedOn w:val="TableNormal"/>
    <w:uiPriority w:val="39"/>
    <w:rsid w:val="00D43BD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43BD2"/>
    <w:rPr>
      <w:rFonts w:ascii="Helvetica" w:eastAsiaTheme="minorHAnsi" w:hAnsi="Helvetica"/>
      <w:sz w:val="18"/>
      <w:szCs w:val="18"/>
      <w:lang w:eastAsia="en-GB"/>
    </w:rPr>
  </w:style>
  <w:style w:type="table" w:styleId="PlainTable4">
    <w:name w:val="Plain Table 4"/>
    <w:basedOn w:val="TableNormal"/>
    <w:uiPriority w:val="44"/>
    <w:rsid w:val="00D43BD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1066</Words>
  <Characters>6080</Characters>
  <Application>Microsoft Office Word</Application>
  <DocSecurity>0</DocSecurity>
  <Lines>50</Lines>
  <Paragraphs>14</Paragraphs>
  <ScaleCrop>false</ScaleCrop>
  <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Denyer, Alice</dc:creator>
  <cp:keywords/>
  <dc:description/>
  <cp:lastModifiedBy>Denyer, Alice</cp:lastModifiedBy>
  <cp:revision>3</cp:revision>
  <dcterms:created xsi:type="dcterms:W3CDTF">2020-08-14T10:59:00Z</dcterms:created>
  <dcterms:modified xsi:type="dcterms:W3CDTF">2020-08-14T10:59:00Z</dcterms:modified>
</cp:coreProperties>
</file>