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7EE" w:rsidRPr="00F937EE" w:rsidRDefault="00F937EE" w:rsidP="00F937EE">
      <w:pPr>
        <w:spacing w:line="480" w:lineRule="auto"/>
        <w:ind w:left="1416" w:hanging="1416"/>
        <w:jc w:val="both"/>
        <w:rPr>
          <w:rStyle w:val="LineNumber"/>
          <w:rFonts w:asciiTheme="majorHAnsi" w:hAnsiTheme="majorHAnsi" w:cstheme="majorHAnsi"/>
          <w:b/>
          <w:bCs/>
          <w:sz w:val="18"/>
          <w:szCs w:val="18"/>
          <w:lang w:val="en-GB"/>
        </w:rPr>
      </w:pPr>
      <w:r w:rsidRPr="00F937EE">
        <w:rPr>
          <w:rStyle w:val="LineNumber"/>
          <w:rFonts w:asciiTheme="majorHAnsi" w:hAnsiTheme="majorHAnsi" w:cstheme="majorHAnsi"/>
          <w:b/>
          <w:bCs/>
          <w:sz w:val="18"/>
          <w:szCs w:val="18"/>
          <w:lang w:val="en-GB"/>
        </w:rPr>
        <w:t xml:space="preserve">Fetal </w:t>
      </w:r>
      <w:r w:rsidRPr="00F937EE">
        <w:rPr>
          <w:rStyle w:val="LineNumber"/>
          <w:rFonts w:asciiTheme="majorHAnsi" w:eastAsia="Calibri Light" w:hAnsiTheme="majorHAnsi" w:cstheme="majorHAnsi"/>
          <w:b/>
          <w:bCs/>
          <w:sz w:val="18"/>
          <w:szCs w:val="18"/>
          <w:lang w:val="en-GB"/>
        </w:rPr>
        <w:t>morphological features and abnormalities associated with equine early pregnancy loss.</w:t>
      </w:r>
    </w:p>
    <w:p w:rsidR="00F937EE" w:rsidRPr="00F937EE" w:rsidRDefault="00F937EE" w:rsidP="00F937EE">
      <w:pPr>
        <w:spacing w:line="480" w:lineRule="auto"/>
        <w:contextualSpacing/>
        <w:jc w:val="both"/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</w:pP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Anne Kahler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a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, Imelda M. McGonnell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a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, Harriette Smart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a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 xml:space="preserve">, Alycia A. </w:t>
      </w:r>
      <w:bookmarkStart w:id="0" w:name="_GoBack"/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Kowalski</w:t>
      </w:r>
      <w:bookmarkEnd w:id="0"/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a, c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, Ken C. Smith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b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, D. Claire Wathes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b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>, Amanda M. de Mestre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a</w:t>
      </w:r>
    </w:p>
    <w:p w:rsidR="00F937EE" w:rsidRPr="00F937EE" w:rsidRDefault="00F937EE" w:rsidP="00F937EE">
      <w:pPr>
        <w:spacing w:line="480" w:lineRule="auto"/>
        <w:contextualSpacing/>
        <w:jc w:val="both"/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</w:pP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a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 xml:space="preserve"> Department of Comparative Biomedical Sciences, Royal Veterinary College, Hawkshead Lane, Hertfordshire AL9 7TA, United Kingdom</w:t>
      </w:r>
    </w:p>
    <w:p w:rsidR="00F937EE" w:rsidRPr="00F937EE" w:rsidRDefault="00F937EE" w:rsidP="00F937EE">
      <w:pPr>
        <w:spacing w:line="480" w:lineRule="auto"/>
        <w:contextualSpacing/>
        <w:jc w:val="both"/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</w:pP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b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 xml:space="preserve"> Department of Pathobiology and Population Sciences, Royal Veterinary College, Hawkshead Lane, Hertfordshire AL9 7TA, United Kingdom</w:t>
      </w:r>
    </w:p>
    <w:p w:rsidR="00F937EE" w:rsidRPr="00F937EE" w:rsidRDefault="00F937EE" w:rsidP="00F937EE">
      <w:pPr>
        <w:spacing w:line="480" w:lineRule="auto"/>
        <w:contextualSpacing/>
        <w:jc w:val="both"/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</w:pP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vertAlign w:val="superscript"/>
          <w:lang w:val="en-GB"/>
        </w:rPr>
        <w:t>c</w:t>
      </w:r>
      <w:r w:rsidRPr="00F937EE">
        <w:rPr>
          <w:rStyle w:val="LineNumber"/>
          <w:rFonts w:asciiTheme="majorHAnsi" w:eastAsia="Calibri Light" w:hAnsiTheme="majorHAnsi" w:cstheme="majorHAnsi"/>
          <w:sz w:val="18"/>
          <w:szCs w:val="18"/>
          <w:lang w:val="en-GB"/>
        </w:rPr>
        <w:t xml:space="preserve"> currently: Veterinary Care, University of Wisconsin, Linden Dr, Madison, WI53706,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>United States</w:t>
      </w:r>
    </w:p>
    <w:p w:rsidR="00F937EE" w:rsidRPr="00F937EE" w:rsidRDefault="00F937EE" w:rsidP="00F937EE">
      <w:pPr>
        <w:spacing w:line="480" w:lineRule="auto"/>
        <w:jc w:val="both"/>
        <w:rPr>
          <w:rFonts w:asciiTheme="majorHAnsi" w:eastAsia="Calibri Light" w:hAnsiTheme="majorHAnsi" w:cstheme="majorHAnsi"/>
          <w:sz w:val="18"/>
          <w:szCs w:val="18"/>
          <w:lang w:val="en-GB"/>
        </w:rPr>
      </w:pPr>
    </w:p>
    <w:p w:rsidR="00F937EE" w:rsidRPr="00F937EE" w:rsidRDefault="00F937EE" w:rsidP="00F937EE">
      <w:pPr>
        <w:spacing w:line="480" w:lineRule="auto"/>
        <w:jc w:val="both"/>
        <w:rPr>
          <w:rFonts w:asciiTheme="majorHAnsi" w:eastAsia="Calibri Light" w:hAnsiTheme="majorHAnsi" w:cstheme="majorHAnsi"/>
          <w:sz w:val="18"/>
          <w:szCs w:val="18"/>
          <w:lang w:val="en-GB"/>
        </w:rPr>
      </w:pP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Pregnancy loss in early gestation (EPL) occurs in approximately 8% of equine pregnancies, although the aetiology is mostly unknown and fetal morphological abnormalities associated with early abortions are not defined. 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 xml:space="preserve">The objectives of the current study were (i) to compare the macroscopic and histological morphology of EPL to </w:t>
      </w:r>
      <w:r w:rsidRPr="00F937EE">
        <w:rPr>
          <w:rFonts w:asciiTheme="majorHAnsi" w:eastAsiaTheme="majorEastAsia" w:hAnsiTheme="majorHAnsi" w:cstheme="majorHAnsi"/>
          <w:sz w:val="18"/>
          <w:szCs w:val="18"/>
          <w:lang w:val="en-GB"/>
        </w:rPr>
        <w:t>clinically normal fetuses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 xml:space="preserve"> and developmental milestones described in the literature and (ii) to identify morphological abnormalities associated with equine EPL.</w:t>
      </w:r>
    </w:p>
    <w:p w:rsidR="00F937EE" w:rsidRPr="00F937EE" w:rsidRDefault="00F937EE" w:rsidP="00F937EE">
      <w:pPr>
        <w:spacing w:line="480" w:lineRule="auto"/>
        <w:jc w:val="both"/>
        <w:rPr>
          <w:rFonts w:asciiTheme="majorHAnsi" w:eastAsia="Calibri Light" w:hAnsiTheme="majorHAnsi" w:cstheme="majorHAnsi"/>
          <w:sz w:val="18"/>
          <w:szCs w:val="18"/>
          <w:lang w:val="en-GB"/>
        </w:rPr>
      </w:pPr>
      <w:r w:rsidRPr="00F937EE">
        <w:rPr>
          <w:rFonts w:asciiTheme="majorHAnsi" w:eastAsia="Calibri Light" w:hAnsiTheme="majorHAnsi" w:cstheme="majorHAnsi"/>
          <w:sz w:val="18"/>
          <w:szCs w:val="18"/>
          <w:u w:color="002060"/>
          <w:lang w:val="en-GB"/>
        </w:rPr>
        <w:t xml:space="preserve">Clinically normal fetuses (n = 11) were obtained from thoroughbred and pony broodmares 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and EPL fetuses (n = 27) 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>from thoroughbred mares suffering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 pregnancy failure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. The crown-rump length (CRL) of fetuses was measured and the macroscopic morphology and developmental age determined independently by three blinded examiners, using a standardised protocol. A representative subset of sagittal sections of fetuses was assessed microscopically. Fishers Exact test was used to determine significance (P&lt;0.05) and correlations expressed by Pearson coefficient. </w:t>
      </w:r>
    </w:p>
    <w:p w:rsidR="00706593" w:rsidRPr="00F937EE" w:rsidRDefault="00F937EE" w:rsidP="00F937EE">
      <w:pPr>
        <w:spacing w:line="480" w:lineRule="auto"/>
        <w:jc w:val="both"/>
        <w:rPr>
          <w:lang w:val="en-US"/>
        </w:rPr>
      </w:pPr>
      <w:r w:rsidRPr="00F937EE">
        <w:rPr>
          <w:rFonts w:asciiTheme="majorHAnsi" w:hAnsiTheme="majorHAnsi" w:cstheme="majorHAnsi"/>
          <w:sz w:val="18"/>
          <w:szCs w:val="18"/>
          <w:lang w:val="en-GB"/>
        </w:rPr>
        <w:t>A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ge and CRL were strongly positively correlated in clinically normal thoroughbred and reference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(R = 0.9, P&lt;0.0001) 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but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>not EPL fetuses (R = 0.1, P = 0.6). Relatively to controls,</w:t>
      </w:r>
      <w:r w:rsidRPr="00F937EE">
        <w:rPr>
          <w:rFonts w:asciiTheme="majorHAnsi" w:eastAsiaTheme="majorEastAsia" w:hAnsiTheme="majorHAnsi" w:cstheme="majorHAnsi"/>
          <w:sz w:val="18"/>
          <w:szCs w:val="18"/>
          <w:lang w:val="en-GB" w:eastAsia="en-GB"/>
        </w:rPr>
        <w:t xml:space="preserve"> the CRL of EPL fetuses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>was shorter</w:t>
      </w:r>
      <w:r w:rsidRPr="00F937EE">
        <w:rPr>
          <w:rFonts w:asciiTheme="majorHAnsi" w:eastAsiaTheme="majorEastAsia" w:hAnsiTheme="majorHAnsi" w:cstheme="majorHAnsi"/>
          <w:sz w:val="18"/>
          <w:szCs w:val="18"/>
          <w:lang w:val="en-GB" w:eastAsia="en-GB"/>
        </w:rPr>
        <w:t xml:space="preserve">, with evidence of intrauterine growth retardation (IUGR) in 3/8 fetuses assessed.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A definite morphological abnormality was confirmed as failed neural tube closure in one EPL fetus. In 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the remaining 12 fetuses, obtained from mares suffering EPL and eligible for the histological assessment, non-specific neural tissue alterations occurred.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A distinct subcutaneous haemorrhage presented as 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>another significant morphological feature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 of EPL fetuses. 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>In conclusion, f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etal morphological 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 xml:space="preserve">features associated with equine EPL were a 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>mismatch of fetal size and age,</w:t>
      </w:r>
      <w:r w:rsidRPr="00F937EE">
        <w:rPr>
          <w:rFonts w:asciiTheme="majorHAnsi" w:hAnsiTheme="majorHAnsi" w:cstheme="majorHAnsi"/>
          <w:sz w:val="18"/>
          <w:szCs w:val="18"/>
          <w:lang w:val="en-GB" w:eastAsia="en-GB"/>
        </w:rPr>
        <w:t xml:space="preserve"> alterations of the developing neural tissue and localized subcutaneous haemorrhage</w:t>
      </w:r>
      <w:r w:rsidRPr="00F937EE">
        <w:rPr>
          <w:rFonts w:asciiTheme="majorHAnsi" w:eastAsia="Calibri Light" w:hAnsiTheme="majorHAnsi" w:cstheme="majorHAnsi"/>
          <w:sz w:val="18"/>
          <w:szCs w:val="18"/>
          <w:lang w:val="en-GB"/>
        </w:rPr>
        <w:t xml:space="preserve">. </w:t>
      </w:r>
      <w:r w:rsidRPr="00F937EE">
        <w:rPr>
          <w:rFonts w:asciiTheme="majorHAnsi" w:hAnsiTheme="majorHAnsi" w:cstheme="majorHAnsi"/>
          <w:sz w:val="18"/>
          <w:szCs w:val="18"/>
          <w:lang w:val="en-GB"/>
        </w:rPr>
        <w:t xml:space="preserve">A failed neural tube closure was confirmed as a specific abnormality. </w:t>
      </w:r>
    </w:p>
    <w:sectPr w:rsidR="00706593" w:rsidRPr="00F937EE" w:rsidSect="00F937EE">
      <w:footerReference w:type="default" r:id="rId6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D07E3">
      <w:r>
        <w:separator/>
      </w:r>
    </w:p>
  </w:endnote>
  <w:endnote w:type="continuationSeparator" w:id="0">
    <w:p w:rsidR="00000000" w:rsidRDefault="007D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776" w:rsidRPr="00472D29" w:rsidRDefault="007D07E3" w:rsidP="00472D29">
    <w:pPr>
      <w:pStyle w:val="Footer"/>
      <w:ind w:right="360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D07E3">
      <w:r>
        <w:separator/>
      </w:r>
    </w:p>
  </w:footnote>
  <w:footnote w:type="continuationSeparator" w:id="0">
    <w:p w:rsidR="00000000" w:rsidRDefault="007D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EE"/>
    <w:rsid w:val="00706593"/>
    <w:rsid w:val="007D07E3"/>
    <w:rsid w:val="00E51353"/>
    <w:rsid w:val="00F252EA"/>
    <w:rsid w:val="00F9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F9363D5-B7F9-8C42-A6A9-AF9C0904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7EE"/>
    <w:rPr>
      <w:rFonts w:ascii="Times New Roman" w:eastAsia="Times New Roman" w:hAnsi="Times New Roman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unhideWhenUsed/>
    <w:rsid w:val="00F937EE"/>
  </w:style>
  <w:style w:type="paragraph" w:styleId="Footer">
    <w:name w:val="footer"/>
    <w:basedOn w:val="Normal"/>
    <w:link w:val="FooterChar"/>
    <w:uiPriority w:val="99"/>
    <w:unhideWhenUsed/>
    <w:rsid w:val="00F937EE"/>
    <w:pPr>
      <w:tabs>
        <w:tab w:val="center" w:pos="4536"/>
        <w:tab w:val="right" w:pos="9072"/>
      </w:tabs>
      <w:autoSpaceDE w:val="0"/>
      <w:autoSpaceDN w:val="0"/>
      <w:adjustRightInd w:val="0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937EE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F937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Kahler</dc:creator>
  <cp:keywords/>
  <dc:description/>
  <cp:lastModifiedBy>Murphy, Michael</cp:lastModifiedBy>
  <cp:revision>2</cp:revision>
  <dcterms:created xsi:type="dcterms:W3CDTF">2019-11-26T15:16:00Z</dcterms:created>
  <dcterms:modified xsi:type="dcterms:W3CDTF">2019-11-26T15:16:00Z</dcterms:modified>
</cp:coreProperties>
</file>