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3BFF9" w14:textId="6FA70D69" w:rsidR="00501361" w:rsidRPr="00AB2F8B" w:rsidRDefault="00300444" w:rsidP="00501361">
      <w:pPr>
        <w:spacing w:after="0" w:line="480" w:lineRule="auto"/>
        <w:ind w:left="426" w:hanging="426"/>
        <w:jc w:val="center"/>
        <w:rPr>
          <w:rFonts w:cs="Times New Roman"/>
          <w:b/>
          <w:szCs w:val="24"/>
        </w:rPr>
      </w:pPr>
      <w:bookmarkStart w:id="0" w:name="_GoBack"/>
      <w:bookmarkEnd w:id="0"/>
      <w:r>
        <w:rPr>
          <w:rFonts w:cs="Times New Roman"/>
          <w:b/>
          <w:szCs w:val="24"/>
        </w:rPr>
        <w:t>SUPPLEMENTARY MATERIAL</w:t>
      </w:r>
    </w:p>
    <w:p w14:paraId="1E08819C" w14:textId="75F47DE8" w:rsidR="00501361" w:rsidRPr="006024E2" w:rsidRDefault="00300444" w:rsidP="00501361">
      <w:pPr>
        <w:spacing w:after="0" w:line="480" w:lineRule="auto"/>
        <w:jc w:val="both"/>
        <w:rPr>
          <w:rFonts w:cs="Times New Roman"/>
          <w:b/>
          <w:szCs w:val="24"/>
        </w:rPr>
      </w:pPr>
      <w:r w:rsidRPr="006024E2">
        <w:rPr>
          <w:rFonts w:cs="Times New Roman"/>
          <w:b/>
          <w:szCs w:val="24"/>
        </w:rPr>
        <w:t xml:space="preserve">A. </w:t>
      </w:r>
      <w:r w:rsidR="00501361" w:rsidRPr="006024E2">
        <w:rPr>
          <w:rFonts w:cs="Times New Roman"/>
          <w:b/>
          <w:szCs w:val="24"/>
        </w:rPr>
        <w:t>Protocols for assessing granulocyte migration and bactericidal activity</w:t>
      </w:r>
    </w:p>
    <w:p w14:paraId="47610275" w14:textId="77777777" w:rsidR="00501361" w:rsidRDefault="00501361" w:rsidP="00501361">
      <w:pPr>
        <w:spacing w:after="0" w:line="480" w:lineRule="auto"/>
        <w:jc w:val="both"/>
        <w:rPr>
          <w:rFonts w:cs="Times New Roman"/>
          <w:szCs w:val="24"/>
        </w:rPr>
      </w:pPr>
    </w:p>
    <w:p w14:paraId="6FA8129A" w14:textId="77777777" w:rsidR="00501361" w:rsidRDefault="00501361" w:rsidP="00501361">
      <w:pPr>
        <w:pStyle w:val="ListParagraph"/>
        <w:numPr>
          <w:ilvl w:val="0"/>
          <w:numId w:val="1"/>
        </w:num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Culture media, media supplements and other reagents</w:t>
      </w:r>
    </w:p>
    <w:p w14:paraId="1DDE7E75" w14:textId="77777777" w:rsidR="00501361" w:rsidRDefault="00501361" w:rsidP="00501361">
      <w:pPr>
        <w:spacing w:after="0" w:line="480" w:lineRule="auto"/>
        <w:jc w:val="both"/>
        <w:rPr>
          <w:rFonts w:cs="Times New Roman"/>
          <w:szCs w:val="24"/>
        </w:rPr>
      </w:pPr>
      <w:r>
        <w:rPr>
          <w:rFonts w:cs="Times New Roman"/>
          <w:szCs w:val="24"/>
        </w:rPr>
        <w:t xml:space="preserve">Cell culture media Roswell Park Memorial Institute (RPMI) 1640, RPMI 1640 with </w:t>
      </w:r>
      <w:proofErr w:type="spellStart"/>
      <w:r>
        <w:rPr>
          <w:rFonts w:cs="Times New Roman"/>
          <w:szCs w:val="24"/>
        </w:rPr>
        <w:t>Glutamax</w:t>
      </w:r>
      <w:proofErr w:type="spellEnd"/>
      <w:r>
        <w:rPr>
          <w:rFonts w:cs="Times New Roman"/>
          <w:szCs w:val="24"/>
        </w:rPr>
        <w:t xml:space="preserve">, Dulbecco`s Modified Eagle Medium with F12 nutrient mixture (DMEM/F12), antibiotics Penicillin/Streptomycin and </w:t>
      </w:r>
      <w:proofErr w:type="spellStart"/>
      <w:r>
        <w:rPr>
          <w:rFonts w:cs="Times New Roman"/>
          <w:szCs w:val="24"/>
        </w:rPr>
        <w:t>Amphotericine</w:t>
      </w:r>
      <w:proofErr w:type="spellEnd"/>
      <w:r>
        <w:rPr>
          <w:rFonts w:cs="Times New Roman"/>
          <w:szCs w:val="24"/>
        </w:rPr>
        <w:t xml:space="preserve"> B, the buffers phosphate buffered saline (PBS), Dulbecco`s PBS (DPBS) and Hank`s Balanced Salt Solution (HBSS), enzymes Trypsin and Type II Collagenase, and LB Lenox L agar were all purchased from </w:t>
      </w:r>
      <w:proofErr w:type="spellStart"/>
      <w:r>
        <w:rPr>
          <w:rFonts w:cs="Times New Roman"/>
          <w:szCs w:val="24"/>
        </w:rPr>
        <w:t>Thermo</w:t>
      </w:r>
      <w:proofErr w:type="spellEnd"/>
      <w:r>
        <w:rPr>
          <w:rFonts w:cs="Times New Roman"/>
          <w:szCs w:val="24"/>
        </w:rPr>
        <w:t xml:space="preserve"> Fisher Scientific. Irradiated and heat-inactivated Foetal Calf Serum (FCS), the antibiotic Gentamycin, reagents Trypan Blue, EDTA, Triton X100, molecular biology grade glycerol and bacterial culture medium LB (Lennox) broth were ordered from Sigma-Aldrich. Distilled water was collected from onsite reverse osmosis filtration system. Absolute ethanol was bought from VWR. Bovine serum albumin was produced by PAA. </w:t>
      </w:r>
      <w:proofErr w:type="spellStart"/>
      <w:r>
        <w:rPr>
          <w:rFonts w:cs="Times New Roman"/>
          <w:szCs w:val="24"/>
        </w:rPr>
        <w:t>Ficoll</w:t>
      </w:r>
      <w:proofErr w:type="spellEnd"/>
      <w:r>
        <w:rPr>
          <w:rFonts w:cs="Times New Roman"/>
          <w:szCs w:val="24"/>
        </w:rPr>
        <w:t xml:space="preserve"> density gradient was obtained from Merck. Vacutainer™ </w:t>
      </w:r>
      <w:proofErr w:type="spellStart"/>
      <w:r>
        <w:rPr>
          <w:rFonts w:cs="Times New Roman"/>
          <w:szCs w:val="24"/>
        </w:rPr>
        <w:t>Hemogard</w:t>
      </w:r>
      <w:proofErr w:type="spellEnd"/>
      <w:r>
        <w:rPr>
          <w:rFonts w:cs="Times New Roman"/>
          <w:szCs w:val="24"/>
        </w:rPr>
        <w:t xml:space="preserve"> Closure Plastic K2-EDTA and plain tubes were purchased from </w:t>
      </w:r>
      <w:proofErr w:type="spellStart"/>
      <w:r>
        <w:rPr>
          <w:rFonts w:cs="Times New Roman"/>
          <w:szCs w:val="24"/>
        </w:rPr>
        <w:t>Beckton</w:t>
      </w:r>
      <w:proofErr w:type="spellEnd"/>
      <w:r>
        <w:rPr>
          <w:rFonts w:cs="Times New Roman"/>
          <w:szCs w:val="24"/>
        </w:rPr>
        <w:t xml:space="preserve"> Dickinson. FastRead chamber slides from Immune Systems were used for cell counting. </w:t>
      </w:r>
      <w:proofErr w:type="spellStart"/>
      <w:r>
        <w:rPr>
          <w:rFonts w:cs="Times New Roman"/>
          <w:szCs w:val="24"/>
        </w:rPr>
        <w:t>Bambanker</w:t>
      </w:r>
      <w:proofErr w:type="spellEnd"/>
      <w:r>
        <w:rPr>
          <w:rFonts w:cs="Times New Roman"/>
          <w:szCs w:val="24"/>
        </w:rPr>
        <w:t xml:space="preserve"> freezing medium was purchased from Alpha Laboratories. Cell culture plates, centrifuge tubes and transwell inserts were ordered from Greiner Bio One.</w:t>
      </w:r>
    </w:p>
    <w:p w14:paraId="7BA6002E" w14:textId="77777777" w:rsidR="00501361" w:rsidRDefault="00501361" w:rsidP="00501361">
      <w:pPr>
        <w:spacing w:after="0" w:line="480" w:lineRule="auto"/>
        <w:jc w:val="both"/>
        <w:rPr>
          <w:rFonts w:cs="Times New Roman"/>
          <w:szCs w:val="24"/>
        </w:rPr>
      </w:pPr>
    </w:p>
    <w:p w14:paraId="2A61CEF6" w14:textId="77777777" w:rsidR="00501361" w:rsidRDefault="00501361" w:rsidP="00501361">
      <w:pPr>
        <w:spacing w:after="0" w:line="480" w:lineRule="auto"/>
        <w:jc w:val="both"/>
        <w:rPr>
          <w:rFonts w:cs="Times New Roman"/>
          <w:szCs w:val="24"/>
        </w:rPr>
      </w:pPr>
      <w:r>
        <w:rPr>
          <w:rFonts w:cs="Times New Roman"/>
          <w:szCs w:val="24"/>
        </w:rPr>
        <w:t>Digestive Solution: 1X HBSS in sterile-filtered distilled water, 10% Trypsin without phenol red (10%), 0.1% Type II Collagenase (100 IU/</w:t>
      </w:r>
      <w:proofErr w:type="spellStart"/>
      <w:r>
        <w:rPr>
          <w:rFonts w:cs="Times New Roman"/>
          <w:szCs w:val="24"/>
        </w:rPr>
        <w:t>μL</w:t>
      </w:r>
      <w:proofErr w:type="spellEnd"/>
      <w:r>
        <w:rPr>
          <w:rFonts w:cs="Times New Roman"/>
          <w:szCs w:val="24"/>
        </w:rPr>
        <w:t xml:space="preserve">), 0.1% bovine serum albumin, 25 µg/mL </w:t>
      </w:r>
      <w:proofErr w:type="spellStart"/>
      <w:r>
        <w:rPr>
          <w:rFonts w:cs="Times New Roman"/>
          <w:szCs w:val="24"/>
        </w:rPr>
        <w:t>DNAse</w:t>
      </w:r>
      <w:proofErr w:type="spellEnd"/>
      <w:r>
        <w:rPr>
          <w:rFonts w:cs="Times New Roman"/>
          <w:szCs w:val="24"/>
        </w:rPr>
        <w:t xml:space="preserve"> I.</w:t>
      </w:r>
    </w:p>
    <w:p w14:paraId="054D7CBA" w14:textId="77777777" w:rsidR="00501361" w:rsidRDefault="00501361" w:rsidP="00501361">
      <w:pPr>
        <w:spacing w:after="0" w:line="480" w:lineRule="auto"/>
        <w:jc w:val="both"/>
        <w:rPr>
          <w:rFonts w:cs="Times New Roman"/>
          <w:szCs w:val="24"/>
        </w:rPr>
      </w:pPr>
    </w:p>
    <w:p w14:paraId="08B69862" w14:textId="77777777" w:rsidR="00501361" w:rsidRDefault="00501361" w:rsidP="00501361">
      <w:pPr>
        <w:spacing w:after="0" w:line="480" w:lineRule="auto"/>
        <w:jc w:val="both"/>
        <w:rPr>
          <w:rFonts w:cs="Times New Roman"/>
          <w:szCs w:val="24"/>
        </w:rPr>
      </w:pPr>
      <w:r>
        <w:rPr>
          <w:rFonts w:cs="Times New Roman"/>
          <w:szCs w:val="24"/>
        </w:rPr>
        <w:t xml:space="preserve">Culture medium for endometrial cell differentiation: RPMI 1640 with </w:t>
      </w:r>
      <w:proofErr w:type="spellStart"/>
      <w:r>
        <w:rPr>
          <w:rFonts w:cs="Times New Roman"/>
          <w:szCs w:val="24"/>
        </w:rPr>
        <w:t>Glutamax</w:t>
      </w:r>
      <w:proofErr w:type="spellEnd"/>
      <w:r>
        <w:rPr>
          <w:rFonts w:cs="Times New Roman"/>
          <w:szCs w:val="24"/>
        </w:rPr>
        <w:t xml:space="preserve">, 5% FCS, 1% Penicillin/Streptomycin (10,000 units/mL of penicillin and 10,000 µg/mL of streptomycin), 1% </w:t>
      </w:r>
      <w:proofErr w:type="spellStart"/>
      <w:r>
        <w:rPr>
          <w:rFonts w:cs="Times New Roman"/>
          <w:szCs w:val="24"/>
        </w:rPr>
        <w:t>Amphotericine</w:t>
      </w:r>
      <w:proofErr w:type="spellEnd"/>
      <w:r>
        <w:rPr>
          <w:rFonts w:cs="Times New Roman"/>
          <w:szCs w:val="24"/>
        </w:rPr>
        <w:t xml:space="preserve"> B (</w:t>
      </w:r>
      <w:r>
        <w:rPr>
          <w:rFonts w:cs="Times New Roman"/>
          <w:color w:val="333333"/>
          <w:szCs w:val="24"/>
          <w:shd w:val="clear" w:color="auto" w:fill="FFFFFF"/>
        </w:rPr>
        <w:t>250 µg/mL)</w:t>
      </w:r>
      <w:r>
        <w:rPr>
          <w:rFonts w:cs="Times New Roman"/>
          <w:szCs w:val="24"/>
        </w:rPr>
        <w:t>.</w:t>
      </w:r>
    </w:p>
    <w:p w14:paraId="60008C8A" w14:textId="77777777" w:rsidR="00501361" w:rsidRDefault="00501361" w:rsidP="00501361">
      <w:pPr>
        <w:spacing w:after="0" w:line="480" w:lineRule="auto"/>
        <w:jc w:val="both"/>
        <w:rPr>
          <w:rFonts w:cs="Times New Roman"/>
          <w:szCs w:val="24"/>
        </w:rPr>
      </w:pPr>
    </w:p>
    <w:p w14:paraId="101C7908" w14:textId="77777777" w:rsidR="00501361" w:rsidRDefault="00501361" w:rsidP="00501361">
      <w:pPr>
        <w:spacing w:after="0" w:line="480" w:lineRule="auto"/>
        <w:jc w:val="both"/>
        <w:rPr>
          <w:rFonts w:cs="Times New Roman"/>
          <w:szCs w:val="24"/>
        </w:rPr>
      </w:pPr>
      <w:r>
        <w:rPr>
          <w:rFonts w:cs="Times New Roman"/>
          <w:szCs w:val="24"/>
        </w:rPr>
        <w:t xml:space="preserve">Culture medium for endometrial epithelium: DMEM/F12 without phenol red, 10% FCS, 1% Penicillin/Streptomycin, 1% </w:t>
      </w:r>
      <w:proofErr w:type="spellStart"/>
      <w:r>
        <w:rPr>
          <w:rFonts w:cs="Times New Roman"/>
          <w:szCs w:val="24"/>
        </w:rPr>
        <w:t>Amphotericine</w:t>
      </w:r>
      <w:proofErr w:type="spellEnd"/>
      <w:r>
        <w:rPr>
          <w:rFonts w:cs="Times New Roman"/>
          <w:szCs w:val="24"/>
        </w:rPr>
        <w:t xml:space="preserve"> B.</w:t>
      </w:r>
    </w:p>
    <w:p w14:paraId="2F5BD4CA" w14:textId="77777777" w:rsidR="00501361" w:rsidRDefault="00501361" w:rsidP="00501361">
      <w:pPr>
        <w:spacing w:after="0" w:line="480" w:lineRule="auto"/>
        <w:jc w:val="both"/>
        <w:rPr>
          <w:rFonts w:cs="Times New Roman"/>
          <w:szCs w:val="24"/>
        </w:rPr>
      </w:pPr>
    </w:p>
    <w:p w14:paraId="70FF1BA7" w14:textId="77777777" w:rsidR="00501361" w:rsidRDefault="00501361" w:rsidP="00501361">
      <w:pPr>
        <w:spacing w:after="0" w:line="480" w:lineRule="auto"/>
        <w:jc w:val="both"/>
        <w:rPr>
          <w:rFonts w:cs="Times New Roman"/>
          <w:szCs w:val="24"/>
        </w:rPr>
      </w:pPr>
      <w:r>
        <w:rPr>
          <w:rFonts w:cs="Times New Roman"/>
          <w:szCs w:val="24"/>
        </w:rPr>
        <w:t>Granulocyte culture medium: RPMI 1640 formulation without phenol red, 10 % FCS</w:t>
      </w:r>
    </w:p>
    <w:p w14:paraId="05D4C072" w14:textId="77777777" w:rsidR="00501361" w:rsidRDefault="00501361" w:rsidP="00501361">
      <w:pPr>
        <w:spacing w:after="0" w:line="480" w:lineRule="auto"/>
        <w:jc w:val="both"/>
        <w:rPr>
          <w:rFonts w:cs="Times New Roman"/>
          <w:szCs w:val="24"/>
        </w:rPr>
      </w:pPr>
    </w:p>
    <w:p w14:paraId="4DE782BF" w14:textId="77777777" w:rsidR="00501361" w:rsidRDefault="00501361" w:rsidP="00501361">
      <w:pPr>
        <w:spacing w:after="0" w:line="480" w:lineRule="auto"/>
        <w:jc w:val="both"/>
        <w:rPr>
          <w:rFonts w:cs="Times New Roman"/>
          <w:szCs w:val="24"/>
        </w:rPr>
      </w:pPr>
      <w:r>
        <w:rPr>
          <w:rFonts w:cs="Times New Roman"/>
          <w:szCs w:val="24"/>
        </w:rPr>
        <w:t>Cell lysis buffer: 0.1% Triton X100 prepared in PBS</w:t>
      </w:r>
    </w:p>
    <w:p w14:paraId="458FAF1B" w14:textId="77777777" w:rsidR="00501361" w:rsidRDefault="00501361" w:rsidP="00501361">
      <w:pPr>
        <w:spacing w:after="0" w:line="480" w:lineRule="auto"/>
        <w:jc w:val="both"/>
        <w:rPr>
          <w:rFonts w:cs="Times New Roman"/>
          <w:szCs w:val="24"/>
        </w:rPr>
      </w:pPr>
    </w:p>
    <w:p w14:paraId="343D70DB" w14:textId="77777777" w:rsidR="00501361" w:rsidRDefault="00501361" w:rsidP="00501361">
      <w:pPr>
        <w:spacing w:after="0" w:line="480" w:lineRule="auto"/>
        <w:jc w:val="both"/>
        <w:rPr>
          <w:rFonts w:cs="Times New Roman"/>
          <w:szCs w:val="24"/>
        </w:rPr>
      </w:pPr>
      <w:r w:rsidRPr="004F78BC">
        <w:rPr>
          <w:rFonts w:cs="Times New Roman"/>
          <w:i/>
          <w:szCs w:val="24"/>
        </w:rPr>
        <w:t>E. coli</w:t>
      </w:r>
      <w:r>
        <w:rPr>
          <w:rFonts w:cs="Times New Roman"/>
          <w:szCs w:val="24"/>
        </w:rPr>
        <w:t xml:space="preserve"> maintenance: LB (Lennox L) Agar, cryogenic storage in 25% glycerol in LB broth.</w:t>
      </w:r>
    </w:p>
    <w:p w14:paraId="341F576D" w14:textId="77777777" w:rsidR="00501361" w:rsidRDefault="00501361" w:rsidP="00501361">
      <w:pPr>
        <w:spacing w:after="0" w:line="480" w:lineRule="auto"/>
        <w:jc w:val="both"/>
        <w:rPr>
          <w:rFonts w:cs="Times New Roman"/>
          <w:szCs w:val="24"/>
        </w:rPr>
      </w:pPr>
    </w:p>
    <w:p w14:paraId="3169D095" w14:textId="77777777" w:rsidR="00501361" w:rsidRDefault="00501361" w:rsidP="00501361">
      <w:pPr>
        <w:pStyle w:val="ListParagraph"/>
        <w:numPr>
          <w:ilvl w:val="0"/>
          <w:numId w:val="1"/>
        </w:num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Granulocyte isolation</w:t>
      </w:r>
    </w:p>
    <w:p w14:paraId="4373B1C1" w14:textId="77777777" w:rsidR="00501361" w:rsidRDefault="00501361" w:rsidP="00501361">
      <w:pPr>
        <w:spacing w:after="0" w:line="480" w:lineRule="auto"/>
        <w:ind w:firstLine="567"/>
        <w:jc w:val="both"/>
        <w:rPr>
          <w:rFonts w:cs="Times New Roman"/>
          <w:szCs w:val="24"/>
        </w:rPr>
      </w:pPr>
      <w:r>
        <w:rPr>
          <w:rFonts w:cs="Times New Roman"/>
          <w:szCs w:val="24"/>
        </w:rPr>
        <w:t xml:space="preserve">24 mL of whole blood was collected using 4 x 6 mL Vacutainer tubes containing anticoagulant EDTA and transported to the laboratory for cell isolation. Twenty mL of whole blood was diluted with 20 mL of PBS containing EDTA (2 </w:t>
      </w:r>
      <w:proofErr w:type="spellStart"/>
      <w:r>
        <w:rPr>
          <w:rFonts w:cs="Times New Roman"/>
          <w:szCs w:val="24"/>
        </w:rPr>
        <w:t>mM</w:t>
      </w:r>
      <w:proofErr w:type="spellEnd"/>
      <w:r>
        <w:rPr>
          <w:rFonts w:cs="Times New Roman"/>
          <w:szCs w:val="24"/>
        </w:rPr>
        <w:t xml:space="preserve">), this mixture was gently layered above 12 mL of </w:t>
      </w:r>
      <w:proofErr w:type="spellStart"/>
      <w:r>
        <w:rPr>
          <w:rFonts w:cs="Times New Roman"/>
          <w:szCs w:val="24"/>
        </w:rPr>
        <w:t>Ficoll</w:t>
      </w:r>
      <w:proofErr w:type="spellEnd"/>
      <w:r>
        <w:rPr>
          <w:rFonts w:cs="Times New Roman"/>
          <w:szCs w:val="24"/>
        </w:rPr>
        <w:t xml:space="preserve"> density gradient in a 50 mL tube and centrifuged at 800 ×g (without brake) for 45 min at room </w:t>
      </w:r>
      <w:r>
        <w:rPr>
          <w:rFonts w:cs="Times New Roman"/>
          <w:szCs w:val="24"/>
        </w:rPr>
        <w:lastRenderedPageBreak/>
        <w:t>temperature. Plasma and mononuclear cells were aspirated and discarded from the top layers. Granulocytes and red blood cells remained in the bottom of the tube. Red blood cells were lysed by addition of 25 mL of distilled water and gentle shaking for maximum 40 sec. Three millilitres of 10X HBSS were added to regain isotonic strength and cells were pelleted again at 600 ×g for 10 min. Supernatants were discarded. The cells were lysed/washed as above three times, or until the pellet was white. The remaining granulocytes were suspended in 5 mL RPMI 1640 medium without phenol red and counted using a FastRead chamber slide. If the cell suspension was too dense to be counted accurately, the cells were suspended in 20 mL RPMI media without phenol red and recounted. The cell concentration was adjusted to 2x10</w:t>
      </w:r>
      <w:r>
        <w:rPr>
          <w:rFonts w:cs="Times New Roman"/>
          <w:szCs w:val="24"/>
          <w:vertAlign w:val="superscript"/>
        </w:rPr>
        <w:t>6</w:t>
      </w:r>
      <w:r>
        <w:rPr>
          <w:rFonts w:cs="Times New Roman"/>
          <w:szCs w:val="24"/>
        </w:rPr>
        <w:t xml:space="preserve">/mL and passed on to the scientist performing </w:t>
      </w:r>
      <w:r w:rsidRPr="004F78BC">
        <w:rPr>
          <w:rFonts w:cs="Times New Roman"/>
          <w:szCs w:val="24"/>
        </w:rPr>
        <w:t>in vitro</w:t>
      </w:r>
      <w:r>
        <w:rPr>
          <w:rFonts w:cs="Times New Roman"/>
          <w:szCs w:val="24"/>
        </w:rPr>
        <w:t xml:space="preserve"> assays.</w:t>
      </w:r>
    </w:p>
    <w:p w14:paraId="487719D8" w14:textId="77777777" w:rsidR="00501361" w:rsidRDefault="00501361" w:rsidP="00501361">
      <w:pPr>
        <w:spacing w:after="0" w:line="480" w:lineRule="auto"/>
        <w:ind w:firstLine="567"/>
        <w:jc w:val="both"/>
        <w:rPr>
          <w:rFonts w:cs="Times New Roman"/>
          <w:szCs w:val="24"/>
        </w:rPr>
      </w:pPr>
    </w:p>
    <w:p w14:paraId="1C27606B" w14:textId="77777777" w:rsidR="00501361" w:rsidRDefault="00501361" w:rsidP="00501361">
      <w:pPr>
        <w:pStyle w:val="ListParagraph"/>
        <w:numPr>
          <w:ilvl w:val="0"/>
          <w:numId w:val="1"/>
        </w:num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Endometrium epithelial cell isolation and culture</w:t>
      </w:r>
    </w:p>
    <w:p w14:paraId="2DAAA065" w14:textId="77777777" w:rsidR="00501361" w:rsidRDefault="00501361" w:rsidP="00501361">
      <w:pPr>
        <w:spacing w:after="0" w:line="480" w:lineRule="auto"/>
        <w:ind w:firstLine="567"/>
        <w:jc w:val="both"/>
        <w:rPr>
          <w:rFonts w:cs="Times New Roman"/>
          <w:szCs w:val="24"/>
        </w:rPr>
      </w:pPr>
      <w:r>
        <w:rPr>
          <w:rFonts w:cs="Times New Roman"/>
          <w:szCs w:val="24"/>
        </w:rPr>
        <w:t>Complete uteruses were collected in pre- to mid-luteal phase from clinically healthy and bovine viral diarrhoea virus free Holstein-Friesian cows at an abattoir (Dawn Cardington, Meadow Ln, Bedford, MK443SB), and transferred to the laboratory on ice. Whole organs were washed once in sterile-filtered PBS and once in 70% ethanol. After this point, work was continued in a laminar flow hood. The uterus was opened, and strips of endometrial tissue were cut out using autoclaved curved scissors, avoiding the underlying myometrium layer. The separated tissue was washed three times in HBSS with Mg</w:t>
      </w:r>
      <w:r>
        <w:rPr>
          <w:rFonts w:cs="Times New Roman"/>
          <w:szCs w:val="24"/>
          <w:vertAlign w:val="superscript"/>
        </w:rPr>
        <w:t>2+</w:t>
      </w:r>
      <w:r>
        <w:rPr>
          <w:rFonts w:cs="Times New Roman"/>
          <w:szCs w:val="24"/>
        </w:rPr>
        <w:t xml:space="preserve"> and Ca</w:t>
      </w:r>
      <w:r>
        <w:rPr>
          <w:rFonts w:cs="Times New Roman"/>
          <w:szCs w:val="24"/>
          <w:vertAlign w:val="superscript"/>
        </w:rPr>
        <w:t>2+</w:t>
      </w:r>
      <w:r>
        <w:rPr>
          <w:rFonts w:cs="Times New Roman"/>
          <w:szCs w:val="24"/>
        </w:rPr>
        <w:t>, then cut to approximately 10 mm</w:t>
      </w:r>
      <w:r>
        <w:rPr>
          <w:rFonts w:cs="Times New Roman"/>
          <w:szCs w:val="24"/>
          <w:vertAlign w:val="superscript"/>
        </w:rPr>
        <w:t>3</w:t>
      </w:r>
      <w:r>
        <w:rPr>
          <w:rFonts w:cs="Times New Roman"/>
          <w:szCs w:val="24"/>
        </w:rPr>
        <w:t xml:space="preserve"> pieces using sterile scalpel and Petri-dish. The tissue was transferred into 50 mL centrifuge tubes followed by the addition of “Digestive Solution” in a 1:5 w/v ratio. The mixture was incubated at 37 °C for 45 min with 50 rpm constant </w:t>
      </w:r>
      <w:r>
        <w:rPr>
          <w:rFonts w:cs="Times New Roman"/>
          <w:szCs w:val="24"/>
        </w:rPr>
        <w:lastRenderedPageBreak/>
        <w:t>shaking, followed by thorough vortexing three times, with additional 15 min incubation steps between mixing. Lysates were filtered through 70 µm-pore-size centrifuge cell strainers to obtain single cells. Cell pellets were resuspended in HBSS containing 10 % foetal calf serum, pelleted at 300 ×g acceleration for 10 min, and resuspended for 20 sec in distilled water to lyse red blood cells. Lysates were topped up with 30 mL RPMI 1640 medium and pelleted again at 300 ×g for 10 min. The cells were resuspended in 1 mL “Culture medium for endometrial cell differentiation” and viability was determined using Trypan Blue exclusion.</w:t>
      </w:r>
    </w:p>
    <w:p w14:paraId="05D80D06" w14:textId="77777777" w:rsidR="00501361" w:rsidRDefault="00501361" w:rsidP="00501361">
      <w:pPr>
        <w:spacing w:after="0" w:line="480" w:lineRule="auto"/>
        <w:ind w:firstLine="567"/>
        <w:jc w:val="both"/>
        <w:rPr>
          <w:rFonts w:cs="Times New Roman"/>
          <w:szCs w:val="24"/>
        </w:rPr>
      </w:pPr>
      <w:r>
        <w:rPr>
          <w:rFonts w:cs="Times New Roman"/>
          <w:szCs w:val="24"/>
        </w:rPr>
        <w:t>Differential attachment plating method for epithelial cell enrichment: The isolated bovine endometrium cells were seeded at 5x10</w:t>
      </w:r>
      <w:r>
        <w:rPr>
          <w:rFonts w:cs="Times New Roman"/>
          <w:szCs w:val="24"/>
          <w:vertAlign w:val="superscript"/>
        </w:rPr>
        <w:t>5</w:t>
      </w:r>
      <w:r>
        <w:rPr>
          <w:rFonts w:cs="Times New Roman"/>
          <w:szCs w:val="24"/>
        </w:rPr>
        <w:t>/mL density into 24-well cell culture plates and incubated overnight in a 37 °C, 5% CO</w:t>
      </w:r>
      <w:r>
        <w:rPr>
          <w:rFonts w:cs="Times New Roman"/>
          <w:szCs w:val="24"/>
          <w:vertAlign w:val="subscript"/>
        </w:rPr>
        <w:t>2</w:t>
      </w:r>
      <w:r>
        <w:rPr>
          <w:rFonts w:cs="Times New Roman"/>
          <w:szCs w:val="24"/>
        </w:rPr>
        <w:t xml:space="preserve"> in a humidified incubator. In 18 hours, stromal cells attached, and epithelial cells remained in suspension. After 18 h, cells in suspension were removed, pelleted at 300 ×g for 10 min and counted, then re-plated at 5x10</w:t>
      </w:r>
      <w:r>
        <w:rPr>
          <w:rFonts w:cs="Times New Roman"/>
          <w:szCs w:val="24"/>
          <w:vertAlign w:val="superscript"/>
        </w:rPr>
        <w:t>5</w:t>
      </w:r>
      <w:r>
        <w:rPr>
          <w:rFonts w:cs="Times New Roman"/>
          <w:szCs w:val="24"/>
        </w:rPr>
        <w:t xml:space="preserve">/mL density into a new 24-well plate in “Culture medium for endometrial epithelium”. Medium was changed every 48 hours. After six days of culture, cells were stored cryogenically in </w:t>
      </w:r>
      <w:proofErr w:type="spellStart"/>
      <w:r>
        <w:rPr>
          <w:rFonts w:cs="Times New Roman"/>
          <w:szCs w:val="24"/>
        </w:rPr>
        <w:t>Bambanker</w:t>
      </w:r>
      <w:proofErr w:type="spellEnd"/>
      <w:r>
        <w:rPr>
          <w:rFonts w:cs="Times New Roman"/>
          <w:szCs w:val="24"/>
        </w:rPr>
        <w:t xml:space="preserve"> serum-free freezing medium at 10</w:t>
      </w:r>
      <w:r>
        <w:rPr>
          <w:rFonts w:cs="Times New Roman"/>
          <w:szCs w:val="24"/>
          <w:vertAlign w:val="superscript"/>
        </w:rPr>
        <w:t>6</w:t>
      </w:r>
      <w:r>
        <w:rPr>
          <w:rFonts w:cs="Times New Roman"/>
          <w:szCs w:val="24"/>
        </w:rPr>
        <w:t xml:space="preserve"> cells/mL density.</w:t>
      </w:r>
    </w:p>
    <w:p w14:paraId="4C7859D9" w14:textId="77777777" w:rsidR="00501361" w:rsidRDefault="00501361" w:rsidP="00501361">
      <w:pPr>
        <w:spacing w:after="0" w:line="480" w:lineRule="auto"/>
        <w:jc w:val="both"/>
        <w:rPr>
          <w:rFonts w:cs="Times New Roman"/>
          <w:szCs w:val="24"/>
        </w:rPr>
      </w:pPr>
    </w:p>
    <w:p w14:paraId="401BBC4A" w14:textId="77777777" w:rsidR="00501361" w:rsidRDefault="00501361" w:rsidP="00501361">
      <w:pPr>
        <w:pStyle w:val="ListParagraph"/>
        <w:numPr>
          <w:ilvl w:val="0"/>
          <w:numId w:val="1"/>
        </w:num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Migration assay</w:t>
      </w:r>
    </w:p>
    <w:p w14:paraId="0313304A" w14:textId="77777777" w:rsidR="00501361" w:rsidRDefault="00501361" w:rsidP="00501361">
      <w:pPr>
        <w:spacing w:after="0" w:line="480" w:lineRule="auto"/>
        <w:ind w:firstLine="567"/>
        <w:jc w:val="both"/>
        <w:rPr>
          <w:rFonts w:cs="Times New Roman"/>
          <w:szCs w:val="24"/>
        </w:rPr>
      </w:pPr>
      <w:r>
        <w:rPr>
          <w:rFonts w:cs="Times New Roman"/>
          <w:szCs w:val="24"/>
        </w:rPr>
        <w:t>General migratory function of granulocytes was assessed by placing 1x10</w:t>
      </w:r>
      <w:r>
        <w:rPr>
          <w:rFonts w:cs="Times New Roman"/>
          <w:szCs w:val="24"/>
          <w:vertAlign w:val="superscript"/>
        </w:rPr>
        <w:t>6</w:t>
      </w:r>
      <w:r>
        <w:rPr>
          <w:rFonts w:cs="Times New Roman"/>
          <w:szCs w:val="24"/>
        </w:rPr>
        <w:t xml:space="preserve"> cells into the upper chamber of a transwell system (24 well plate) with 3.0 µm pore size and </w:t>
      </w:r>
      <w:r>
        <w:rPr>
          <w:rFonts w:cs="Times New Roman"/>
          <w:i/>
          <w:szCs w:val="24"/>
        </w:rPr>
        <w:t>E. coli</w:t>
      </w:r>
      <w:r>
        <w:rPr>
          <w:rFonts w:cs="Times New Roman"/>
          <w:szCs w:val="24"/>
        </w:rPr>
        <w:t xml:space="preserve"> strain MS499 at a multiplicity of infection (MOI) of 10, or 10 ng/mL recombinant bovine IL-8, or RPMI 1640 introduced into the lower chambers of the transwell plate. Cells were cultured at 37 °C, in 5% CO</w:t>
      </w:r>
      <w:r>
        <w:rPr>
          <w:rFonts w:cs="Times New Roman"/>
          <w:szCs w:val="24"/>
          <w:vertAlign w:val="subscript"/>
        </w:rPr>
        <w:t>2</w:t>
      </w:r>
      <w:r>
        <w:rPr>
          <w:rFonts w:cs="Times New Roman"/>
          <w:szCs w:val="24"/>
        </w:rPr>
        <w:t xml:space="preserve">. The </w:t>
      </w:r>
      <w:r>
        <w:rPr>
          <w:rFonts w:cs="Times New Roman"/>
          <w:szCs w:val="24"/>
        </w:rPr>
        <w:lastRenderedPageBreak/>
        <w:t xml:space="preserve">granulocytes migrating through the transwell pores were counted from the lower chamber using a FastRead chamber slide after 3 and 24 hours. Two replicate wells were used for each condition and samples for counting were pipetted in duplicates into the counting chambers (a total of 4 counts for each condition were performed). On a separate 24-well plate, migratory function of granulocytes towards compromised epithelial cells were assessed as above with the modification of cultured endometrial epithelial cells in the lower chamber of the transwell plate, grown to a confluent monolayer. Epithelial cells were thawed, maintained and cultured in advance ready for study animals reaching study day 2. On each culture plate, 4 wells from epithelial cells isolated from at least two different uteruses were grown, with the exception of one migration assay, where four wells of only one set of epithelial cells reached the required confluency. One day before each migration assay, cell monolayers were rinsed with PBS and antibiotic-free culture medium was added, then replaced with fresh antibiotic-free medium in advance of each assay setup. Before addition of granulocytes, MS499 </w:t>
      </w:r>
      <w:r w:rsidRPr="004F78BC">
        <w:rPr>
          <w:rFonts w:cs="Times New Roman"/>
          <w:i/>
          <w:szCs w:val="24"/>
        </w:rPr>
        <w:t>E. coli</w:t>
      </w:r>
      <w:r>
        <w:rPr>
          <w:rFonts w:cs="Times New Roman"/>
          <w:i/>
          <w:szCs w:val="24"/>
        </w:rPr>
        <w:t xml:space="preserve"> </w:t>
      </w:r>
      <w:r>
        <w:rPr>
          <w:rFonts w:cs="Times New Roman"/>
          <w:szCs w:val="24"/>
        </w:rPr>
        <w:t>at MOI 10 were inoculated into the bottom compartment of two wells from each set of epithelial cells. This layout resulted in two infected and two non-infected replicate wells for each set of epithelial cells. Migrated granulocytes were counted in the lower chambers as described above.</w:t>
      </w:r>
    </w:p>
    <w:p w14:paraId="12302C5A" w14:textId="77777777" w:rsidR="00501361" w:rsidRDefault="00501361" w:rsidP="00501361">
      <w:pPr>
        <w:spacing w:after="0" w:line="480" w:lineRule="auto"/>
        <w:jc w:val="both"/>
        <w:rPr>
          <w:rFonts w:cs="Times New Roman"/>
          <w:szCs w:val="24"/>
        </w:rPr>
      </w:pPr>
    </w:p>
    <w:p w14:paraId="5D222547" w14:textId="77777777" w:rsidR="00501361" w:rsidRDefault="00501361" w:rsidP="00501361">
      <w:pPr>
        <w:pStyle w:val="ListParagraph"/>
        <w:numPr>
          <w:ilvl w:val="0"/>
          <w:numId w:val="1"/>
        </w:num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Bacterial killing assay</w:t>
      </w:r>
    </w:p>
    <w:p w14:paraId="01FD0890" w14:textId="680FA1B4" w:rsidR="00501361" w:rsidRDefault="00501361" w:rsidP="00501361">
      <w:pPr>
        <w:spacing w:after="0" w:line="480" w:lineRule="auto"/>
        <w:ind w:firstLine="567"/>
        <w:jc w:val="both"/>
        <w:rPr>
          <w:rFonts w:cs="Times New Roman"/>
          <w:szCs w:val="24"/>
        </w:rPr>
      </w:pPr>
      <w:r>
        <w:rPr>
          <w:rFonts w:cs="Times New Roman"/>
          <w:szCs w:val="24"/>
        </w:rPr>
        <w:t xml:space="preserve">The isolated granulocytes were co-cultured with </w:t>
      </w:r>
      <w:r>
        <w:rPr>
          <w:rFonts w:cs="Times New Roman"/>
          <w:i/>
          <w:szCs w:val="24"/>
        </w:rPr>
        <w:t>E. coli</w:t>
      </w:r>
      <w:r>
        <w:rPr>
          <w:rFonts w:cs="Times New Roman"/>
          <w:szCs w:val="24"/>
        </w:rPr>
        <w:t xml:space="preserve"> strain MS499 at a MOI of 10 (using 10</w:t>
      </w:r>
      <w:r>
        <w:rPr>
          <w:rFonts w:cs="Times New Roman"/>
          <w:szCs w:val="24"/>
          <w:vertAlign w:val="superscript"/>
        </w:rPr>
        <w:t>6</w:t>
      </w:r>
      <w:r>
        <w:rPr>
          <w:rFonts w:cs="Times New Roman"/>
          <w:szCs w:val="24"/>
        </w:rPr>
        <w:t xml:space="preserve"> granulocytes and 10</w:t>
      </w:r>
      <w:r>
        <w:rPr>
          <w:rFonts w:cs="Times New Roman"/>
          <w:szCs w:val="24"/>
          <w:vertAlign w:val="superscript"/>
        </w:rPr>
        <w:t>7</w:t>
      </w:r>
      <w:r>
        <w:rPr>
          <w:rFonts w:cs="Times New Roman"/>
          <w:szCs w:val="24"/>
        </w:rPr>
        <w:t xml:space="preserve"> bacterial cells in a well). In 4 wells of a 24-well plate, granulocytes and </w:t>
      </w:r>
      <w:r>
        <w:rPr>
          <w:rFonts w:cs="Times New Roman"/>
          <w:i/>
          <w:szCs w:val="24"/>
        </w:rPr>
        <w:t>E. coli</w:t>
      </w:r>
      <w:r>
        <w:rPr>
          <w:rFonts w:cs="Times New Roman"/>
          <w:szCs w:val="24"/>
        </w:rPr>
        <w:t xml:space="preserve"> cells were cultured together. At the 3 hours timepoint, supernatants from all wells were collected and </w:t>
      </w:r>
      <w:r>
        <w:rPr>
          <w:rFonts w:cs="Times New Roman"/>
          <w:szCs w:val="24"/>
        </w:rPr>
        <w:lastRenderedPageBreak/>
        <w:t xml:space="preserve">plated to determine </w:t>
      </w:r>
      <w:r w:rsidR="009C7C44">
        <w:rPr>
          <w:rFonts w:cs="Times New Roman"/>
          <w:szCs w:val="24"/>
        </w:rPr>
        <w:t xml:space="preserve">remaining </w:t>
      </w:r>
      <w:r>
        <w:rPr>
          <w:rFonts w:cs="Times New Roman"/>
          <w:szCs w:val="24"/>
        </w:rPr>
        <w:t xml:space="preserve">CFU counts. </w:t>
      </w:r>
      <w:r w:rsidR="009C7C44">
        <w:rPr>
          <w:rFonts w:cs="Times New Roman"/>
          <w:szCs w:val="24"/>
        </w:rPr>
        <w:t xml:space="preserve">To assess phagocytosed and still living bacteria </w:t>
      </w:r>
      <w:r>
        <w:rPr>
          <w:rFonts w:cs="Times New Roman"/>
          <w:szCs w:val="24"/>
        </w:rPr>
        <w:t xml:space="preserve">granulocytes were washed twice with 50 µg/mL Gentamycin </w:t>
      </w:r>
      <w:r w:rsidR="009C7C44">
        <w:rPr>
          <w:rFonts w:cs="Times New Roman"/>
          <w:szCs w:val="24"/>
        </w:rPr>
        <w:t xml:space="preserve">at this timepoint </w:t>
      </w:r>
      <w:r>
        <w:rPr>
          <w:rFonts w:cs="Times New Roman"/>
          <w:szCs w:val="24"/>
        </w:rPr>
        <w:t xml:space="preserve">and lysed for back-plating in two out of the four co-culture wells. The other two co-culture wells were washed, and the granulocytes were maintained in media containing 50µg/mL Gentamycin for additional 21 hours, when they were lysed and back-plated (24 hours timepoint). </w:t>
      </w:r>
      <w:r w:rsidR="009C7C44">
        <w:rPr>
          <w:rFonts w:cs="Times New Roman"/>
          <w:szCs w:val="24"/>
        </w:rPr>
        <w:t>At this timepoint, bacteria taken up would have replicated if not killed intracellularly. C</w:t>
      </w:r>
      <w:r>
        <w:rPr>
          <w:rFonts w:cs="Times New Roman"/>
          <w:szCs w:val="24"/>
        </w:rPr>
        <w:t xml:space="preserve">ells were lysed using a lysis buffer consisting of 0.1% Triton X100 prepared in PBS. To calculate CFU numbers, tenfold dilution series of bacterial suspensions were prepared and dilutions 2 to 7 (in case of culture supernatants) or 1 to 6 (in case of lysed granulocytes) were plated onto LB plates and grown at 37 °C for maximum 12 hours. Distinguishable colonies were counted in at least two dilutions for each replicate and CFUs were calculated according to </w:t>
      </w:r>
      <w:r>
        <w:rPr>
          <w:rFonts w:cs="Times New Roman"/>
          <w:szCs w:val="24"/>
        </w:rPr>
        <w:fldChar w:fldCharType="begin"/>
      </w:r>
      <w:r>
        <w:rPr>
          <w:rFonts w:cs="Times New Roman"/>
          <w:szCs w:val="24"/>
        </w:rPr>
        <w:instrText xml:space="preserve"> ADDIN EN.CITE &lt;EndNote&gt;&lt;Cite&gt;&lt;Author&gt;Miles&lt;/Author&gt;&lt;Year&gt;2009&lt;/Year&gt;&lt;RecNum&gt;31&lt;/RecNum&gt;&lt;DisplayText&gt;(Miles et al., 2009)&lt;/DisplayText&gt;&lt;record&gt;&lt;rec-number&gt;31&lt;/rec-number&gt;&lt;foreign-keys&gt;&lt;key app="EN" db-id="afxpdr2f25dx9se50fbxxewmvpw5r9v59edp" timestamp="1550432153"&gt;31&lt;/key&gt;&lt;/foreign-keys&gt;&lt;ref-type name="Journal Article"&gt;17&lt;/ref-type&gt;&lt;contributors&gt;&lt;authors&gt;&lt;author&gt;Miles, A. A.&lt;/author&gt;&lt;author&gt;Misra, S. S.&lt;/author&gt;&lt;author&gt;Irwin, J. O.&lt;/author&gt;&lt;/authors&gt;&lt;/contributors&gt;&lt;titles&gt;&lt;title&gt;The estimation of the bactericidal power of the blood&lt;/title&gt;&lt;secondary-title&gt;Epidemiology and Infection&lt;/secondary-title&gt;&lt;/titles&gt;&lt;periodical&gt;&lt;full-title&gt;Epidemiology and Infection&lt;/full-title&gt;&lt;/periodical&gt;&lt;pages&gt;732-749&lt;/pages&gt;&lt;volume&gt;38&lt;/volume&gt;&lt;number&gt;6&lt;/number&gt;&lt;edition&gt;05/15&lt;/edition&gt;&lt;dates&gt;&lt;year&gt;2009&lt;/year&gt;&lt;/dates&gt;&lt;publisher&gt;Cambridge University Press&lt;/publisher&gt;&lt;isbn&gt;0950-2688&lt;/isbn&gt;&lt;urls&gt;&lt;related-urls&gt;&lt;url&gt;https://www.cambridge.org/core/article/estimation-of-the-bactericidal-power-of-the-blood/D0A0300D759AD6220846B4AA687436C2&lt;/url&gt;&lt;/related-urls&gt;&lt;/urls&gt;&lt;electronic-resource-num&gt;10.1017/S002217240001158X&lt;/electronic-resource-num&gt;&lt;remote-database-name&gt;Cambridge Core&lt;/remote-database-name&gt;&lt;remote-database-provider&gt;Cambridge University Press&lt;/remote-database-provider&gt;&lt;/record&gt;&lt;/Cite&gt;&lt;/EndNote&gt;</w:instrText>
      </w:r>
      <w:r>
        <w:rPr>
          <w:rFonts w:cs="Times New Roman"/>
          <w:szCs w:val="24"/>
        </w:rPr>
        <w:fldChar w:fldCharType="separate"/>
      </w:r>
      <w:r>
        <w:rPr>
          <w:rFonts w:cs="Times New Roman"/>
          <w:noProof/>
          <w:szCs w:val="24"/>
        </w:rPr>
        <w:t>(Miles et al., 2009)</w:t>
      </w:r>
      <w:r>
        <w:rPr>
          <w:rFonts w:cs="Times New Roman"/>
          <w:szCs w:val="24"/>
        </w:rPr>
        <w:fldChar w:fldCharType="end"/>
      </w:r>
      <w:r>
        <w:rPr>
          <w:rFonts w:cs="Times New Roman"/>
          <w:szCs w:val="24"/>
        </w:rPr>
        <w:t>.</w:t>
      </w:r>
    </w:p>
    <w:p w14:paraId="633E21C6" w14:textId="77777777" w:rsidR="00501361" w:rsidRDefault="00501361" w:rsidP="00501361">
      <w:pPr>
        <w:spacing w:after="0" w:line="480" w:lineRule="auto"/>
        <w:ind w:firstLine="567"/>
        <w:jc w:val="both"/>
        <w:rPr>
          <w:rFonts w:cs="Times New Roman"/>
          <w:szCs w:val="24"/>
        </w:rPr>
      </w:pPr>
    </w:p>
    <w:p w14:paraId="61A2A23D" w14:textId="77777777" w:rsidR="00501361" w:rsidRDefault="00501361" w:rsidP="00501361">
      <w:pPr>
        <w:pStyle w:val="ListParagraph"/>
        <w:numPr>
          <w:ilvl w:val="0"/>
          <w:numId w:val="1"/>
        </w:num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Culture of MS499 </w:t>
      </w:r>
      <w:r w:rsidRPr="00AD281B">
        <w:rPr>
          <w:rFonts w:ascii="Times New Roman" w:hAnsi="Times New Roman" w:cs="Times New Roman"/>
          <w:i/>
          <w:sz w:val="24"/>
          <w:szCs w:val="24"/>
        </w:rPr>
        <w:t>E. coli</w:t>
      </w:r>
    </w:p>
    <w:p w14:paraId="3736F1ED" w14:textId="77777777" w:rsidR="00501361" w:rsidRDefault="00501361" w:rsidP="0050136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MS499 cells were freshly plated onto LB agar plates from glycerol stock every week. On days when bactericidal and migration assay setup was required, one colony was lifted off the plate and inoculated into 5 mL DMEM/F12 medium, incubated at 37 °C in an aerated tube and without shaking. Optical density at 600 nm was measured until reaching approximately 0.4, then bacterial cell concentrations were estimated based on the exact measured OD. The formula for bacterial cell estimation was calculated as a result of two preliminary experiments, describing the growth curve specific to the MS499 strain and the culture conditions. Cell concentration was adjusted to contain 10</w:t>
      </w:r>
      <w:r>
        <w:rPr>
          <w:rFonts w:ascii="Times New Roman" w:hAnsi="Times New Roman" w:cs="Times New Roman"/>
          <w:sz w:val="24"/>
          <w:szCs w:val="24"/>
          <w:vertAlign w:val="superscript"/>
        </w:rPr>
        <w:t>9</w:t>
      </w:r>
      <w:r>
        <w:rPr>
          <w:rFonts w:ascii="Times New Roman" w:hAnsi="Times New Roman" w:cs="Times New Roman"/>
          <w:sz w:val="24"/>
          <w:szCs w:val="24"/>
        </w:rPr>
        <w:t xml:space="preserve"> </w:t>
      </w:r>
      <w:r>
        <w:rPr>
          <w:rFonts w:ascii="Times New Roman" w:hAnsi="Times New Roman" w:cs="Times New Roman"/>
          <w:sz w:val="24"/>
          <w:szCs w:val="24"/>
        </w:rPr>
        <w:lastRenderedPageBreak/>
        <w:t>cells/mL suspension and 10 µL of this (10</w:t>
      </w:r>
      <w:r>
        <w:rPr>
          <w:rFonts w:ascii="Times New Roman" w:hAnsi="Times New Roman" w:cs="Times New Roman"/>
          <w:sz w:val="24"/>
          <w:szCs w:val="24"/>
          <w:vertAlign w:val="superscript"/>
        </w:rPr>
        <w:t>7</w:t>
      </w:r>
      <w:r>
        <w:rPr>
          <w:rFonts w:ascii="Times New Roman" w:hAnsi="Times New Roman" w:cs="Times New Roman"/>
          <w:sz w:val="24"/>
          <w:szCs w:val="24"/>
        </w:rPr>
        <w:t xml:space="preserve"> cells) was added to each inoculated well in bactericidal and migration assay plates.</w:t>
      </w:r>
    </w:p>
    <w:p w14:paraId="51EBDCED" w14:textId="3FE524A0" w:rsidR="00CC54E6" w:rsidRDefault="00CC54E6"/>
    <w:p w14:paraId="54BAE916" w14:textId="604942A2" w:rsidR="00300444" w:rsidRPr="006024E2" w:rsidRDefault="00300444" w:rsidP="005B7D84">
      <w:pPr>
        <w:pageBreakBefore/>
        <w:spacing w:after="0" w:line="480" w:lineRule="auto"/>
        <w:jc w:val="both"/>
        <w:rPr>
          <w:b/>
        </w:rPr>
      </w:pPr>
      <w:r w:rsidRPr="006024E2">
        <w:rPr>
          <w:b/>
        </w:rPr>
        <w:lastRenderedPageBreak/>
        <w:t xml:space="preserve">B. Results of </w:t>
      </w:r>
      <w:r w:rsidR="0018371C" w:rsidRPr="006024E2">
        <w:rPr>
          <w:b/>
        </w:rPr>
        <w:t>e</w:t>
      </w:r>
      <w:r w:rsidRPr="006024E2">
        <w:rPr>
          <w:b/>
        </w:rPr>
        <w:t>x vivo measured parameters</w:t>
      </w:r>
    </w:p>
    <w:p w14:paraId="20FB83C9" w14:textId="77777777" w:rsidR="0018371C" w:rsidRDefault="0018371C" w:rsidP="005B7D84">
      <w:pPr>
        <w:spacing w:after="0" w:line="480" w:lineRule="auto"/>
        <w:jc w:val="both"/>
      </w:pPr>
    </w:p>
    <w:p w14:paraId="3BD6A84B" w14:textId="6CD6260F" w:rsidR="00C532AC" w:rsidRDefault="00C532AC" w:rsidP="005B7D84">
      <w:pPr>
        <w:spacing w:after="0" w:line="480" w:lineRule="auto"/>
        <w:jc w:val="both"/>
      </w:pPr>
      <w:r>
        <w:t xml:space="preserve">Fatty acid </w:t>
      </w:r>
      <w:r w:rsidR="00300444">
        <w:t>levels measured in study groups nine days before estimated parturition:</w:t>
      </w:r>
    </w:p>
    <w:p w14:paraId="053DE714" w14:textId="191FA45D" w:rsidR="00C532AC" w:rsidRDefault="00C532AC" w:rsidP="005B7D84">
      <w:pPr>
        <w:spacing w:after="0" w:line="480" w:lineRule="auto"/>
        <w:jc w:val="both"/>
      </w:pPr>
      <w:r>
        <w:t>T</w:t>
      </w:r>
      <w:r w:rsidR="00300444">
        <w:t xml:space="preserve">reatment group: </w:t>
      </w:r>
      <w:r w:rsidR="006024E2">
        <w:tab/>
      </w:r>
      <w:proofErr w:type="spellStart"/>
      <w:r w:rsidR="00300444">
        <w:t>mean</w:t>
      </w:r>
      <w:r w:rsidR="00300444">
        <w:rPr>
          <w:rFonts w:cs="Times New Roman"/>
        </w:rPr>
        <w:t>±</w:t>
      </w:r>
      <w:r w:rsidR="00300444">
        <w:t>SD</w:t>
      </w:r>
      <w:proofErr w:type="spellEnd"/>
      <w:r w:rsidR="00300444">
        <w:t xml:space="preserve"> = 171.5</w:t>
      </w:r>
      <w:r w:rsidR="00300444">
        <w:rPr>
          <w:rFonts w:cs="Times New Roman"/>
        </w:rPr>
        <w:t>±</w:t>
      </w:r>
      <w:r w:rsidR="00300444">
        <w:t>87.44</w:t>
      </w:r>
      <w:r w:rsidR="00300444" w:rsidRPr="004B097A">
        <w:rPr>
          <w:rFonts w:cs="Times New Roman"/>
        </w:rPr>
        <w:t xml:space="preserve"> </w:t>
      </w:r>
      <w:proofErr w:type="spellStart"/>
      <w:r w:rsidR="00300444">
        <w:rPr>
          <w:rFonts w:cs="Times New Roman"/>
        </w:rPr>
        <w:t>μ</w:t>
      </w:r>
      <w:r w:rsidR="00300444">
        <w:t>mol</w:t>
      </w:r>
      <w:proofErr w:type="spellEnd"/>
      <w:r w:rsidR="00300444">
        <w:t>/L</w:t>
      </w:r>
    </w:p>
    <w:p w14:paraId="558E4A14" w14:textId="5D151227" w:rsidR="00300444" w:rsidRDefault="00C532AC" w:rsidP="005B7D84">
      <w:pPr>
        <w:spacing w:after="0" w:line="480" w:lineRule="auto"/>
        <w:jc w:val="both"/>
      </w:pPr>
      <w:r>
        <w:t>P</w:t>
      </w:r>
      <w:r w:rsidR="00300444">
        <w:t xml:space="preserve">lacebo: </w:t>
      </w:r>
      <w:r w:rsidR="006024E2">
        <w:tab/>
      </w:r>
      <w:r w:rsidR="006024E2">
        <w:tab/>
      </w:r>
      <w:proofErr w:type="spellStart"/>
      <w:r w:rsidR="00300444">
        <w:t>mean</w:t>
      </w:r>
      <w:r w:rsidR="00300444">
        <w:rPr>
          <w:rFonts w:cs="Times New Roman"/>
        </w:rPr>
        <w:t>±</w:t>
      </w:r>
      <w:r w:rsidR="00300444">
        <w:t>SD</w:t>
      </w:r>
      <w:proofErr w:type="spellEnd"/>
      <w:r w:rsidR="00300444">
        <w:t xml:space="preserve"> = 138.2</w:t>
      </w:r>
      <w:r w:rsidR="00300444">
        <w:rPr>
          <w:rFonts w:cs="Times New Roman"/>
        </w:rPr>
        <w:t xml:space="preserve">±70.41 </w:t>
      </w:r>
      <w:proofErr w:type="spellStart"/>
      <w:r w:rsidR="00300444">
        <w:rPr>
          <w:rFonts w:cs="Times New Roman"/>
        </w:rPr>
        <w:t>μ</w:t>
      </w:r>
      <w:r w:rsidR="00300444">
        <w:t>mol</w:t>
      </w:r>
      <w:proofErr w:type="spellEnd"/>
      <w:r w:rsidR="00300444">
        <w:t>/L.</w:t>
      </w:r>
    </w:p>
    <w:p w14:paraId="132ED51D" w14:textId="77777777" w:rsidR="00C532AC" w:rsidRDefault="00C532AC" w:rsidP="005B7D84">
      <w:pPr>
        <w:spacing w:after="0" w:line="480" w:lineRule="auto"/>
        <w:jc w:val="both"/>
      </w:pPr>
    </w:p>
    <w:p w14:paraId="7473FC7B" w14:textId="35CA6A0A" w:rsidR="00C532AC" w:rsidRDefault="00300444" w:rsidP="00300444">
      <w:pPr>
        <w:spacing w:after="0" w:line="480" w:lineRule="auto"/>
        <w:jc w:val="both"/>
      </w:pPr>
      <w:r>
        <w:t>BHBA levels measured at three timepoints</w:t>
      </w:r>
      <w:r w:rsidR="00C532AC">
        <w:t xml:space="preserve"> (values shown as </w:t>
      </w:r>
      <w:proofErr w:type="spellStart"/>
      <w:r w:rsidR="00C532AC">
        <w:t>mean</w:t>
      </w:r>
      <w:r w:rsidR="00C532AC">
        <w:rPr>
          <w:rFonts w:cs="Times New Roman"/>
        </w:rPr>
        <w:t>±</w:t>
      </w:r>
      <w:r w:rsidR="00C532AC">
        <w:t>SD</w:t>
      </w:r>
      <w:proofErr w:type="spellEnd"/>
      <w:r w:rsidR="00C532AC">
        <w:t>)</w:t>
      </w:r>
      <w:r>
        <w:t xml:space="preserve">: </w:t>
      </w:r>
    </w:p>
    <w:tbl>
      <w:tblPr>
        <w:tblStyle w:val="TableGrid"/>
        <w:tblW w:w="0" w:type="auto"/>
        <w:tblLook w:val="04A0" w:firstRow="1" w:lastRow="0" w:firstColumn="1" w:lastColumn="0" w:noHBand="0" w:noVBand="1"/>
      </w:tblPr>
      <w:tblGrid>
        <w:gridCol w:w="2254"/>
        <w:gridCol w:w="2254"/>
        <w:gridCol w:w="2254"/>
        <w:gridCol w:w="2254"/>
      </w:tblGrid>
      <w:tr w:rsidR="00C532AC" w14:paraId="7E14A7E1" w14:textId="77777777" w:rsidTr="00C532AC">
        <w:tc>
          <w:tcPr>
            <w:tcW w:w="2254" w:type="dxa"/>
          </w:tcPr>
          <w:p w14:paraId="0F0D786C" w14:textId="77777777" w:rsidR="00C532AC" w:rsidRDefault="00C532AC" w:rsidP="00300444">
            <w:pPr>
              <w:spacing w:after="0" w:line="480" w:lineRule="auto"/>
              <w:jc w:val="both"/>
            </w:pPr>
          </w:p>
        </w:tc>
        <w:tc>
          <w:tcPr>
            <w:tcW w:w="2254" w:type="dxa"/>
          </w:tcPr>
          <w:p w14:paraId="12D18906" w14:textId="4B541434" w:rsidR="00C532AC" w:rsidRDefault="00C532AC" w:rsidP="006024E2">
            <w:pPr>
              <w:spacing w:after="0" w:line="480" w:lineRule="auto"/>
              <w:jc w:val="center"/>
            </w:pPr>
            <w:r>
              <w:t>Day -9</w:t>
            </w:r>
          </w:p>
        </w:tc>
        <w:tc>
          <w:tcPr>
            <w:tcW w:w="2254" w:type="dxa"/>
          </w:tcPr>
          <w:p w14:paraId="0B827117" w14:textId="0C5120AC" w:rsidR="00C532AC" w:rsidRDefault="00C532AC" w:rsidP="006024E2">
            <w:pPr>
              <w:spacing w:after="0" w:line="480" w:lineRule="auto"/>
              <w:jc w:val="center"/>
            </w:pPr>
            <w:r>
              <w:t>Day -5</w:t>
            </w:r>
          </w:p>
        </w:tc>
        <w:tc>
          <w:tcPr>
            <w:tcW w:w="2254" w:type="dxa"/>
          </w:tcPr>
          <w:p w14:paraId="263944E4" w14:textId="07953A77" w:rsidR="00C532AC" w:rsidRDefault="00C532AC" w:rsidP="006024E2">
            <w:pPr>
              <w:spacing w:after="0" w:line="480" w:lineRule="auto"/>
              <w:jc w:val="center"/>
            </w:pPr>
            <w:r>
              <w:t>Day 2</w:t>
            </w:r>
          </w:p>
        </w:tc>
      </w:tr>
      <w:tr w:rsidR="00C532AC" w14:paraId="58C6FE91" w14:textId="77777777" w:rsidTr="00C532AC">
        <w:tc>
          <w:tcPr>
            <w:tcW w:w="2254" w:type="dxa"/>
          </w:tcPr>
          <w:p w14:paraId="797966C2" w14:textId="54BDC851" w:rsidR="00C532AC" w:rsidRDefault="00C532AC" w:rsidP="00300444">
            <w:pPr>
              <w:spacing w:after="0" w:line="480" w:lineRule="auto"/>
              <w:jc w:val="both"/>
            </w:pPr>
            <w:r>
              <w:t>Treatment</w:t>
            </w:r>
          </w:p>
        </w:tc>
        <w:tc>
          <w:tcPr>
            <w:tcW w:w="2254" w:type="dxa"/>
          </w:tcPr>
          <w:p w14:paraId="416822C7" w14:textId="3344B555" w:rsidR="00C532AC" w:rsidRDefault="00C532AC" w:rsidP="006024E2">
            <w:pPr>
              <w:spacing w:after="0" w:line="480" w:lineRule="auto"/>
              <w:jc w:val="center"/>
            </w:pPr>
            <w:r>
              <w:t>0.50</w:t>
            </w:r>
            <w:r>
              <w:rPr>
                <w:rFonts w:cs="Times New Roman"/>
              </w:rPr>
              <w:t>±0.89 mmol/L</w:t>
            </w:r>
          </w:p>
        </w:tc>
        <w:tc>
          <w:tcPr>
            <w:tcW w:w="2254" w:type="dxa"/>
          </w:tcPr>
          <w:p w14:paraId="530B0156" w14:textId="4BC0B93C" w:rsidR="00C532AC" w:rsidRDefault="00C532AC" w:rsidP="006024E2">
            <w:pPr>
              <w:spacing w:after="0" w:line="480" w:lineRule="auto"/>
              <w:jc w:val="center"/>
            </w:pPr>
            <w:r>
              <w:rPr>
                <w:rFonts w:cs="Times New Roman"/>
              </w:rPr>
              <w:t>0.45±0.12 mmol/L</w:t>
            </w:r>
          </w:p>
        </w:tc>
        <w:tc>
          <w:tcPr>
            <w:tcW w:w="2254" w:type="dxa"/>
          </w:tcPr>
          <w:p w14:paraId="683F204C" w14:textId="16139F07" w:rsidR="00C532AC" w:rsidRDefault="00C532AC" w:rsidP="006024E2">
            <w:pPr>
              <w:spacing w:after="0" w:line="480" w:lineRule="auto"/>
              <w:jc w:val="center"/>
            </w:pPr>
            <w:r>
              <w:rPr>
                <w:rFonts w:cs="Times New Roman"/>
              </w:rPr>
              <w:t>0.60±0.14 mmol/L</w:t>
            </w:r>
          </w:p>
        </w:tc>
      </w:tr>
      <w:tr w:rsidR="00C532AC" w14:paraId="4FD0F11E" w14:textId="77777777" w:rsidTr="00C532AC">
        <w:tc>
          <w:tcPr>
            <w:tcW w:w="2254" w:type="dxa"/>
          </w:tcPr>
          <w:p w14:paraId="6520DD49" w14:textId="2CA16DBE" w:rsidR="00C532AC" w:rsidRDefault="00C532AC" w:rsidP="00300444">
            <w:pPr>
              <w:spacing w:after="0" w:line="480" w:lineRule="auto"/>
              <w:jc w:val="both"/>
            </w:pPr>
            <w:r>
              <w:t>Placebo</w:t>
            </w:r>
          </w:p>
        </w:tc>
        <w:tc>
          <w:tcPr>
            <w:tcW w:w="2254" w:type="dxa"/>
          </w:tcPr>
          <w:p w14:paraId="38D626D7" w14:textId="6C5FE2AE" w:rsidR="00C532AC" w:rsidRDefault="00C532AC" w:rsidP="006024E2">
            <w:pPr>
              <w:spacing w:after="0" w:line="480" w:lineRule="auto"/>
              <w:jc w:val="center"/>
            </w:pPr>
            <w:r>
              <w:rPr>
                <w:rFonts w:cs="Times New Roman"/>
              </w:rPr>
              <w:t>0.46±0.13 mmol/L</w:t>
            </w:r>
          </w:p>
        </w:tc>
        <w:tc>
          <w:tcPr>
            <w:tcW w:w="2254" w:type="dxa"/>
          </w:tcPr>
          <w:p w14:paraId="0A9CE079" w14:textId="49BD0743" w:rsidR="00C532AC" w:rsidRDefault="00C532AC" w:rsidP="006024E2">
            <w:pPr>
              <w:spacing w:after="0" w:line="480" w:lineRule="auto"/>
              <w:jc w:val="center"/>
            </w:pPr>
            <w:r>
              <w:rPr>
                <w:rFonts w:cs="Times New Roman"/>
              </w:rPr>
              <w:t>0.46±0.09 mmol/L</w:t>
            </w:r>
          </w:p>
        </w:tc>
        <w:tc>
          <w:tcPr>
            <w:tcW w:w="2254" w:type="dxa"/>
          </w:tcPr>
          <w:p w14:paraId="3F5C37AE" w14:textId="75411CA8" w:rsidR="00C532AC" w:rsidRDefault="00C532AC" w:rsidP="006024E2">
            <w:pPr>
              <w:spacing w:after="0" w:line="480" w:lineRule="auto"/>
              <w:jc w:val="center"/>
            </w:pPr>
            <w:r>
              <w:rPr>
                <w:rFonts w:cs="Times New Roman"/>
              </w:rPr>
              <w:t>0.68±0.18 mmol/L</w:t>
            </w:r>
          </w:p>
        </w:tc>
      </w:tr>
    </w:tbl>
    <w:p w14:paraId="6059E45E" w14:textId="77777777" w:rsidR="00C532AC" w:rsidRDefault="00C532AC" w:rsidP="00300444">
      <w:pPr>
        <w:spacing w:after="0" w:line="480" w:lineRule="auto"/>
        <w:jc w:val="both"/>
      </w:pPr>
    </w:p>
    <w:p w14:paraId="6D435191" w14:textId="036ABCA5" w:rsidR="00300444" w:rsidRDefault="00300444" w:rsidP="00300444">
      <w:pPr>
        <w:spacing w:after="0" w:line="480" w:lineRule="auto"/>
        <w:jc w:val="both"/>
        <w:rPr>
          <w:rFonts w:cs="Times New Roman"/>
        </w:rPr>
      </w:pPr>
      <w:r>
        <w:rPr>
          <w:rFonts w:cs="Times New Roman"/>
        </w:rPr>
        <w:t xml:space="preserve">WBC concentrations measured at all three </w:t>
      </w:r>
      <w:proofErr w:type="spellStart"/>
      <w:r>
        <w:rPr>
          <w:rFonts w:cs="Times New Roman"/>
        </w:rPr>
        <w:t>timepoints</w:t>
      </w:r>
      <w:proofErr w:type="spellEnd"/>
      <w:r w:rsidR="00C532AC">
        <w:rPr>
          <w:rFonts w:cs="Times New Roman"/>
        </w:rPr>
        <w:t xml:space="preserve"> (values (</w:t>
      </w:r>
      <w:proofErr w:type="spellStart"/>
      <w:r w:rsidR="00C532AC">
        <w:t>mean</w:t>
      </w:r>
      <w:r w:rsidR="00C532AC">
        <w:rPr>
          <w:rFonts w:cs="Times New Roman"/>
        </w:rPr>
        <w:t>±</w:t>
      </w:r>
      <w:r w:rsidR="00C532AC">
        <w:t>SD</w:t>
      </w:r>
      <w:proofErr w:type="spellEnd"/>
      <w:r w:rsidR="00C532AC">
        <w:rPr>
          <w:rFonts w:cs="Times New Roman"/>
        </w:rPr>
        <w:t xml:space="preserve"> of groups) are shown in x10</w:t>
      </w:r>
      <w:r w:rsidR="00C532AC">
        <w:rPr>
          <w:rFonts w:cs="Times New Roman"/>
          <w:vertAlign w:val="superscript"/>
        </w:rPr>
        <w:t>9</w:t>
      </w:r>
      <w:r w:rsidR="00C532AC">
        <w:rPr>
          <w:rFonts w:cs="Times New Roman"/>
        </w:rPr>
        <w:t xml:space="preserve"> cells/L</w:t>
      </w:r>
      <w:r>
        <w:t xml:space="preserve">: </w:t>
      </w:r>
    </w:p>
    <w:tbl>
      <w:tblPr>
        <w:tblStyle w:val="TableGrid"/>
        <w:tblW w:w="8926" w:type="dxa"/>
        <w:tblLook w:val="04A0" w:firstRow="1" w:lastRow="0" w:firstColumn="1" w:lastColumn="0" w:noHBand="0" w:noVBand="1"/>
      </w:tblPr>
      <w:tblGrid>
        <w:gridCol w:w="2254"/>
        <w:gridCol w:w="2254"/>
        <w:gridCol w:w="2433"/>
        <w:gridCol w:w="1985"/>
      </w:tblGrid>
      <w:tr w:rsidR="00C532AC" w14:paraId="09F3430B" w14:textId="77777777" w:rsidTr="006024E2">
        <w:tc>
          <w:tcPr>
            <w:tcW w:w="2254" w:type="dxa"/>
          </w:tcPr>
          <w:p w14:paraId="79E55711" w14:textId="77777777" w:rsidR="00C532AC" w:rsidRDefault="00C532AC" w:rsidP="00F56654">
            <w:pPr>
              <w:spacing w:after="0" w:line="480" w:lineRule="auto"/>
              <w:jc w:val="both"/>
            </w:pPr>
          </w:p>
        </w:tc>
        <w:tc>
          <w:tcPr>
            <w:tcW w:w="2254" w:type="dxa"/>
          </w:tcPr>
          <w:p w14:paraId="6E4A13AB" w14:textId="77777777" w:rsidR="00C532AC" w:rsidRDefault="00C532AC" w:rsidP="00F56654">
            <w:pPr>
              <w:spacing w:after="0" w:line="480" w:lineRule="auto"/>
              <w:jc w:val="center"/>
            </w:pPr>
            <w:r>
              <w:t>Day -9</w:t>
            </w:r>
          </w:p>
        </w:tc>
        <w:tc>
          <w:tcPr>
            <w:tcW w:w="2433" w:type="dxa"/>
          </w:tcPr>
          <w:p w14:paraId="2AE187ED" w14:textId="77777777" w:rsidR="00C532AC" w:rsidRDefault="00C532AC" w:rsidP="00F56654">
            <w:pPr>
              <w:spacing w:after="0" w:line="480" w:lineRule="auto"/>
              <w:jc w:val="center"/>
            </w:pPr>
            <w:r>
              <w:t>Day -5</w:t>
            </w:r>
          </w:p>
        </w:tc>
        <w:tc>
          <w:tcPr>
            <w:tcW w:w="1985" w:type="dxa"/>
          </w:tcPr>
          <w:p w14:paraId="29284BDE" w14:textId="77777777" w:rsidR="00C532AC" w:rsidRDefault="00C532AC" w:rsidP="00F56654">
            <w:pPr>
              <w:spacing w:after="0" w:line="480" w:lineRule="auto"/>
              <w:jc w:val="center"/>
            </w:pPr>
            <w:r>
              <w:t>Day 2</w:t>
            </w:r>
          </w:p>
        </w:tc>
      </w:tr>
      <w:tr w:rsidR="00C532AC" w14:paraId="3F47EBA0" w14:textId="77777777" w:rsidTr="006024E2">
        <w:tc>
          <w:tcPr>
            <w:tcW w:w="2254" w:type="dxa"/>
          </w:tcPr>
          <w:p w14:paraId="545FA3BC" w14:textId="77777777" w:rsidR="00C532AC" w:rsidRDefault="00C532AC" w:rsidP="00F56654">
            <w:pPr>
              <w:spacing w:after="0" w:line="480" w:lineRule="auto"/>
              <w:jc w:val="both"/>
            </w:pPr>
            <w:r>
              <w:t>Treatment</w:t>
            </w:r>
          </w:p>
        </w:tc>
        <w:tc>
          <w:tcPr>
            <w:tcW w:w="2254" w:type="dxa"/>
          </w:tcPr>
          <w:p w14:paraId="7419399D" w14:textId="511730DE" w:rsidR="00C532AC" w:rsidRDefault="00C532AC" w:rsidP="00F56654">
            <w:pPr>
              <w:spacing w:after="0" w:line="480" w:lineRule="auto"/>
              <w:jc w:val="center"/>
            </w:pPr>
            <w:r>
              <w:t>7.83</w:t>
            </w:r>
            <w:r>
              <w:rPr>
                <w:rFonts w:cs="Times New Roman"/>
              </w:rPr>
              <w:t>±1.7</w:t>
            </w:r>
          </w:p>
        </w:tc>
        <w:tc>
          <w:tcPr>
            <w:tcW w:w="2433" w:type="dxa"/>
          </w:tcPr>
          <w:p w14:paraId="06C41F78" w14:textId="7F6F8F09" w:rsidR="00C532AC" w:rsidRDefault="00C532AC" w:rsidP="006024E2">
            <w:pPr>
              <w:spacing w:after="0" w:line="480" w:lineRule="auto"/>
              <w:jc w:val="center"/>
            </w:pPr>
            <w:r>
              <w:rPr>
                <w:rFonts w:cs="Times New Roman"/>
              </w:rPr>
              <w:t>20.27±6.8</w:t>
            </w:r>
          </w:p>
        </w:tc>
        <w:tc>
          <w:tcPr>
            <w:tcW w:w="1985" w:type="dxa"/>
          </w:tcPr>
          <w:p w14:paraId="2CF7F392" w14:textId="4F4509EE" w:rsidR="00C532AC" w:rsidRDefault="00C532AC" w:rsidP="00F56654">
            <w:pPr>
              <w:spacing w:after="0" w:line="480" w:lineRule="auto"/>
              <w:jc w:val="center"/>
            </w:pPr>
            <w:r>
              <w:rPr>
                <w:rFonts w:cs="Times New Roman"/>
              </w:rPr>
              <w:t>43.01±21.2</w:t>
            </w:r>
          </w:p>
        </w:tc>
      </w:tr>
      <w:tr w:rsidR="00C532AC" w14:paraId="3DB14F18" w14:textId="77777777" w:rsidTr="006024E2">
        <w:tc>
          <w:tcPr>
            <w:tcW w:w="2254" w:type="dxa"/>
          </w:tcPr>
          <w:p w14:paraId="45272CD2" w14:textId="77777777" w:rsidR="00C532AC" w:rsidRDefault="00C532AC" w:rsidP="00F56654">
            <w:pPr>
              <w:spacing w:after="0" w:line="480" w:lineRule="auto"/>
              <w:jc w:val="both"/>
            </w:pPr>
            <w:r>
              <w:t>Placebo</w:t>
            </w:r>
          </w:p>
        </w:tc>
        <w:tc>
          <w:tcPr>
            <w:tcW w:w="2254" w:type="dxa"/>
          </w:tcPr>
          <w:p w14:paraId="0AEF4A03" w14:textId="35588257" w:rsidR="00C532AC" w:rsidRDefault="00C532AC" w:rsidP="00F56654">
            <w:pPr>
              <w:spacing w:after="0" w:line="480" w:lineRule="auto"/>
              <w:jc w:val="center"/>
            </w:pPr>
            <w:r>
              <w:rPr>
                <w:rFonts w:cs="Times New Roman"/>
              </w:rPr>
              <w:t>8.46±2.2</w:t>
            </w:r>
          </w:p>
        </w:tc>
        <w:tc>
          <w:tcPr>
            <w:tcW w:w="2433" w:type="dxa"/>
          </w:tcPr>
          <w:p w14:paraId="18F700C7" w14:textId="37EB3C5E" w:rsidR="00C532AC" w:rsidRDefault="00C532AC" w:rsidP="00F56654">
            <w:pPr>
              <w:spacing w:after="0" w:line="480" w:lineRule="auto"/>
              <w:jc w:val="center"/>
            </w:pPr>
            <w:r>
              <w:rPr>
                <w:rFonts w:cs="Times New Roman"/>
              </w:rPr>
              <w:t>8.63±1.8</w:t>
            </w:r>
          </w:p>
        </w:tc>
        <w:tc>
          <w:tcPr>
            <w:tcW w:w="1985" w:type="dxa"/>
          </w:tcPr>
          <w:p w14:paraId="56E581CC" w14:textId="0C3FD708" w:rsidR="00C532AC" w:rsidRDefault="00C532AC" w:rsidP="00F56654">
            <w:pPr>
              <w:spacing w:after="0" w:line="480" w:lineRule="auto"/>
              <w:jc w:val="center"/>
            </w:pPr>
            <w:r>
              <w:rPr>
                <w:rFonts w:cs="Times New Roman"/>
              </w:rPr>
              <w:t>14.34±12.8</w:t>
            </w:r>
          </w:p>
        </w:tc>
      </w:tr>
    </w:tbl>
    <w:p w14:paraId="33EBD8B5" w14:textId="77777777" w:rsidR="00C532AC" w:rsidRDefault="00C532AC" w:rsidP="00300444">
      <w:pPr>
        <w:spacing w:after="0" w:line="480" w:lineRule="auto"/>
        <w:jc w:val="both"/>
        <w:rPr>
          <w:rFonts w:cs="Times New Roman"/>
        </w:rPr>
      </w:pPr>
    </w:p>
    <w:p w14:paraId="59023388" w14:textId="0F06F4F2" w:rsidR="00300444" w:rsidRDefault="00300444" w:rsidP="00300444">
      <w:pPr>
        <w:spacing w:after="0" w:line="480" w:lineRule="auto"/>
        <w:jc w:val="both"/>
        <w:rPr>
          <w:rFonts w:cs="Times New Roman"/>
        </w:rPr>
      </w:pPr>
      <w:r>
        <w:rPr>
          <w:rFonts w:cs="Times New Roman"/>
        </w:rPr>
        <w:t xml:space="preserve">Neutrophil granulocyte </w:t>
      </w:r>
      <w:r w:rsidR="00C532AC">
        <w:rPr>
          <w:rFonts w:cs="Times New Roman"/>
        </w:rPr>
        <w:t xml:space="preserve">concentrations measured at all three </w:t>
      </w:r>
      <w:proofErr w:type="spellStart"/>
      <w:r w:rsidR="00C532AC">
        <w:rPr>
          <w:rFonts w:cs="Times New Roman"/>
        </w:rPr>
        <w:t>timepoints</w:t>
      </w:r>
      <w:proofErr w:type="spellEnd"/>
      <w:r w:rsidR="00C532AC">
        <w:rPr>
          <w:rFonts w:cs="Times New Roman"/>
        </w:rPr>
        <w:t xml:space="preserve"> (values (</w:t>
      </w:r>
      <w:proofErr w:type="spellStart"/>
      <w:r w:rsidR="00C532AC">
        <w:t>mean</w:t>
      </w:r>
      <w:r w:rsidR="00C532AC">
        <w:rPr>
          <w:rFonts w:cs="Times New Roman"/>
        </w:rPr>
        <w:t>±</w:t>
      </w:r>
      <w:r w:rsidR="00C532AC">
        <w:t>SD</w:t>
      </w:r>
      <w:proofErr w:type="spellEnd"/>
      <w:r w:rsidR="00C532AC">
        <w:rPr>
          <w:rFonts w:cs="Times New Roman"/>
        </w:rPr>
        <w:t xml:space="preserve"> of groups) are shown in x10</w:t>
      </w:r>
      <w:r w:rsidR="00C532AC">
        <w:rPr>
          <w:rFonts w:cs="Times New Roman"/>
          <w:vertAlign w:val="superscript"/>
        </w:rPr>
        <w:t>9</w:t>
      </w:r>
      <w:r w:rsidR="00C532AC">
        <w:rPr>
          <w:rFonts w:cs="Times New Roman"/>
        </w:rPr>
        <w:t xml:space="preserve"> cells/L:</w:t>
      </w:r>
    </w:p>
    <w:tbl>
      <w:tblPr>
        <w:tblStyle w:val="TableGrid"/>
        <w:tblW w:w="0" w:type="auto"/>
        <w:tblLook w:val="04A0" w:firstRow="1" w:lastRow="0" w:firstColumn="1" w:lastColumn="0" w:noHBand="0" w:noVBand="1"/>
      </w:tblPr>
      <w:tblGrid>
        <w:gridCol w:w="2254"/>
        <w:gridCol w:w="2254"/>
        <w:gridCol w:w="2254"/>
        <w:gridCol w:w="2254"/>
      </w:tblGrid>
      <w:tr w:rsidR="00C532AC" w14:paraId="0E838A0A" w14:textId="77777777" w:rsidTr="00F56654">
        <w:tc>
          <w:tcPr>
            <w:tcW w:w="2254" w:type="dxa"/>
          </w:tcPr>
          <w:p w14:paraId="1E5C30FA" w14:textId="77777777" w:rsidR="00C532AC" w:rsidRDefault="00C532AC" w:rsidP="00F56654">
            <w:pPr>
              <w:spacing w:after="0" w:line="480" w:lineRule="auto"/>
              <w:jc w:val="both"/>
            </w:pPr>
          </w:p>
        </w:tc>
        <w:tc>
          <w:tcPr>
            <w:tcW w:w="2254" w:type="dxa"/>
          </w:tcPr>
          <w:p w14:paraId="51CF9E57" w14:textId="77777777" w:rsidR="00C532AC" w:rsidRDefault="00C532AC" w:rsidP="00F56654">
            <w:pPr>
              <w:spacing w:after="0" w:line="480" w:lineRule="auto"/>
              <w:jc w:val="center"/>
            </w:pPr>
            <w:r>
              <w:t>Day -9</w:t>
            </w:r>
          </w:p>
        </w:tc>
        <w:tc>
          <w:tcPr>
            <w:tcW w:w="2254" w:type="dxa"/>
          </w:tcPr>
          <w:p w14:paraId="24FA604D" w14:textId="77777777" w:rsidR="00C532AC" w:rsidRDefault="00C532AC" w:rsidP="00F56654">
            <w:pPr>
              <w:spacing w:after="0" w:line="480" w:lineRule="auto"/>
              <w:jc w:val="center"/>
            </w:pPr>
            <w:r>
              <w:t>Day -5</w:t>
            </w:r>
          </w:p>
        </w:tc>
        <w:tc>
          <w:tcPr>
            <w:tcW w:w="2254" w:type="dxa"/>
          </w:tcPr>
          <w:p w14:paraId="344D24A4" w14:textId="77777777" w:rsidR="00C532AC" w:rsidRDefault="00C532AC" w:rsidP="00F56654">
            <w:pPr>
              <w:spacing w:after="0" w:line="480" w:lineRule="auto"/>
              <w:jc w:val="center"/>
            </w:pPr>
            <w:r>
              <w:t>Day 2</w:t>
            </w:r>
          </w:p>
        </w:tc>
      </w:tr>
      <w:tr w:rsidR="00C532AC" w14:paraId="07CF72CE" w14:textId="77777777" w:rsidTr="00F56654">
        <w:tc>
          <w:tcPr>
            <w:tcW w:w="2254" w:type="dxa"/>
          </w:tcPr>
          <w:p w14:paraId="675348AB" w14:textId="77777777" w:rsidR="00C532AC" w:rsidRDefault="00C532AC" w:rsidP="00F56654">
            <w:pPr>
              <w:spacing w:after="0" w:line="480" w:lineRule="auto"/>
              <w:jc w:val="both"/>
            </w:pPr>
            <w:r>
              <w:lastRenderedPageBreak/>
              <w:t>Treatment</w:t>
            </w:r>
          </w:p>
        </w:tc>
        <w:tc>
          <w:tcPr>
            <w:tcW w:w="2254" w:type="dxa"/>
          </w:tcPr>
          <w:p w14:paraId="0117BA51" w14:textId="3E7859C4" w:rsidR="00C532AC" w:rsidRDefault="00C532AC" w:rsidP="00F56654">
            <w:pPr>
              <w:spacing w:after="0" w:line="480" w:lineRule="auto"/>
              <w:jc w:val="center"/>
            </w:pPr>
            <w:r>
              <w:t>3.64</w:t>
            </w:r>
            <w:r>
              <w:rPr>
                <w:rFonts w:cs="Times New Roman"/>
              </w:rPr>
              <w:t>±1.0</w:t>
            </w:r>
          </w:p>
        </w:tc>
        <w:tc>
          <w:tcPr>
            <w:tcW w:w="2254" w:type="dxa"/>
          </w:tcPr>
          <w:p w14:paraId="06536203" w14:textId="0630DB11" w:rsidR="00C532AC" w:rsidRDefault="00C532AC" w:rsidP="00F56654">
            <w:pPr>
              <w:spacing w:after="0" w:line="480" w:lineRule="auto"/>
              <w:jc w:val="center"/>
            </w:pPr>
            <w:r>
              <w:rPr>
                <w:rFonts w:cs="Times New Roman"/>
              </w:rPr>
              <w:t>13.77±5.5</w:t>
            </w:r>
          </w:p>
        </w:tc>
        <w:tc>
          <w:tcPr>
            <w:tcW w:w="2254" w:type="dxa"/>
          </w:tcPr>
          <w:p w14:paraId="47E3C37D" w14:textId="6F38199E" w:rsidR="00C532AC" w:rsidRDefault="00C532AC" w:rsidP="00F56654">
            <w:pPr>
              <w:spacing w:after="0" w:line="480" w:lineRule="auto"/>
              <w:jc w:val="center"/>
            </w:pPr>
            <w:r>
              <w:rPr>
                <w:rFonts w:cs="Times New Roman"/>
              </w:rPr>
              <w:t>33.25±22.5</w:t>
            </w:r>
          </w:p>
        </w:tc>
      </w:tr>
      <w:tr w:rsidR="00C532AC" w14:paraId="1BE1E9B1" w14:textId="77777777" w:rsidTr="00F56654">
        <w:tc>
          <w:tcPr>
            <w:tcW w:w="2254" w:type="dxa"/>
          </w:tcPr>
          <w:p w14:paraId="3C73FBA3" w14:textId="77777777" w:rsidR="00C532AC" w:rsidRDefault="00C532AC" w:rsidP="00F56654">
            <w:pPr>
              <w:spacing w:after="0" w:line="480" w:lineRule="auto"/>
              <w:jc w:val="both"/>
            </w:pPr>
            <w:r>
              <w:t>Placebo</w:t>
            </w:r>
          </w:p>
        </w:tc>
        <w:tc>
          <w:tcPr>
            <w:tcW w:w="2254" w:type="dxa"/>
          </w:tcPr>
          <w:p w14:paraId="48897BE6" w14:textId="0B024BC1" w:rsidR="00C532AC" w:rsidRDefault="00C532AC" w:rsidP="00F56654">
            <w:pPr>
              <w:spacing w:after="0" w:line="480" w:lineRule="auto"/>
              <w:jc w:val="center"/>
            </w:pPr>
            <w:r>
              <w:rPr>
                <w:rFonts w:cs="Times New Roman"/>
              </w:rPr>
              <w:t>3.82±1.5</w:t>
            </w:r>
          </w:p>
        </w:tc>
        <w:tc>
          <w:tcPr>
            <w:tcW w:w="2254" w:type="dxa"/>
          </w:tcPr>
          <w:p w14:paraId="5D62FEAB" w14:textId="31E88CA9" w:rsidR="00C532AC" w:rsidRDefault="00C532AC" w:rsidP="00F56654">
            <w:pPr>
              <w:spacing w:after="0" w:line="480" w:lineRule="auto"/>
              <w:jc w:val="center"/>
            </w:pPr>
            <w:r>
              <w:rPr>
                <w:rFonts w:cs="Times New Roman"/>
              </w:rPr>
              <w:t>4.60±1.2</w:t>
            </w:r>
          </w:p>
        </w:tc>
        <w:tc>
          <w:tcPr>
            <w:tcW w:w="2254" w:type="dxa"/>
          </w:tcPr>
          <w:p w14:paraId="39D0D757" w14:textId="416B552F" w:rsidR="00C532AC" w:rsidRDefault="00C532AC" w:rsidP="00F56654">
            <w:pPr>
              <w:spacing w:after="0" w:line="480" w:lineRule="auto"/>
              <w:jc w:val="center"/>
            </w:pPr>
            <w:r>
              <w:rPr>
                <w:rFonts w:cs="Times New Roman"/>
              </w:rPr>
              <w:t>9.62±10.3</w:t>
            </w:r>
          </w:p>
        </w:tc>
      </w:tr>
    </w:tbl>
    <w:p w14:paraId="27BD25B4" w14:textId="15743D3F" w:rsidR="00C532AC" w:rsidRDefault="00C532AC" w:rsidP="00300444">
      <w:pPr>
        <w:spacing w:after="0" w:line="480" w:lineRule="auto"/>
        <w:jc w:val="both"/>
        <w:rPr>
          <w:rFonts w:cs="Times New Roman"/>
        </w:rPr>
      </w:pPr>
    </w:p>
    <w:p w14:paraId="275E68DD" w14:textId="77777777" w:rsidR="00C532AC" w:rsidRDefault="00C532AC" w:rsidP="00300444">
      <w:pPr>
        <w:spacing w:after="0" w:line="480" w:lineRule="auto"/>
        <w:jc w:val="both"/>
        <w:rPr>
          <w:rFonts w:cs="Times New Roman"/>
        </w:rPr>
      </w:pPr>
    </w:p>
    <w:p w14:paraId="4DD86C88" w14:textId="160C2993" w:rsidR="00300444" w:rsidRDefault="00300444" w:rsidP="00300444">
      <w:pPr>
        <w:spacing w:after="0" w:line="480" w:lineRule="auto"/>
        <w:jc w:val="both"/>
        <w:rPr>
          <w:rFonts w:cs="Times New Roman"/>
        </w:rPr>
      </w:pPr>
      <w:r>
        <w:rPr>
          <w:rFonts w:cs="Times New Roman"/>
        </w:rPr>
        <w:t xml:space="preserve">Lymphocyte </w:t>
      </w:r>
      <w:r w:rsidR="00C532AC">
        <w:rPr>
          <w:rFonts w:cs="Times New Roman"/>
        </w:rPr>
        <w:t xml:space="preserve">concentrations measured at all three </w:t>
      </w:r>
      <w:proofErr w:type="spellStart"/>
      <w:r w:rsidR="00C532AC">
        <w:rPr>
          <w:rFonts w:cs="Times New Roman"/>
        </w:rPr>
        <w:t>timepoints</w:t>
      </w:r>
      <w:proofErr w:type="spellEnd"/>
      <w:r w:rsidR="00C532AC">
        <w:rPr>
          <w:rFonts w:cs="Times New Roman"/>
        </w:rPr>
        <w:t xml:space="preserve"> (values (</w:t>
      </w:r>
      <w:proofErr w:type="spellStart"/>
      <w:r w:rsidR="00C532AC">
        <w:t>mean</w:t>
      </w:r>
      <w:r w:rsidR="00C532AC">
        <w:rPr>
          <w:rFonts w:cs="Times New Roman"/>
        </w:rPr>
        <w:t>±</w:t>
      </w:r>
      <w:r w:rsidR="00C532AC">
        <w:t>SD</w:t>
      </w:r>
      <w:proofErr w:type="spellEnd"/>
      <w:r w:rsidR="00C532AC">
        <w:rPr>
          <w:rFonts w:cs="Times New Roman"/>
        </w:rPr>
        <w:t xml:space="preserve"> of groups) are shown in x10</w:t>
      </w:r>
      <w:r w:rsidR="00C532AC">
        <w:rPr>
          <w:rFonts w:cs="Times New Roman"/>
          <w:vertAlign w:val="superscript"/>
        </w:rPr>
        <w:t>9</w:t>
      </w:r>
      <w:r w:rsidR="00C532AC">
        <w:rPr>
          <w:rFonts w:cs="Times New Roman"/>
        </w:rPr>
        <w:t xml:space="preserve"> cells/L</w:t>
      </w:r>
      <w:r w:rsidR="00C532AC">
        <w:t xml:space="preserve">: </w:t>
      </w:r>
    </w:p>
    <w:tbl>
      <w:tblPr>
        <w:tblStyle w:val="TableGrid"/>
        <w:tblW w:w="0" w:type="auto"/>
        <w:tblLook w:val="04A0" w:firstRow="1" w:lastRow="0" w:firstColumn="1" w:lastColumn="0" w:noHBand="0" w:noVBand="1"/>
      </w:tblPr>
      <w:tblGrid>
        <w:gridCol w:w="2254"/>
        <w:gridCol w:w="2254"/>
        <w:gridCol w:w="2254"/>
        <w:gridCol w:w="2254"/>
      </w:tblGrid>
      <w:tr w:rsidR="00C532AC" w14:paraId="615EB163" w14:textId="77777777" w:rsidTr="00F56654">
        <w:tc>
          <w:tcPr>
            <w:tcW w:w="2254" w:type="dxa"/>
          </w:tcPr>
          <w:p w14:paraId="3145D79C" w14:textId="77777777" w:rsidR="00C532AC" w:rsidRDefault="00C532AC" w:rsidP="00F56654">
            <w:pPr>
              <w:spacing w:after="0" w:line="480" w:lineRule="auto"/>
              <w:jc w:val="both"/>
            </w:pPr>
          </w:p>
        </w:tc>
        <w:tc>
          <w:tcPr>
            <w:tcW w:w="2254" w:type="dxa"/>
          </w:tcPr>
          <w:p w14:paraId="5F6D5655" w14:textId="77777777" w:rsidR="00C532AC" w:rsidRDefault="00C532AC" w:rsidP="00F56654">
            <w:pPr>
              <w:spacing w:after="0" w:line="480" w:lineRule="auto"/>
              <w:jc w:val="center"/>
            </w:pPr>
            <w:r>
              <w:t>Day -9</w:t>
            </w:r>
          </w:p>
        </w:tc>
        <w:tc>
          <w:tcPr>
            <w:tcW w:w="2254" w:type="dxa"/>
          </w:tcPr>
          <w:p w14:paraId="0095F2D8" w14:textId="77777777" w:rsidR="00C532AC" w:rsidRDefault="00C532AC" w:rsidP="00F56654">
            <w:pPr>
              <w:spacing w:after="0" w:line="480" w:lineRule="auto"/>
              <w:jc w:val="center"/>
            </w:pPr>
            <w:r>
              <w:t>Day -5</w:t>
            </w:r>
          </w:p>
        </w:tc>
        <w:tc>
          <w:tcPr>
            <w:tcW w:w="2254" w:type="dxa"/>
          </w:tcPr>
          <w:p w14:paraId="1391F488" w14:textId="77777777" w:rsidR="00C532AC" w:rsidRDefault="00C532AC" w:rsidP="00F56654">
            <w:pPr>
              <w:spacing w:after="0" w:line="480" w:lineRule="auto"/>
              <w:jc w:val="center"/>
            </w:pPr>
            <w:r>
              <w:t>Day 2</w:t>
            </w:r>
          </w:p>
        </w:tc>
      </w:tr>
      <w:tr w:rsidR="00C532AC" w14:paraId="0D47FA22" w14:textId="77777777" w:rsidTr="00F56654">
        <w:tc>
          <w:tcPr>
            <w:tcW w:w="2254" w:type="dxa"/>
          </w:tcPr>
          <w:p w14:paraId="08C82036" w14:textId="77777777" w:rsidR="00C532AC" w:rsidRDefault="00C532AC" w:rsidP="00F56654">
            <w:pPr>
              <w:spacing w:after="0" w:line="480" w:lineRule="auto"/>
              <w:jc w:val="both"/>
            </w:pPr>
            <w:r>
              <w:t>Treatment</w:t>
            </w:r>
          </w:p>
        </w:tc>
        <w:tc>
          <w:tcPr>
            <w:tcW w:w="2254" w:type="dxa"/>
          </w:tcPr>
          <w:p w14:paraId="00886F5E" w14:textId="0BAD444D" w:rsidR="00C532AC" w:rsidRDefault="00C532AC" w:rsidP="00F56654">
            <w:pPr>
              <w:spacing w:after="0" w:line="480" w:lineRule="auto"/>
              <w:jc w:val="center"/>
            </w:pPr>
            <w:r>
              <w:t>3.10</w:t>
            </w:r>
            <w:r>
              <w:rPr>
                <w:rFonts w:cs="Times New Roman"/>
              </w:rPr>
              <w:t>±0.9</w:t>
            </w:r>
          </w:p>
        </w:tc>
        <w:tc>
          <w:tcPr>
            <w:tcW w:w="2254" w:type="dxa"/>
          </w:tcPr>
          <w:p w14:paraId="0D252206" w14:textId="4008F7A2" w:rsidR="00C532AC" w:rsidRDefault="00C532AC" w:rsidP="00F56654">
            <w:pPr>
              <w:spacing w:after="0" w:line="480" w:lineRule="auto"/>
              <w:jc w:val="center"/>
            </w:pPr>
            <w:r>
              <w:rPr>
                <w:rFonts w:cs="Times New Roman"/>
              </w:rPr>
              <w:t>3.33±1.2</w:t>
            </w:r>
          </w:p>
        </w:tc>
        <w:tc>
          <w:tcPr>
            <w:tcW w:w="2254" w:type="dxa"/>
          </w:tcPr>
          <w:p w14:paraId="6496EE7C" w14:textId="2C00F565" w:rsidR="00C532AC" w:rsidRDefault="00C532AC" w:rsidP="00F56654">
            <w:pPr>
              <w:spacing w:after="0" w:line="480" w:lineRule="auto"/>
              <w:jc w:val="center"/>
            </w:pPr>
            <w:r>
              <w:rPr>
                <w:rFonts w:cs="Times New Roman"/>
              </w:rPr>
              <w:t>3.65±1.6</w:t>
            </w:r>
          </w:p>
        </w:tc>
      </w:tr>
      <w:tr w:rsidR="00C532AC" w14:paraId="5ADB12D1" w14:textId="77777777" w:rsidTr="00F56654">
        <w:tc>
          <w:tcPr>
            <w:tcW w:w="2254" w:type="dxa"/>
          </w:tcPr>
          <w:p w14:paraId="1D539583" w14:textId="77777777" w:rsidR="00C532AC" w:rsidRDefault="00C532AC" w:rsidP="00F56654">
            <w:pPr>
              <w:spacing w:after="0" w:line="480" w:lineRule="auto"/>
              <w:jc w:val="both"/>
            </w:pPr>
            <w:r>
              <w:t>Placebo</w:t>
            </w:r>
          </w:p>
        </w:tc>
        <w:tc>
          <w:tcPr>
            <w:tcW w:w="2254" w:type="dxa"/>
          </w:tcPr>
          <w:p w14:paraId="2A9B8E0B" w14:textId="73EEC713" w:rsidR="00C532AC" w:rsidRDefault="00C532AC" w:rsidP="00F56654">
            <w:pPr>
              <w:spacing w:after="0" w:line="480" w:lineRule="auto"/>
              <w:jc w:val="center"/>
            </w:pPr>
            <w:r>
              <w:rPr>
                <w:rFonts w:cs="Times New Roman"/>
              </w:rPr>
              <w:t>3.39±0.9</w:t>
            </w:r>
          </w:p>
        </w:tc>
        <w:tc>
          <w:tcPr>
            <w:tcW w:w="2254" w:type="dxa"/>
          </w:tcPr>
          <w:p w14:paraId="2CA51277" w14:textId="29F6963F" w:rsidR="00C532AC" w:rsidRDefault="00C532AC" w:rsidP="00F56654">
            <w:pPr>
              <w:spacing w:after="0" w:line="480" w:lineRule="auto"/>
              <w:jc w:val="center"/>
            </w:pPr>
            <w:r>
              <w:rPr>
                <w:rFonts w:cs="Times New Roman"/>
              </w:rPr>
              <w:t>2.87±0.7</w:t>
            </w:r>
          </w:p>
        </w:tc>
        <w:tc>
          <w:tcPr>
            <w:tcW w:w="2254" w:type="dxa"/>
          </w:tcPr>
          <w:p w14:paraId="53C22A3C" w14:textId="7C76A141" w:rsidR="00C532AC" w:rsidRDefault="00C532AC" w:rsidP="00F56654">
            <w:pPr>
              <w:spacing w:after="0" w:line="480" w:lineRule="auto"/>
              <w:jc w:val="center"/>
            </w:pPr>
            <w:r>
              <w:rPr>
                <w:rFonts w:cs="Times New Roman"/>
              </w:rPr>
              <w:t>2.94±0.7</w:t>
            </w:r>
          </w:p>
        </w:tc>
      </w:tr>
    </w:tbl>
    <w:p w14:paraId="5C6BDE8E" w14:textId="0C664A66" w:rsidR="00C532AC" w:rsidRDefault="00C532AC" w:rsidP="00300444">
      <w:pPr>
        <w:spacing w:after="0" w:line="480" w:lineRule="auto"/>
        <w:jc w:val="both"/>
        <w:rPr>
          <w:rFonts w:cs="Times New Roman"/>
        </w:rPr>
      </w:pPr>
    </w:p>
    <w:p w14:paraId="6A1FF209" w14:textId="00BFB3F1" w:rsidR="00C532AC" w:rsidRDefault="00300444" w:rsidP="00C532AC">
      <w:pPr>
        <w:spacing w:after="0" w:line="480" w:lineRule="auto"/>
        <w:jc w:val="both"/>
        <w:rPr>
          <w:rFonts w:cs="Times New Roman"/>
        </w:rPr>
      </w:pPr>
      <w:r>
        <w:rPr>
          <w:rFonts w:cs="Times New Roman"/>
        </w:rPr>
        <w:t xml:space="preserve">Monocyte </w:t>
      </w:r>
      <w:r w:rsidR="00C532AC">
        <w:rPr>
          <w:rFonts w:cs="Times New Roman"/>
        </w:rPr>
        <w:t xml:space="preserve">concentrations measured at all three </w:t>
      </w:r>
      <w:proofErr w:type="spellStart"/>
      <w:r w:rsidR="00C532AC">
        <w:rPr>
          <w:rFonts w:cs="Times New Roman"/>
        </w:rPr>
        <w:t>timepoints</w:t>
      </w:r>
      <w:proofErr w:type="spellEnd"/>
      <w:r w:rsidR="00C532AC">
        <w:rPr>
          <w:rFonts w:cs="Times New Roman"/>
        </w:rPr>
        <w:t xml:space="preserve"> (values (</w:t>
      </w:r>
      <w:proofErr w:type="spellStart"/>
      <w:r w:rsidR="00C532AC">
        <w:t>mean</w:t>
      </w:r>
      <w:r w:rsidR="00C532AC">
        <w:rPr>
          <w:rFonts w:cs="Times New Roman"/>
        </w:rPr>
        <w:t>±</w:t>
      </w:r>
      <w:r w:rsidR="00C532AC">
        <w:t>SD</w:t>
      </w:r>
      <w:proofErr w:type="spellEnd"/>
      <w:r w:rsidR="00C532AC">
        <w:rPr>
          <w:rFonts w:cs="Times New Roman"/>
        </w:rPr>
        <w:t xml:space="preserve"> of groups) are shown in x10</w:t>
      </w:r>
      <w:r w:rsidR="00C532AC">
        <w:rPr>
          <w:rFonts w:cs="Times New Roman"/>
          <w:vertAlign w:val="superscript"/>
        </w:rPr>
        <w:t>9</w:t>
      </w:r>
      <w:r w:rsidR="00C532AC">
        <w:rPr>
          <w:rFonts w:cs="Times New Roman"/>
        </w:rPr>
        <w:t xml:space="preserve"> cells/L</w:t>
      </w:r>
      <w:r w:rsidR="00C532AC">
        <w:t xml:space="preserve">: </w:t>
      </w:r>
    </w:p>
    <w:tbl>
      <w:tblPr>
        <w:tblStyle w:val="TableGrid"/>
        <w:tblW w:w="0" w:type="auto"/>
        <w:tblLook w:val="04A0" w:firstRow="1" w:lastRow="0" w:firstColumn="1" w:lastColumn="0" w:noHBand="0" w:noVBand="1"/>
      </w:tblPr>
      <w:tblGrid>
        <w:gridCol w:w="2254"/>
        <w:gridCol w:w="2254"/>
        <w:gridCol w:w="2254"/>
        <w:gridCol w:w="2254"/>
      </w:tblGrid>
      <w:tr w:rsidR="00C532AC" w14:paraId="28C01CED" w14:textId="77777777" w:rsidTr="00F56654">
        <w:tc>
          <w:tcPr>
            <w:tcW w:w="2254" w:type="dxa"/>
          </w:tcPr>
          <w:p w14:paraId="61B49155" w14:textId="77777777" w:rsidR="00C532AC" w:rsidRDefault="00C532AC" w:rsidP="00F56654">
            <w:pPr>
              <w:spacing w:after="0" w:line="480" w:lineRule="auto"/>
              <w:jc w:val="both"/>
            </w:pPr>
          </w:p>
        </w:tc>
        <w:tc>
          <w:tcPr>
            <w:tcW w:w="2254" w:type="dxa"/>
          </w:tcPr>
          <w:p w14:paraId="67384331" w14:textId="77777777" w:rsidR="00C532AC" w:rsidRDefault="00C532AC" w:rsidP="00F56654">
            <w:pPr>
              <w:spacing w:after="0" w:line="480" w:lineRule="auto"/>
              <w:jc w:val="center"/>
            </w:pPr>
            <w:r>
              <w:t>Day -9</w:t>
            </w:r>
          </w:p>
        </w:tc>
        <w:tc>
          <w:tcPr>
            <w:tcW w:w="2254" w:type="dxa"/>
          </w:tcPr>
          <w:p w14:paraId="74769C6B" w14:textId="77777777" w:rsidR="00C532AC" w:rsidRDefault="00C532AC" w:rsidP="00F56654">
            <w:pPr>
              <w:spacing w:after="0" w:line="480" w:lineRule="auto"/>
              <w:jc w:val="center"/>
            </w:pPr>
            <w:r>
              <w:t>Day -5</w:t>
            </w:r>
          </w:p>
        </w:tc>
        <w:tc>
          <w:tcPr>
            <w:tcW w:w="2254" w:type="dxa"/>
          </w:tcPr>
          <w:p w14:paraId="055BAB1D" w14:textId="77777777" w:rsidR="00C532AC" w:rsidRDefault="00C532AC" w:rsidP="00F56654">
            <w:pPr>
              <w:spacing w:after="0" w:line="480" w:lineRule="auto"/>
              <w:jc w:val="center"/>
            </w:pPr>
            <w:r>
              <w:t>Day 2</w:t>
            </w:r>
          </w:p>
        </w:tc>
      </w:tr>
      <w:tr w:rsidR="00C532AC" w14:paraId="79114242" w14:textId="77777777" w:rsidTr="00F56654">
        <w:tc>
          <w:tcPr>
            <w:tcW w:w="2254" w:type="dxa"/>
          </w:tcPr>
          <w:p w14:paraId="6D227C13" w14:textId="77777777" w:rsidR="00C532AC" w:rsidRDefault="00C532AC" w:rsidP="00F56654">
            <w:pPr>
              <w:spacing w:after="0" w:line="480" w:lineRule="auto"/>
              <w:jc w:val="both"/>
            </w:pPr>
            <w:r>
              <w:t>Treatment</w:t>
            </w:r>
          </w:p>
        </w:tc>
        <w:tc>
          <w:tcPr>
            <w:tcW w:w="2254" w:type="dxa"/>
          </w:tcPr>
          <w:p w14:paraId="5EFEC5C8" w14:textId="60D17004" w:rsidR="00C532AC" w:rsidRDefault="00C532AC" w:rsidP="00F56654">
            <w:pPr>
              <w:spacing w:after="0" w:line="480" w:lineRule="auto"/>
              <w:jc w:val="center"/>
            </w:pPr>
            <w:r>
              <w:t>0.30</w:t>
            </w:r>
            <w:r>
              <w:rPr>
                <w:rFonts w:cs="Times New Roman"/>
              </w:rPr>
              <w:t>±0.1</w:t>
            </w:r>
          </w:p>
        </w:tc>
        <w:tc>
          <w:tcPr>
            <w:tcW w:w="2254" w:type="dxa"/>
          </w:tcPr>
          <w:p w14:paraId="6EF6849C" w14:textId="780ECA4D" w:rsidR="00C532AC" w:rsidRDefault="00C532AC" w:rsidP="00F56654">
            <w:pPr>
              <w:spacing w:after="0" w:line="480" w:lineRule="auto"/>
              <w:jc w:val="center"/>
            </w:pPr>
            <w:r>
              <w:rPr>
                <w:rFonts w:cs="Times New Roman"/>
              </w:rPr>
              <w:t>1.40±0.8</w:t>
            </w:r>
          </w:p>
        </w:tc>
        <w:tc>
          <w:tcPr>
            <w:tcW w:w="2254" w:type="dxa"/>
          </w:tcPr>
          <w:p w14:paraId="024A57A7" w14:textId="1ABD89E4" w:rsidR="00C532AC" w:rsidRDefault="00C532AC" w:rsidP="00F56654">
            <w:pPr>
              <w:spacing w:after="0" w:line="480" w:lineRule="auto"/>
              <w:jc w:val="center"/>
            </w:pPr>
            <w:r>
              <w:rPr>
                <w:rFonts w:cs="Times New Roman"/>
              </w:rPr>
              <w:t>3.56±1.4</w:t>
            </w:r>
          </w:p>
        </w:tc>
      </w:tr>
      <w:tr w:rsidR="00C532AC" w14:paraId="243B965D" w14:textId="77777777" w:rsidTr="00F56654">
        <w:tc>
          <w:tcPr>
            <w:tcW w:w="2254" w:type="dxa"/>
          </w:tcPr>
          <w:p w14:paraId="2627DEB5" w14:textId="77777777" w:rsidR="00C532AC" w:rsidRDefault="00C532AC" w:rsidP="00F56654">
            <w:pPr>
              <w:spacing w:after="0" w:line="480" w:lineRule="auto"/>
              <w:jc w:val="both"/>
            </w:pPr>
            <w:r>
              <w:t>Placebo</w:t>
            </w:r>
          </w:p>
        </w:tc>
        <w:tc>
          <w:tcPr>
            <w:tcW w:w="2254" w:type="dxa"/>
          </w:tcPr>
          <w:p w14:paraId="6297928E" w14:textId="1C8068D6" w:rsidR="00C532AC" w:rsidRDefault="00C532AC" w:rsidP="00F56654">
            <w:pPr>
              <w:spacing w:after="0" w:line="480" w:lineRule="auto"/>
              <w:jc w:val="center"/>
            </w:pPr>
            <w:r>
              <w:rPr>
                <w:rFonts w:cs="Times New Roman"/>
              </w:rPr>
              <w:t>0.58±0.3</w:t>
            </w:r>
          </w:p>
        </w:tc>
        <w:tc>
          <w:tcPr>
            <w:tcW w:w="2254" w:type="dxa"/>
          </w:tcPr>
          <w:p w14:paraId="6BDE3264" w14:textId="63703999" w:rsidR="00C532AC" w:rsidRDefault="00C532AC" w:rsidP="00F56654">
            <w:pPr>
              <w:spacing w:after="0" w:line="480" w:lineRule="auto"/>
              <w:jc w:val="center"/>
            </w:pPr>
            <w:r>
              <w:rPr>
                <w:rFonts w:cs="Times New Roman"/>
              </w:rPr>
              <w:t>0.57±0.2</w:t>
            </w:r>
          </w:p>
        </w:tc>
        <w:tc>
          <w:tcPr>
            <w:tcW w:w="2254" w:type="dxa"/>
          </w:tcPr>
          <w:p w14:paraId="46401A3E" w14:textId="4300A37E" w:rsidR="00C532AC" w:rsidRDefault="00C532AC" w:rsidP="00F56654">
            <w:pPr>
              <w:spacing w:after="0" w:line="480" w:lineRule="auto"/>
              <w:jc w:val="center"/>
            </w:pPr>
            <w:r>
              <w:rPr>
                <w:rFonts w:cs="Times New Roman"/>
              </w:rPr>
              <w:t>0.68±0.5</w:t>
            </w:r>
          </w:p>
        </w:tc>
      </w:tr>
    </w:tbl>
    <w:p w14:paraId="0A5E60CF" w14:textId="77777777" w:rsidR="00C532AC" w:rsidRDefault="00C532AC" w:rsidP="00300444">
      <w:pPr>
        <w:spacing w:after="0" w:line="480" w:lineRule="auto"/>
        <w:jc w:val="both"/>
        <w:rPr>
          <w:rFonts w:cs="Times New Roman"/>
        </w:rPr>
      </w:pPr>
    </w:p>
    <w:p w14:paraId="12C9382F" w14:textId="1D427217" w:rsidR="00300444" w:rsidRDefault="00300444" w:rsidP="00300444">
      <w:pPr>
        <w:spacing w:after="0" w:line="480" w:lineRule="auto"/>
        <w:jc w:val="both"/>
        <w:rPr>
          <w:rFonts w:cs="Times New Roman"/>
        </w:rPr>
      </w:pPr>
      <w:r>
        <w:rPr>
          <w:rFonts w:cs="Times New Roman"/>
        </w:rPr>
        <w:t>Band neutrophil</w:t>
      </w:r>
      <w:r w:rsidR="00C532AC" w:rsidRPr="00C532AC">
        <w:rPr>
          <w:rFonts w:cs="Times New Roman"/>
        </w:rPr>
        <w:t xml:space="preserve"> </w:t>
      </w:r>
      <w:r w:rsidR="00C532AC">
        <w:rPr>
          <w:rFonts w:cs="Times New Roman"/>
        </w:rPr>
        <w:t xml:space="preserve">concentrations measured at all three </w:t>
      </w:r>
      <w:proofErr w:type="spellStart"/>
      <w:r w:rsidR="00C532AC">
        <w:rPr>
          <w:rFonts w:cs="Times New Roman"/>
        </w:rPr>
        <w:t>timepoints</w:t>
      </w:r>
      <w:proofErr w:type="spellEnd"/>
      <w:r w:rsidR="00C532AC">
        <w:rPr>
          <w:rFonts w:cs="Times New Roman"/>
        </w:rPr>
        <w:t xml:space="preserve"> (values (</w:t>
      </w:r>
      <w:proofErr w:type="spellStart"/>
      <w:r w:rsidR="00C532AC">
        <w:t>mean</w:t>
      </w:r>
      <w:r w:rsidR="00C532AC">
        <w:rPr>
          <w:rFonts w:cs="Times New Roman"/>
        </w:rPr>
        <w:t>±</w:t>
      </w:r>
      <w:r w:rsidR="00C532AC">
        <w:t>SD</w:t>
      </w:r>
      <w:proofErr w:type="spellEnd"/>
      <w:r w:rsidR="00C532AC">
        <w:rPr>
          <w:rFonts w:cs="Times New Roman"/>
        </w:rPr>
        <w:t xml:space="preserve"> of groups) are shown in x10</w:t>
      </w:r>
      <w:r w:rsidR="00C532AC">
        <w:rPr>
          <w:rFonts w:cs="Times New Roman"/>
          <w:vertAlign w:val="superscript"/>
        </w:rPr>
        <w:t>9</w:t>
      </w:r>
      <w:r w:rsidR="00C532AC">
        <w:rPr>
          <w:rFonts w:cs="Times New Roman"/>
        </w:rPr>
        <w:t xml:space="preserve"> cells/L</w:t>
      </w:r>
      <w:r>
        <w:t xml:space="preserve">: </w:t>
      </w:r>
    </w:p>
    <w:tbl>
      <w:tblPr>
        <w:tblStyle w:val="TableGrid"/>
        <w:tblW w:w="0" w:type="auto"/>
        <w:tblLook w:val="04A0" w:firstRow="1" w:lastRow="0" w:firstColumn="1" w:lastColumn="0" w:noHBand="0" w:noVBand="1"/>
      </w:tblPr>
      <w:tblGrid>
        <w:gridCol w:w="2254"/>
        <w:gridCol w:w="2254"/>
        <w:gridCol w:w="2254"/>
        <w:gridCol w:w="2254"/>
      </w:tblGrid>
      <w:tr w:rsidR="00C532AC" w14:paraId="555B730A" w14:textId="77777777" w:rsidTr="00F56654">
        <w:tc>
          <w:tcPr>
            <w:tcW w:w="2254" w:type="dxa"/>
          </w:tcPr>
          <w:p w14:paraId="1EF1D108" w14:textId="77777777" w:rsidR="00C532AC" w:rsidRDefault="00C532AC" w:rsidP="00F56654">
            <w:pPr>
              <w:spacing w:after="0" w:line="480" w:lineRule="auto"/>
              <w:jc w:val="both"/>
            </w:pPr>
          </w:p>
        </w:tc>
        <w:tc>
          <w:tcPr>
            <w:tcW w:w="2254" w:type="dxa"/>
          </w:tcPr>
          <w:p w14:paraId="3DECE19E" w14:textId="77777777" w:rsidR="00C532AC" w:rsidRDefault="00C532AC" w:rsidP="00F56654">
            <w:pPr>
              <w:spacing w:after="0" w:line="480" w:lineRule="auto"/>
              <w:jc w:val="center"/>
            </w:pPr>
            <w:r>
              <w:t>Day -9</w:t>
            </w:r>
          </w:p>
        </w:tc>
        <w:tc>
          <w:tcPr>
            <w:tcW w:w="2254" w:type="dxa"/>
          </w:tcPr>
          <w:p w14:paraId="43984FB4" w14:textId="77777777" w:rsidR="00C532AC" w:rsidRDefault="00C532AC" w:rsidP="00F56654">
            <w:pPr>
              <w:spacing w:after="0" w:line="480" w:lineRule="auto"/>
              <w:jc w:val="center"/>
            </w:pPr>
            <w:r>
              <w:t>Day -5</w:t>
            </w:r>
          </w:p>
        </w:tc>
        <w:tc>
          <w:tcPr>
            <w:tcW w:w="2254" w:type="dxa"/>
          </w:tcPr>
          <w:p w14:paraId="4536760C" w14:textId="77777777" w:rsidR="00C532AC" w:rsidRDefault="00C532AC" w:rsidP="00F56654">
            <w:pPr>
              <w:spacing w:after="0" w:line="480" w:lineRule="auto"/>
              <w:jc w:val="center"/>
            </w:pPr>
            <w:r>
              <w:t>Day 2</w:t>
            </w:r>
          </w:p>
        </w:tc>
      </w:tr>
      <w:tr w:rsidR="00C532AC" w14:paraId="225AF2A6" w14:textId="77777777" w:rsidTr="00F56654">
        <w:tc>
          <w:tcPr>
            <w:tcW w:w="2254" w:type="dxa"/>
          </w:tcPr>
          <w:p w14:paraId="305927D1" w14:textId="77777777" w:rsidR="00C532AC" w:rsidRDefault="00C532AC" w:rsidP="00F56654">
            <w:pPr>
              <w:spacing w:after="0" w:line="480" w:lineRule="auto"/>
              <w:jc w:val="both"/>
            </w:pPr>
            <w:r>
              <w:t>Treatment</w:t>
            </w:r>
          </w:p>
        </w:tc>
        <w:tc>
          <w:tcPr>
            <w:tcW w:w="2254" w:type="dxa"/>
          </w:tcPr>
          <w:p w14:paraId="675946F4" w14:textId="5D11E3BC" w:rsidR="00C532AC" w:rsidRDefault="00C532AC" w:rsidP="00F56654">
            <w:pPr>
              <w:spacing w:after="0" w:line="480" w:lineRule="auto"/>
              <w:jc w:val="center"/>
            </w:pPr>
            <w:r>
              <w:t>0</w:t>
            </w:r>
          </w:p>
        </w:tc>
        <w:tc>
          <w:tcPr>
            <w:tcW w:w="2254" w:type="dxa"/>
          </w:tcPr>
          <w:p w14:paraId="6703EA29" w14:textId="05DAEA94" w:rsidR="00C532AC" w:rsidRDefault="00C532AC" w:rsidP="00F56654">
            <w:pPr>
              <w:spacing w:after="0" w:line="480" w:lineRule="auto"/>
              <w:jc w:val="center"/>
            </w:pPr>
            <w:r>
              <w:rPr>
                <w:rFonts w:cs="Times New Roman"/>
              </w:rPr>
              <w:t>0.96±0.8</w:t>
            </w:r>
          </w:p>
        </w:tc>
        <w:tc>
          <w:tcPr>
            <w:tcW w:w="2254" w:type="dxa"/>
          </w:tcPr>
          <w:p w14:paraId="1C3B19D6" w14:textId="0ED3FFF4" w:rsidR="00C532AC" w:rsidRDefault="00C532AC" w:rsidP="00F56654">
            <w:pPr>
              <w:spacing w:after="0" w:line="480" w:lineRule="auto"/>
              <w:jc w:val="center"/>
            </w:pPr>
            <w:r>
              <w:rPr>
                <w:rFonts w:cs="Times New Roman"/>
              </w:rPr>
              <w:t>2.02±0.8</w:t>
            </w:r>
          </w:p>
        </w:tc>
      </w:tr>
      <w:tr w:rsidR="00C532AC" w14:paraId="20024E5A" w14:textId="77777777" w:rsidTr="00F56654">
        <w:tc>
          <w:tcPr>
            <w:tcW w:w="2254" w:type="dxa"/>
          </w:tcPr>
          <w:p w14:paraId="161B7DDC" w14:textId="77777777" w:rsidR="00C532AC" w:rsidRDefault="00C532AC" w:rsidP="00F56654">
            <w:pPr>
              <w:spacing w:after="0" w:line="480" w:lineRule="auto"/>
              <w:jc w:val="both"/>
            </w:pPr>
            <w:r>
              <w:t>Placebo</w:t>
            </w:r>
          </w:p>
        </w:tc>
        <w:tc>
          <w:tcPr>
            <w:tcW w:w="2254" w:type="dxa"/>
          </w:tcPr>
          <w:p w14:paraId="37B81333" w14:textId="71662C8B" w:rsidR="00C532AC" w:rsidRDefault="006024E2" w:rsidP="00F56654">
            <w:pPr>
              <w:spacing w:after="0" w:line="480" w:lineRule="auto"/>
              <w:jc w:val="center"/>
            </w:pPr>
            <w:r>
              <w:rPr>
                <w:rFonts w:cs="Times New Roman"/>
              </w:rPr>
              <w:t>0</w:t>
            </w:r>
          </w:p>
        </w:tc>
        <w:tc>
          <w:tcPr>
            <w:tcW w:w="2254" w:type="dxa"/>
          </w:tcPr>
          <w:p w14:paraId="2BC560CC" w14:textId="43DE1FF8" w:rsidR="00C532AC" w:rsidRDefault="006024E2" w:rsidP="00F56654">
            <w:pPr>
              <w:spacing w:after="0" w:line="480" w:lineRule="auto"/>
              <w:jc w:val="center"/>
            </w:pPr>
            <w:r>
              <w:rPr>
                <w:rFonts w:cs="Times New Roman"/>
              </w:rPr>
              <w:t>0</w:t>
            </w:r>
          </w:p>
        </w:tc>
        <w:tc>
          <w:tcPr>
            <w:tcW w:w="2254" w:type="dxa"/>
          </w:tcPr>
          <w:p w14:paraId="4E1F40B5" w14:textId="6676A818" w:rsidR="00C532AC" w:rsidRDefault="00C532AC" w:rsidP="00F56654">
            <w:pPr>
              <w:spacing w:after="0" w:line="480" w:lineRule="auto"/>
              <w:jc w:val="center"/>
            </w:pPr>
            <w:r>
              <w:rPr>
                <w:rFonts w:cs="Times New Roman"/>
              </w:rPr>
              <w:t>0.445±1.0</w:t>
            </w:r>
          </w:p>
        </w:tc>
      </w:tr>
    </w:tbl>
    <w:p w14:paraId="02AD4236" w14:textId="77777777" w:rsidR="004B1376" w:rsidRDefault="004B1376" w:rsidP="00300444">
      <w:pPr>
        <w:spacing w:after="0" w:line="480" w:lineRule="auto"/>
        <w:jc w:val="both"/>
        <w:rPr>
          <w:rFonts w:cs="Times New Roman"/>
        </w:rPr>
      </w:pPr>
    </w:p>
    <w:p w14:paraId="2FBBAC2E" w14:textId="7DE5324A" w:rsidR="0018371C" w:rsidRPr="006024E2" w:rsidRDefault="0018371C" w:rsidP="005B7D84">
      <w:pPr>
        <w:pageBreakBefore/>
        <w:spacing w:after="0" w:line="480" w:lineRule="auto"/>
        <w:jc w:val="both"/>
        <w:rPr>
          <w:rFonts w:cs="Times New Roman"/>
          <w:b/>
        </w:rPr>
      </w:pPr>
      <w:r w:rsidRPr="006024E2">
        <w:rPr>
          <w:rFonts w:cs="Times New Roman"/>
          <w:b/>
        </w:rPr>
        <w:lastRenderedPageBreak/>
        <w:t>C. Results of in vitro measured parameters</w:t>
      </w:r>
    </w:p>
    <w:p w14:paraId="39AD3DDB" w14:textId="5CC73A31" w:rsidR="0018371C" w:rsidRDefault="0018371C" w:rsidP="00300444">
      <w:pPr>
        <w:spacing w:after="0" w:line="480" w:lineRule="auto"/>
        <w:jc w:val="both"/>
      </w:pPr>
    </w:p>
    <w:p w14:paraId="15E46CB9" w14:textId="77777777" w:rsidR="0018371C" w:rsidRDefault="0018371C" w:rsidP="00300444">
      <w:pPr>
        <w:spacing w:after="0" w:line="480" w:lineRule="auto"/>
        <w:jc w:val="both"/>
        <w:rPr>
          <w:rFonts w:cs="Times New Roman"/>
        </w:rPr>
      </w:pPr>
      <w:r w:rsidRPr="00A777CD">
        <w:t>Bactericidal assay</w:t>
      </w:r>
      <w:r>
        <w:t xml:space="preserve">: Geometric means of </w:t>
      </w:r>
      <w:r w:rsidRPr="00000994">
        <w:rPr>
          <w:rFonts w:cs="Times New Roman"/>
        </w:rPr>
        <w:t>colony forming units (CFU+1)/</w:t>
      </w:r>
      <w:r>
        <w:rPr>
          <w:rFonts w:cs="Times New Roman"/>
        </w:rPr>
        <w:t>mL</w:t>
      </w:r>
      <w:r w:rsidRPr="00000994">
        <w:rPr>
          <w:rFonts w:cs="Times New Roman"/>
        </w:rPr>
        <w:t xml:space="preserve"> of </w:t>
      </w:r>
      <w:r w:rsidRPr="004E73F3">
        <w:rPr>
          <w:rFonts w:cs="Times New Roman"/>
          <w:i/>
        </w:rPr>
        <w:t xml:space="preserve">E. coli </w:t>
      </w:r>
      <w:r w:rsidRPr="00000994">
        <w:rPr>
          <w:rFonts w:cs="Times New Roman"/>
        </w:rPr>
        <w:t>MS499 surviving intracellular killing after 3 and 24 hours of incubation</w:t>
      </w:r>
      <w:r>
        <w:rPr>
          <w:rFonts w:cs="Times New Roman"/>
        </w:rPr>
        <w:t xml:space="preserve">: </w:t>
      </w:r>
      <w:r w:rsidRPr="00000994">
        <w:rPr>
          <w:rFonts w:cs="Times New Roman"/>
        </w:rPr>
        <w:t>treatment group at 3 hours: 31.69, 24 hours: 200.3, placebo-treated group at 3 hours: 34.22 and at 24 hours: 12.02</w:t>
      </w:r>
    </w:p>
    <w:p w14:paraId="7B7A5095" w14:textId="77777777" w:rsidR="0018371C" w:rsidRDefault="0018371C" w:rsidP="00300444">
      <w:pPr>
        <w:spacing w:after="0" w:line="480" w:lineRule="auto"/>
        <w:jc w:val="both"/>
      </w:pPr>
      <w:r>
        <w:rPr>
          <w:rFonts w:eastAsia="Segoe UI Emoji" w:cs="Times New Roman"/>
        </w:rPr>
        <w:t>M</w:t>
      </w:r>
      <w:r w:rsidRPr="00000994">
        <w:rPr>
          <w:rFonts w:eastAsia="Segoe UI Emoji" w:cs="Times New Roman"/>
        </w:rPr>
        <w:t xml:space="preserve">igration of </w:t>
      </w:r>
      <w:r>
        <w:rPr>
          <w:rFonts w:eastAsia="Segoe UI Emoji" w:cs="Times New Roman"/>
        </w:rPr>
        <w:t xml:space="preserve">granulocytes from pegbovigrastim and placebo </w:t>
      </w:r>
      <w:r w:rsidRPr="00000994">
        <w:rPr>
          <w:rFonts w:eastAsia="Segoe UI Emoji" w:cs="Times New Roman"/>
        </w:rPr>
        <w:t xml:space="preserve">treated animals towards </w:t>
      </w:r>
      <w:r>
        <w:rPr>
          <w:rFonts w:eastAsia="Segoe UI Emoji" w:cs="Times New Roman"/>
        </w:rPr>
        <w:t xml:space="preserve">endometrium: treatment: </w:t>
      </w:r>
      <w:proofErr w:type="spellStart"/>
      <w:r>
        <w:t>mean</w:t>
      </w:r>
      <w:r>
        <w:rPr>
          <w:rFonts w:cs="Times New Roman"/>
        </w:rPr>
        <w:t>±</w:t>
      </w:r>
      <w:r>
        <w:t>SD</w:t>
      </w:r>
      <w:proofErr w:type="spellEnd"/>
      <w:r>
        <w:t>=22.75</w:t>
      </w:r>
      <w:r>
        <w:rPr>
          <w:rFonts w:cs="Times New Roman"/>
        </w:rPr>
        <w:t>±</w:t>
      </w:r>
      <w:r>
        <w:t>18.4x10</w:t>
      </w:r>
      <w:r w:rsidRPr="002C0B29">
        <w:rPr>
          <w:vertAlign w:val="superscript"/>
        </w:rPr>
        <w:t>4</w:t>
      </w:r>
      <w:r>
        <w:rPr>
          <w:vertAlign w:val="superscript"/>
        </w:rPr>
        <w:t xml:space="preserve"> </w:t>
      </w:r>
      <w:r>
        <w:t>cells/mL at 3h, 42.35</w:t>
      </w:r>
      <w:r>
        <w:rPr>
          <w:rFonts w:cs="Times New Roman"/>
        </w:rPr>
        <w:t>±22.9</w:t>
      </w:r>
      <w:r w:rsidRPr="009A4293">
        <w:t xml:space="preserve"> </w:t>
      </w:r>
      <w:r>
        <w:t>x10</w:t>
      </w:r>
      <w:r w:rsidRPr="002C0B29">
        <w:rPr>
          <w:vertAlign w:val="superscript"/>
        </w:rPr>
        <w:t>4</w:t>
      </w:r>
      <w:r>
        <w:rPr>
          <w:vertAlign w:val="superscript"/>
        </w:rPr>
        <w:t xml:space="preserve"> </w:t>
      </w:r>
      <w:r>
        <w:t>cells/mL at 24 h; placebo: 20.89</w:t>
      </w:r>
      <w:r>
        <w:rPr>
          <w:rFonts w:cs="Times New Roman"/>
        </w:rPr>
        <w:t>±</w:t>
      </w:r>
      <w:r>
        <w:t>9.2x10</w:t>
      </w:r>
      <w:r w:rsidRPr="002C0B29">
        <w:rPr>
          <w:vertAlign w:val="superscript"/>
        </w:rPr>
        <w:t>4</w:t>
      </w:r>
      <w:r>
        <w:rPr>
          <w:vertAlign w:val="superscript"/>
        </w:rPr>
        <w:t xml:space="preserve"> </w:t>
      </w:r>
      <w:r>
        <w:t>cells/mL at 3h, 34.0</w:t>
      </w:r>
      <w:r>
        <w:rPr>
          <w:rFonts w:cs="Times New Roman"/>
        </w:rPr>
        <w:t>±28.5</w:t>
      </w:r>
      <w:r w:rsidRPr="009A4293">
        <w:t xml:space="preserve"> </w:t>
      </w:r>
      <w:r>
        <w:t>x10</w:t>
      </w:r>
      <w:r w:rsidRPr="002C0B29">
        <w:rPr>
          <w:vertAlign w:val="superscript"/>
        </w:rPr>
        <w:t>4</w:t>
      </w:r>
      <w:r>
        <w:rPr>
          <w:vertAlign w:val="superscript"/>
        </w:rPr>
        <w:t xml:space="preserve"> </w:t>
      </w:r>
      <w:r>
        <w:t xml:space="preserve">cells/mL at 24 h, infected endometrium: </w:t>
      </w:r>
      <w:r>
        <w:rPr>
          <w:rFonts w:eastAsia="Segoe UI Emoji" w:cs="Times New Roman"/>
        </w:rPr>
        <w:t xml:space="preserve">treatment: </w:t>
      </w:r>
      <w:proofErr w:type="spellStart"/>
      <w:r>
        <w:t>mean</w:t>
      </w:r>
      <w:r>
        <w:rPr>
          <w:rFonts w:cs="Times New Roman"/>
        </w:rPr>
        <w:t>±</w:t>
      </w:r>
      <w:r>
        <w:t>SD</w:t>
      </w:r>
      <w:proofErr w:type="spellEnd"/>
      <w:r>
        <w:t>=13.03</w:t>
      </w:r>
      <w:r>
        <w:rPr>
          <w:rFonts w:cs="Times New Roman"/>
        </w:rPr>
        <w:t>±</w:t>
      </w:r>
      <w:r>
        <w:t>9.6x10</w:t>
      </w:r>
      <w:r w:rsidRPr="002C0B29">
        <w:rPr>
          <w:vertAlign w:val="superscript"/>
        </w:rPr>
        <w:t>4</w:t>
      </w:r>
      <w:r>
        <w:rPr>
          <w:vertAlign w:val="superscript"/>
        </w:rPr>
        <w:t xml:space="preserve"> </w:t>
      </w:r>
      <w:r>
        <w:t>cells/mL at 3h, 51.02</w:t>
      </w:r>
      <w:r>
        <w:rPr>
          <w:rFonts w:cs="Times New Roman"/>
        </w:rPr>
        <w:t>±54.4</w:t>
      </w:r>
      <w:r w:rsidRPr="009A4293">
        <w:t xml:space="preserve"> </w:t>
      </w:r>
      <w:r>
        <w:t>x10</w:t>
      </w:r>
      <w:r w:rsidRPr="002C0B29">
        <w:rPr>
          <w:vertAlign w:val="superscript"/>
        </w:rPr>
        <w:t>4</w:t>
      </w:r>
      <w:r>
        <w:rPr>
          <w:vertAlign w:val="superscript"/>
        </w:rPr>
        <w:t xml:space="preserve"> </w:t>
      </w:r>
      <w:r>
        <w:t>cells/mL at 24 h; placebo: 26.57</w:t>
      </w:r>
      <w:r>
        <w:rPr>
          <w:rFonts w:cs="Times New Roman"/>
        </w:rPr>
        <w:t>±11.5</w:t>
      </w:r>
      <w:r>
        <w:t>x10</w:t>
      </w:r>
      <w:r w:rsidRPr="002C0B29">
        <w:rPr>
          <w:vertAlign w:val="superscript"/>
        </w:rPr>
        <w:t>4</w:t>
      </w:r>
      <w:r>
        <w:rPr>
          <w:vertAlign w:val="superscript"/>
        </w:rPr>
        <w:t xml:space="preserve"> </w:t>
      </w:r>
      <w:r>
        <w:t>cells/mL at 3h, 36.42</w:t>
      </w:r>
      <w:r>
        <w:rPr>
          <w:rFonts w:cs="Times New Roman"/>
        </w:rPr>
        <w:t>±18.4</w:t>
      </w:r>
      <w:r>
        <w:t>x10</w:t>
      </w:r>
      <w:r w:rsidRPr="002C0B29">
        <w:rPr>
          <w:vertAlign w:val="superscript"/>
        </w:rPr>
        <w:t>4</w:t>
      </w:r>
      <w:r>
        <w:rPr>
          <w:vertAlign w:val="superscript"/>
        </w:rPr>
        <w:t xml:space="preserve"> </w:t>
      </w:r>
      <w:r>
        <w:t>cells/mL at 24 h.</w:t>
      </w:r>
    </w:p>
    <w:p w14:paraId="621046A3" w14:textId="50083E2F" w:rsidR="0018371C" w:rsidRDefault="0018371C" w:rsidP="005B7D84">
      <w:pPr>
        <w:spacing w:after="0" w:line="480" w:lineRule="auto"/>
        <w:jc w:val="both"/>
      </w:pPr>
      <w:r>
        <w:t xml:space="preserve">Migration assay controls: migrated cells towards MS499 </w:t>
      </w:r>
      <w:r w:rsidRPr="004E73F3">
        <w:rPr>
          <w:i/>
        </w:rPr>
        <w:t>E. coli</w:t>
      </w:r>
      <w:r>
        <w:t xml:space="preserve">: </w:t>
      </w:r>
      <w:r>
        <w:rPr>
          <w:rFonts w:eastAsia="Segoe UI Emoji" w:cs="Times New Roman"/>
        </w:rPr>
        <w:t xml:space="preserve">treatment: </w:t>
      </w:r>
      <w:proofErr w:type="spellStart"/>
      <w:r>
        <w:t>mean</w:t>
      </w:r>
      <w:r>
        <w:rPr>
          <w:rFonts w:cs="Times New Roman"/>
        </w:rPr>
        <w:t>±</w:t>
      </w:r>
      <w:r>
        <w:t>SD</w:t>
      </w:r>
      <w:proofErr w:type="spellEnd"/>
      <w:r>
        <w:t>=7.11</w:t>
      </w:r>
      <w:r>
        <w:rPr>
          <w:rFonts w:cs="Times New Roman"/>
        </w:rPr>
        <w:t>±</w:t>
      </w:r>
      <w:r>
        <w:t>4.7x10</w:t>
      </w:r>
      <w:r w:rsidRPr="002C0B29">
        <w:rPr>
          <w:vertAlign w:val="superscript"/>
        </w:rPr>
        <w:t>4</w:t>
      </w:r>
      <w:r>
        <w:rPr>
          <w:vertAlign w:val="superscript"/>
        </w:rPr>
        <w:t xml:space="preserve"> </w:t>
      </w:r>
      <w:r>
        <w:t>cells/mL at 3h, 19.40</w:t>
      </w:r>
      <w:r>
        <w:rPr>
          <w:rFonts w:cs="Times New Roman"/>
        </w:rPr>
        <w:t>±8.3</w:t>
      </w:r>
      <w:r w:rsidRPr="009A4293">
        <w:t xml:space="preserve"> </w:t>
      </w:r>
      <w:r>
        <w:t>x10</w:t>
      </w:r>
      <w:r w:rsidRPr="002C0B29">
        <w:rPr>
          <w:vertAlign w:val="superscript"/>
        </w:rPr>
        <w:t>4</w:t>
      </w:r>
      <w:r>
        <w:rPr>
          <w:vertAlign w:val="superscript"/>
        </w:rPr>
        <w:t xml:space="preserve"> </w:t>
      </w:r>
      <w:r>
        <w:t>cells/mL at 24 h; placebo: 11.0</w:t>
      </w:r>
      <w:r>
        <w:rPr>
          <w:rFonts w:cs="Times New Roman"/>
        </w:rPr>
        <w:t>±</w:t>
      </w:r>
      <w:r>
        <w:t>5.9x10</w:t>
      </w:r>
      <w:r w:rsidRPr="002C0B29">
        <w:rPr>
          <w:vertAlign w:val="superscript"/>
        </w:rPr>
        <w:t>4</w:t>
      </w:r>
      <w:r>
        <w:rPr>
          <w:vertAlign w:val="superscript"/>
        </w:rPr>
        <w:t xml:space="preserve"> </w:t>
      </w:r>
      <w:r>
        <w:t>cells/mL at 3h, 25.56</w:t>
      </w:r>
      <w:r>
        <w:rPr>
          <w:rFonts w:cs="Times New Roman"/>
        </w:rPr>
        <w:t>±14.9</w:t>
      </w:r>
      <w:r w:rsidRPr="009A4293">
        <w:t xml:space="preserve"> </w:t>
      </w:r>
      <w:r>
        <w:t>x10</w:t>
      </w:r>
      <w:r w:rsidRPr="002C0B29">
        <w:rPr>
          <w:vertAlign w:val="superscript"/>
        </w:rPr>
        <w:t>4</w:t>
      </w:r>
      <w:r>
        <w:rPr>
          <w:vertAlign w:val="superscript"/>
        </w:rPr>
        <w:t xml:space="preserve"> </w:t>
      </w:r>
      <w:r>
        <w:t xml:space="preserve">cells/mL at 24 h, 10 ng/mL CXCL8: </w:t>
      </w:r>
      <w:r>
        <w:rPr>
          <w:rFonts w:eastAsia="Segoe UI Emoji" w:cs="Times New Roman"/>
        </w:rPr>
        <w:t xml:space="preserve">treatment: </w:t>
      </w:r>
      <w:proofErr w:type="spellStart"/>
      <w:r>
        <w:t>mean</w:t>
      </w:r>
      <w:r>
        <w:rPr>
          <w:rFonts w:cs="Times New Roman"/>
        </w:rPr>
        <w:t>±</w:t>
      </w:r>
      <w:r>
        <w:t>SD</w:t>
      </w:r>
      <w:proofErr w:type="spellEnd"/>
      <w:r>
        <w:t>=15.9</w:t>
      </w:r>
      <w:r>
        <w:rPr>
          <w:rFonts w:cs="Times New Roman"/>
        </w:rPr>
        <w:t>±</w:t>
      </w:r>
      <w:r>
        <w:t>17.3x10</w:t>
      </w:r>
      <w:r w:rsidRPr="002C0B29">
        <w:rPr>
          <w:vertAlign w:val="superscript"/>
        </w:rPr>
        <w:t>4</w:t>
      </w:r>
      <w:r>
        <w:rPr>
          <w:vertAlign w:val="superscript"/>
        </w:rPr>
        <w:t xml:space="preserve"> </w:t>
      </w:r>
      <w:r>
        <w:t>cells/mL at 3h, 39.54</w:t>
      </w:r>
      <w:r>
        <w:rPr>
          <w:rFonts w:cs="Times New Roman"/>
        </w:rPr>
        <w:t>±37.5</w:t>
      </w:r>
      <w:r w:rsidRPr="009A4293">
        <w:t xml:space="preserve"> </w:t>
      </w:r>
      <w:r>
        <w:t>x10</w:t>
      </w:r>
      <w:r w:rsidRPr="002C0B29">
        <w:rPr>
          <w:vertAlign w:val="superscript"/>
        </w:rPr>
        <w:t>4</w:t>
      </w:r>
      <w:r>
        <w:rPr>
          <w:vertAlign w:val="superscript"/>
        </w:rPr>
        <w:t xml:space="preserve"> </w:t>
      </w:r>
      <w:r>
        <w:t>cells/mL at 24 h; placebo: 16.54</w:t>
      </w:r>
      <w:r>
        <w:rPr>
          <w:rFonts w:cs="Times New Roman"/>
        </w:rPr>
        <w:t>±</w:t>
      </w:r>
      <w:r>
        <w:t>7.7x10</w:t>
      </w:r>
      <w:r w:rsidRPr="002C0B29">
        <w:rPr>
          <w:vertAlign w:val="superscript"/>
        </w:rPr>
        <w:t>4</w:t>
      </w:r>
      <w:r>
        <w:rPr>
          <w:vertAlign w:val="superscript"/>
        </w:rPr>
        <w:t xml:space="preserve"> </w:t>
      </w:r>
      <w:r>
        <w:t>cells/mL at 3h, 20.67</w:t>
      </w:r>
      <w:r>
        <w:rPr>
          <w:rFonts w:cs="Times New Roman"/>
        </w:rPr>
        <w:t>±16.3</w:t>
      </w:r>
      <w:r w:rsidRPr="009A4293">
        <w:t xml:space="preserve"> </w:t>
      </w:r>
      <w:r>
        <w:t>x10</w:t>
      </w:r>
      <w:r w:rsidRPr="002C0B29">
        <w:rPr>
          <w:vertAlign w:val="superscript"/>
        </w:rPr>
        <w:t>4</w:t>
      </w:r>
      <w:r>
        <w:rPr>
          <w:vertAlign w:val="superscript"/>
        </w:rPr>
        <w:t xml:space="preserve"> </w:t>
      </w:r>
      <w:r>
        <w:t>cells/mL at 24 h) and media only control (</w:t>
      </w:r>
      <w:r>
        <w:rPr>
          <w:rFonts w:eastAsia="Segoe UI Emoji" w:cs="Times New Roman"/>
        </w:rPr>
        <w:t xml:space="preserve">treatment: </w:t>
      </w:r>
      <w:proofErr w:type="spellStart"/>
      <w:r>
        <w:t>mean</w:t>
      </w:r>
      <w:r>
        <w:rPr>
          <w:rFonts w:cs="Times New Roman"/>
        </w:rPr>
        <w:t>±</w:t>
      </w:r>
      <w:r>
        <w:t>SD</w:t>
      </w:r>
      <w:proofErr w:type="spellEnd"/>
      <w:r>
        <w:t>=0.37</w:t>
      </w:r>
      <w:r>
        <w:rPr>
          <w:rFonts w:cs="Times New Roman"/>
        </w:rPr>
        <w:t>±</w:t>
      </w:r>
      <w:r>
        <w:t>0.3x10</w:t>
      </w:r>
      <w:r w:rsidRPr="002C0B29">
        <w:rPr>
          <w:vertAlign w:val="superscript"/>
        </w:rPr>
        <w:t>4</w:t>
      </w:r>
      <w:r>
        <w:rPr>
          <w:vertAlign w:val="superscript"/>
        </w:rPr>
        <w:t xml:space="preserve"> </w:t>
      </w:r>
      <w:r>
        <w:t>cells/mL at 3h, 0.93</w:t>
      </w:r>
      <w:r>
        <w:rPr>
          <w:rFonts w:cs="Times New Roman"/>
        </w:rPr>
        <w:t>±1.0</w:t>
      </w:r>
      <w:r w:rsidRPr="009A4293">
        <w:t xml:space="preserve"> </w:t>
      </w:r>
      <w:r>
        <w:t>x10</w:t>
      </w:r>
      <w:r w:rsidRPr="002C0B29">
        <w:rPr>
          <w:vertAlign w:val="superscript"/>
        </w:rPr>
        <w:t>4</w:t>
      </w:r>
      <w:r>
        <w:rPr>
          <w:vertAlign w:val="superscript"/>
        </w:rPr>
        <w:t xml:space="preserve"> </w:t>
      </w:r>
      <w:r>
        <w:t>cells/mL at 24 h; placebo: 0.25</w:t>
      </w:r>
      <w:r>
        <w:rPr>
          <w:rFonts w:cs="Times New Roman"/>
        </w:rPr>
        <w:t>±</w:t>
      </w:r>
      <w:r>
        <w:t>0.2x10</w:t>
      </w:r>
      <w:r w:rsidRPr="002C0B29">
        <w:rPr>
          <w:vertAlign w:val="superscript"/>
        </w:rPr>
        <w:t>4</w:t>
      </w:r>
      <w:r>
        <w:rPr>
          <w:vertAlign w:val="superscript"/>
        </w:rPr>
        <w:t xml:space="preserve"> </w:t>
      </w:r>
      <w:r>
        <w:t>cells/mL at 3h, 0.64</w:t>
      </w:r>
      <w:r>
        <w:rPr>
          <w:rFonts w:cs="Times New Roman"/>
        </w:rPr>
        <w:t>±0.6</w:t>
      </w:r>
      <w:r>
        <w:t>x10</w:t>
      </w:r>
      <w:r w:rsidRPr="002C0B29">
        <w:rPr>
          <w:vertAlign w:val="superscript"/>
        </w:rPr>
        <w:t>4</w:t>
      </w:r>
      <w:r>
        <w:rPr>
          <w:vertAlign w:val="superscript"/>
        </w:rPr>
        <w:t xml:space="preserve"> </w:t>
      </w:r>
      <w:r>
        <w:t>cells/mL at 24 h.</w:t>
      </w:r>
    </w:p>
    <w:sectPr w:rsidR="00183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308DB"/>
    <w:multiLevelType w:val="hybridMultilevel"/>
    <w:tmpl w:val="059C73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1"/>
    <w:rsid w:val="0018371C"/>
    <w:rsid w:val="00300444"/>
    <w:rsid w:val="003857C7"/>
    <w:rsid w:val="004B1376"/>
    <w:rsid w:val="00501361"/>
    <w:rsid w:val="005B7D84"/>
    <w:rsid w:val="006024E2"/>
    <w:rsid w:val="00654BFB"/>
    <w:rsid w:val="006B717C"/>
    <w:rsid w:val="007227B0"/>
    <w:rsid w:val="009C7C44"/>
    <w:rsid w:val="00A777CD"/>
    <w:rsid w:val="00C532AC"/>
    <w:rsid w:val="00CC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D9C2"/>
  <w15:chartTrackingRefBased/>
  <w15:docId w15:val="{0AE02614-8731-4771-9611-FBF939A5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1"/>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361"/>
    <w:pPr>
      <w:spacing w:after="160" w:line="256" w:lineRule="auto"/>
      <w:ind w:left="720"/>
      <w:contextualSpacing/>
    </w:pPr>
    <w:rPr>
      <w:rFonts w:ascii="Arial" w:hAnsi="Arial"/>
      <w:sz w:val="22"/>
    </w:rPr>
  </w:style>
  <w:style w:type="paragraph" w:styleId="BalloonText">
    <w:name w:val="Balloon Text"/>
    <w:basedOn w:val="Normal"/>
    <w:link w:val="BalloonTextChar"/>
    <w:uiPriority w:val="99"/>
    <w:semiHidden/>
    <w:unhideWhenUsed/>
    <w:rsid w:val="00300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444"/>
    <w:rPr>
      <w:rFonts w:ascii="Segoe UI" w:hAnsi="Segoe UI" w:cs="Segoe UI"/>
      <w:sz w:val="18"/>
      <w:szCs w:val="18"/>
    </w:rPr>
  </w:style>
  <w:style w:type="table" w:styleId="TableGrid">
    <w:name w:val="Table Grid"/>
    <w:basedOn w:val="TableNormal"/>
    <w:uiPriority w:val="39"/>
    <w:rsid w:val="00C5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1918</Words>
  <Characters>10518</Characters>
  <Application>Microsoft Office Word</Application>
  <DocSecurity>0</DocSecurity>
  <Lines>243</Lines>
  <Paragraphs>101</Paragraphs>
  <ScaleCrop>false</ScaleCrop>
  <HeadingPairs>
    <vt:vector size="2" baseType="variant">
      <vt:variant>
        <vt:lpstr>Title</vt:lpstr>
      </vt:variant>
      <vt:variant>
        <vt:i4>1</vt:i4>
      </vt:variant>
    </vt:vector>
  </HeadingPairs>
  <TitlesOfParts>
    <vt:vector size="1" baseType="lpstr">
      <vt:lpstr>Pegbovigrastim treatment in vivo does not affect granulocyte ability to migrate to endometrial cells and kill bacteria in vitro in healthy cows</vt:lpstr>
    </vt:vector>
  </TitlesOfParts>
  <Company>Royal Veterinary College</Company>
  <LinksUpToDate>false</LinksUpToDate>
  <CharactersWithSpaces>12343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Pegbovigrastim treatment in vivo does not affect granulocyte ability to migrate to endometrial cells and kill bacteria in vitro in healthy cows</dc:title>
  <dc:subject/>
  <dc:creator>Werling, Dirk</dc:creator>
  <cp:keywords/>
  <dc:description/>
  <cp:lastModifiedBy>Murphy, Michael</cp:lastModifiedBy>
  <cp:revision>3</cp:revision>
  <dcterms:created xsi:type="dcterms:W3CDTF">2019-08-06T13:12:00Z</dcterms:created>
  <dcterms:modified xsi:type="dcterms:W3CDTF">2019-08-06T13:13:00Z</dcterms:modified>
</cp:coreProperties>
</file>