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AB3C8" w14:textId="77777777" w:rsidR="001E1CD9" w:rsidRPr="00B40A93" w:rsidRDefault="001E1CD9" w:rsidP="00BE380C">
      <w:pPr>
        <w:spacing w:line="480" w:lineRule="auto"/>
        <w:jc w:val="both"/>
        <w:rPr>
          <w:rFonts w:asciiTheme="minorHAnsi" w:hAnsiTheme="minorHAnsi" w:cstheme="minorHAnsi"/>
          <w:color w:val="000000" w:themeColor="text1"/>
        </w:rPr>
      </w:pPr>
      <w:bookmarkStart w:id="0" w:name="_Toc26013849"/>
      <w:r w:rsidRPr="00B40A93">
        <w:rPr>
          <w:rFonts w:asciiTheme="minorHAnsi" w:hAnsiTheme="minorHAnsi" w:cstheme="minorHAnsi"/>
          <w:b/>
          <w:bCs/>
          <w:color w:val="000000" w:themeColor="text1"/>
        </w:rPr>
        <w:t>Retrospective evaluation of refeeding syndrome in cats: 11 cases (2013-2019)</w:t>
      </w:r>
    </w:p>
    <w:p w14:paraId="430FC138"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Authors</w:t>
      </w:r>
    </w:p>
    <w:p w14:paraId="4E7458B6"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Simon Cook BSc, BVSc, MVetMed, DACVECC, DECVECC, FHEA, MRCVS</w:t>
      </w:r>
    </w:p>
    <w:p w14:paraId="607C1003" w14:textId="728210A5" w:rsidR="001E1CD9" w:rsidRPr="00B40A93" w:rsidRDefault="00CE6536"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Department of </w:t>
      </w:r>
      <w:r w:rsidR="001E1CD9" w:rsidRPr="00B40A93">
        <w:rPr>
          <w:rFonts w:asciiTheme="minorHAnsi" w:hAnsiTheme="minorHAnsi" w:cstheme="minorHAnsi"/>
          <w:color w:val="000000" w:themeColor="text1"/>
        </w:rPr>
        <w:t xml:space="preserve">Clinical </w:t>
      </w:r>
      <w:r w:rsidRPr="00B40A93">
        <w:rPr>
          <w:rFonts w:asciiTheme="minorHAnsi" w:hAnsiTheme="minorHAnsi" w:cstheme="minorHAnsi"/>
          <w:color w:val="000000" w:themeColor="text1"/>
        </w:rPr>
        <w:t>S</w:t>
      </w:r>
      <w:r w:rsidR="001E1CD9" w:rsidRPr="00B40A93">
        <w:rPr>
          <w:rFonts w:asciiTheme="minorHAnsi" w:hAnsiTheme="minorHAnsi" w:cstheme="minorHAnsi"/>
          <w:color w:val="000000" w:themeColor="text1"/>
        </w:rPr>
        <w:t xml:space="preserve">cience and </w:t>
      </w:r>
      <w:r w:rsidRPr="00B40A93">
        <w:rPr>
          <w:rFonts w:asciiTheme="minorHAnsi" w:hAnsiTheme="minorHAnsi" w:cstheme="minorHAnsi"/>
          <w:color w:val="000000" w:themeColor="text1"/>
        </w:rPr>
        <w:t>S</w:t>
      </w:r>
      <w:r w:rsidR="001E1CD9" w:rsidRPr="00B40A93">
        <w:rPr>
          <w:rFonts w:asciiTheme="minorHAnsi" w:hAnsiTheme="minorHAnsi" w:cstheme="minorHAnsi"/>
          <w:color w:val="000000" w:themeColor="text1"/>
        </w:rPr>
        <w:t>ervices. Royal Veterinary College, London, United Kingdom</w:t>
      </w:r>
    </w:p>
    <w:p w14:paraId="127F3163" w14:textId="77777777" w:rsidR="001E1CD9" w:rsidRPr="00B40A93" w:rsidRDefault="001E1CD9" w:rsidP="00BE380C">
      <w:pPr>
        <w:spacing w:line="480" w:lineRule="auto"/>
        <w:jc w:val="both"/>
        <w:rPr>
          <w:rFonts w:asciiTheme="minorHAnsi" w:hAnsiTheme="minorHAnsi" w:cstheme="minorHAnsi"/>
          <w:color w:val="000000" w:themeColor="text1"/>
        </w:rPr>
      </w:pPr>
    </w:p>
    <w:p w14:paraId="349664D4"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Emily Whitby BVetMed MRCVS</w:t>
      </w:r>
    </w:p>
    <w:p w14:paraId="08A6E5E5"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Royal Veterinary College, London, United Kingdom</w:t>
      </w:r>
    </w:p>
    <w:p w14:paraId="05CE439C" w14:textId="77777777" w:rsidR="001E1CD9" w:rsidRPr="00B40A93" w:rsidRDefault="001E1CD9" w:rsidP="00BE380C">
      <w:pPr>
        <w:spacing w:line="480" w:lineRule="auto"/>
        <w:jc w:val="both"/>
        <w:rPr>
          <w:rFonts w:asciiTheme="minorHAnsi" w:hAnsiTheme="minorHAnsi" w:cstheme="minorHAnsi"/>
          <w:color w:val="000000" w:themeColor="text1"/>
        </w:rPr>
      </w:pPr>
    </w:p>
    <w:p w14:paraId="55045ABD" w14:textId="31A17FB1" w:rsidR="001E1CD9" w:rsidRPr="00B40A93" w:rsidRDefault="001E1CD9" w:rsidP="00BE380C">
      <w:pPr>
        <w:spacing w:line="480" w:lineRule="auto"/>
        <w:rPr>
          <w:rFonts w:asciiTheme="minorHAnsi" w:hAnsiTheme="minorHAnsi" w:cstheme="minorHAnsi"/>
          <w:color w:val="000000" w:themeColor="text1"/>
        </w:rPr>
      </w:pPr>
      <w:r w:rsidRPr="00B40A93">
        <w:rPr>
          <w:rFonts w:asciiTheme="minorHAnsi" w:hAnsiTheme="minorHAnsi" w:cstheme="minorHAnsi"/>
          <w:color w:val="000000" w:themeColor="text1"/>
        </w:rPr>
        <w:t xml:space="preserve">Neus Elias </w:t>
      </w:r>
      <w:r w:rsidRPr="00B40A93">
        <w:rPr>
          <w:rFonts w:asciiTheme="minorHAnsi" w:hAnsiTheme="minorHAnsi" w:cstheme="minorHAnsi"/>
          <w:color w:val="000000" w:themeColor="text1"/>
          <w:spacing w:val="5"/>
        </w:rPr>
        <w:t xml:space="preserve">LMV, PgCert, </w:t>
      </w:r>
      <w:proofErr w:type="spellStart"/>
      <w:proofErr w:type="gramStart"/>
      <w:r w:rsidRPr="00B40A93">
        <w:rPr>
          <w:rFonts w:asciiTheme="minorHAnsi" w:hAnsiTheme="minorHAnsi" w:cstheme="minorHAnsi"/>
          <w:color w:val="000000" w:themeColor="text1"/>
          <w:spacing w:val="5"/>
        </w:rPr>
        <w:t>CertAVP</w:t>
      </w:r>
      <w:proofErr w:type="spellEnd"/>
      <w:r w:rsidRPr="00B40A93">
        <w:rPr>
          <w:rFonts w:asciiTheme="minorHAnsi" w:hAnsiTheme="minorHAnsi" w:cstheme="minorHAnsi"/>
          <w:color w:val="000000" w:themeColor="text1"/>
          <w:spacing w:val="5"/>
        </w:rPr>
        <w:t>(</w:t>
      </w:r>
      <w:proofErr w:type="gramEnd"/>
      <w:r w:rsidRPr="00B40A93">
        <w:rPr>
          <w:rFonts w:asciiTheme="minorHAnsi" w:hAnsiTheme="minorHAnsi" w:cstheme="minorHAnsi"/>
          <w:color w:val="000000" w:themeColor="text1"/>
          <w:spacing w:val="5"/>
        </w:rPr>
        <w:t>ECC),</w:t>
      </w:r>
      <w:r w:rsidR="0071724B" w:rsidRPr="00B40A93">
        <w:rPr>
          <w:rFonts w:asciiTheme="minorHAnsi" w:hAnsiTheme="minorHAnsi" w:cstheme="minorHAnsi"/>
          <w:color w:val="000000" w:themeColor="text1"/>
          <w:spacing w:val="5"/>
        </w:rPr>
        <w:t xml:space="preserve"> DACVECC,</w:t>
      </w:r>
      <w:r w:rsidRPr="00B40A93">
        <w:rPr>
          <w:rFonts w:asciiTheme="minorHAnsi" w:hAnsiTheme="minorHAnsi" w:cstheme="minorHAnsi"/>
          <w:color w:val="000000" w:themeColor="text1"/>
          <w:spacing w:val="5"/>
        </w:rPr>
        <w:t xml:space="preserve"> MRCVS</w:t>
      </w:r>
    </w:p>
    <w:p w14:paraId="2319DECD"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Vets Now, Glasgow, United Kingdom</w:t>
      </w:r>
    </w:p>
    <w:p w14:paraId="328525A8" w14:textId="77777777" w:rsidR="001E1CD9" w:rsidRPr="00B40A93" w:rsidRDefault="001E1CD9" w:rsidP="00BE380C">
      <w:pPr>
        <w:spacing w:line="480" w:lineRule="auto"/>
        <w:jc w:val="both"/>
        <w:rPr>
          <w:rFonts w:asciiTheme="minorHAnsi" w:hAnsiTheme="minorHAnsi" w:cstheme="minorHAnsi"/>
          <w:color w:val="000000" w:themeColor="text1"/>
        </w:rPr>
      </w:pPr>
    </w:p>
    <w:p w14:paraId="390266F0" w14:textId="50AFFA32" w:rsidR="001E1CD9" w:rsidRPr="00B40A93" w:rsidRDefault="001E1CD9" w:rsidP="00BE380C">
      <w:pPr>
        <w:spacing w:line="480" w:lineRule="auto"/>
        <w:rPr>
          <w:rFonts w:asciiTheme="minorHAnsi" w:hAnsiTheme="minorHAnsi" w:cstheme="minorHAnsi"/>
          <w:color w:val="000000" w:themeColor="text1"/>
        </w:rPr>
      </w:pPr>
      <w:r w:rsidRPr="00B40A93">
        <w:rPr>
          <w:rFonts w:asciiTheme="minorHAnsi" w:hAnsiTheme="minorHAnsi" w:cstheme="minorHAnsi"/>
          <w:color w:val="000000" w:themeColor="text1"/>
        </w:rPr>
        <w:t xml:space="preserve">Georgina Hall </w:t>
      </w:r>
      <w:r w:rsidRPr="00B40A93">
        <w:rPr>
          <w:rFonts w:asciiTheme="minorHAnsi" w:hAnsiTheme="minorHAnsi" w:cstheme="minorHAnsi"/>
          <w:color w:val="000000" w:themeColor="text1"/>
          <w:shd w:val="clear" w:color="auto" w:fill="FFFFFF"/>
        </w:rPr>
        <w:t>MA</w:t>
      </w:r>
      <w:r w:rsidR="0071724B" w:rsidRPr="00B40A93">
        <w:rPr>
          <w:rFonts w:asciiTheme="minorHAnsi" w:hAnsiTheme="minorHAnsi" w:cstheme="minorHAnsi"/>
          <w:color w:val="000000" w:themeColor="text1"/>
          <w:shd w:val="clear" w:color="auto" w:fill="FFFFFF"/>
        </w:rPr>
        <w:t>,</w:t>
      </w:r>
      <w:r w:rsidRPr="00B40A93">
        <w:rPr>
          <w:rFonts w:asciiTheme="minorHAnsi" w:hAnsiTheme="minorHAnsi" w:cstheme="minorHAnsi"/>
          <w:color w:val="000000" w:themeColor="text1"/>
          <w:shd w:val="clear" w:color="auto" w:fill="FFFFFF"/>
        </w:rPr>
        <w:t xml:space="preserve"> VetMB</w:t>
      </w:r>
      <w:r w:rsidR="0071724B" w:rsidRPr="00B40A93">
        <w:rPr>
          <w:rFonts w:asciiTheme="minorHAnsi" w:hAnsiTheme="minorHAnsi" w:cstheme="minorHAnsi"/>
          <w:color w:val="000000" w:themeColor="text1"/>
          <w:shd w:val="clear" w:color="auto" w:fill="FFFFFF"/>
        </w:rPr>
        <w:t>,</w:t>
      </w:r>
      <w:r w:rsidRPr="00B40A93">
        <w:rPr>
          <w:rFonts w:asciiTheme="minorHAnsi" w:hAnsiTheme="minorHAnsi" w:cstheme="minorHAnsi"/>
          <w:color w:val="000000" w:themeColor="text1"/>
          <w:shd w:val="clear" w:color="auto" w:fill="FFFFFF"/>
        </w:rPr>
        <w:t xml:space="preserve"> </w:t>
      </w:r>
      <w:proofErr w:type="spellStart"/>
      <w:r w:rsidRPr="00B40A93">
        <w:rPr>
          <w:rFonts w:asciiTheme="minorHAnsi" w:hAnsiTheme="minorHAnsi" w:cstheme="minorHAnsi"/>
          <w:color w:val="000000" w:themeColor="text1"/>
          <w:shd w:val="clear" w:color="auto" w:fill="FFFFFF"/>
        </w:rPr>
        <w:t>PGCertSAECC</w:t>
      </w:r>
      <w:proofErr w:type="spellEnd"/>
      <w:r w:rsidR="0071724B" w:rsidRPr="00B40A93">
        <w:rPr>
          <w:rFonts w:asciiTheme="minorHAnsi" w:hAnsiTheme="minorHAnsi" w:cstheme="minorHAnsi"/>
          <w:color w:val="000000" w:themeColor="text1"/>
          <w:shd w:val="clear" w:color="auto" w:fill="FFFFFF"/>
        </w:rPr>
        <w:t>,</w:t>
      </w:r>
      <w:r w:rsidRPr="00B40A93">
        <w:rPr>
          <w:rFonts w:asciiTheme="minorHAnsi" w:hAnsiTheme="minorHAnsi" w:cstheme="minorHAnsi"/>
          <w:color w:val="000000" w:themeColor="text1"/>
          <w:shd w:val="clear" w:color="auto" w:fill="FFFFFF"/>
        </w:rPr>
        <w:t xml:space="preserve"> MRCVS</w:t>
      </w:r>
    </w:p>
    <w:p w14:paraId="2C33D4EA" w14:textId="6B270F17" w:rsidR="001E1CD9" w:rsidRPr="00B40A93" w:rsidRDefault="00CE6536"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Department of </w:t>
      </w:r>
      <w:r w:rsidR="001E1CD9" w:rsidRPr="00B40A93">
        <w:rPr>
          <w:rFonts w:asciiTheme="minorHAnsi" w:hAnsiTheme="minorHAnsi" w:cstheme="minorHAnsi"/>
          <w:color w:val="000000" w:themeColor="text1"/>
        </w:rPr>
        <w:t xml:space="preserve">Clinical </w:t>
      </w:r>
      <w:r w:rsidRPr="00B40A93">
        <w:rPr>
          <w:rFonts w:asciiTheme="minorHAnsi" w:hAnsiTheme="minorHAnsi" w:cstheme="minorHAnsi"/>
          <w:color w:val="000000" w:themeColor="text1"/>
        </w:rPr>
        <w:t>S</w:t>
      </w:r>
      <w:r w:rsidR="001E1CD9" w:rsidRPr="00B40A93">
        <w:rPr>
          <w:rFonts w:asciiTheme="minorHAnsi" w:hAnsiTheme="minorHAnsi" w:cstheme="minorHAnsi"/>
          <w:color w:val="000000" w:themeColor="text1"/>
        </w:rPr>
        <w:t xml:space="preserve">cience and </w:t>
      </w:r>
      <w:r w:rsidRPr="00B40A93">
        <w:rPr>
          <w:rFonts w:asciiTheme="minorHAnsi" w:hAnsiTheme="minorHAnsi" w:cstheme="minorHAnsi"/>
          <w:color w:val="000000" w:themeColor="text1"/>
        </w:rPr>
        <w:t>S</w:t>
      </w:r>
      <w:r w:rsidR="001E1CD9" w:rsidRPr="00B40A93">
        <w:rPr>
          <w:rFonts w:asciiTheme="minorHAnsi" w:hAnsiTheme="minorHAnsi" w:cstheme="minorHAnsi"/>
          <w:color w:val="000000" w:themeColor="text1"/>
        </w:rPr>
        <w:t xml:space="preserve">ervices, </w:t>
      </w:r>
      <w:r w:rsidRPr="00B40A93">
        <w:rPr>
          <w:rFonts w:asciiTheme="minorHAnsi" w:hAnsiTheme="minorHAnsi" w:cstheme="minorHAnsi"/>
          <w:color w:val="000000" w:themeColor="text1"/>
        </w:rPr>
        <w:t xml:space="preserve">The </w:t>
      </w:r>
      <w:r w:rsidR="001E1CD9" w:rsidRPr="00B40A93">
        <w:rPr>
          <w:rFonts w:asciiTheme="minorHAnsi" w:hAnsiTheme="minorHAnsi" w:cstheme="minorHAnsi"/>
          <w:color w:val="000000" w:themeColor="text1"/>
        </w:rPr>
        <w:t>Royal Veterinary College, London, United Kingdom</w:t>
      </w:r>
    </w:p>
    <w:p w14:paraId="5B7BD2AC" w14:textId="77777777" w:rsidR="001E1CD9" w:rsidRPr="00B40A93" w:rsidRDefault="001E1CD9" w:rsidP="00BE380C">
      <w:pPr>
        <w:spacing w:line="480" w:lineRule="auto"/>
        <w:jc w:val="both"/>
        <w:rPr>
          <w:rFonts w:asciiTheme="minorHAnsi" w:hAnsiTheme="minorHAnsi" w:cstheme="minorHAnsi"/>
          <w:color w:val="000000" w:themeColor="text1"/>
        </w:rPr>
      </w:pPr>
    </w:p>
    <w:p w14:paraId="384DFD22" w14:textId="77777777" w:rsidR="001E1CD9" w:rsidRPr="00B40A93" w:rsidRDefault="001E1CD9" w:rsidP="00BE380C">
      <w:pPr>
        <w:spacing w:line="480" w:lineRule="auto"/>
        <w:rPr>
          <w:rFonts w:asciiTheme="minorHAnsi" w:hAnsiTheme="minorHAnsi" w:cstheme="minorHAnsi"/>
          <w:color w:val="000000" w:themeColor="text1"/>
        </w:rPr>
      </w:pPr>
      <w:r w:rsidRPr="00B40A93">
        <w:rPr>
          <w:rFonts w:asciiTheme="minorHAnsi" w:hAnsiTheme="minorHAnsi" w:cstheme="minorHAnsi"/>
          <w:color w:val="000000" w:themeColor="text1"/>
        </w:rPr>
        <w:t>Daniel L. Chan, DVM, DACVECC, DECVECC, DACVN, FHEA, MRCVS</w:t>
      </w:r>
    </w:p>
    <w:p w14:paraId="22F4C35E" w14:textId="08DCB22E" w:rsidR="001E1CD9" w:rsidRPr="00B40A93" w:rsidRDefault="00CE6536"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Department of </w:t>
      </w:r>
      <w:r w:rsidR="001E1CD9" w:rsidRPr="00B40A93">
        <w:rPr>
          <w:rFonts w:asciiTheme="minorHAnsi" w:hAnsiTheme="minorHAnsi" w:cstheme="minorHAnsi"/>
          <w:color w:val="000000" w:themeColor="text1"/>
        </w:rPr>
        <w:t xml:space="preserve">Clinical </w:t>
      </w:r>
      <w:r w:rsidRPr="00B40A93">
        <w:rPr>
          <w:rFonts w:asciiTheme="minorHAnsi" w:hAnsiTheme="minorHAnsi" w:cstheme="minorHAnsi"/>
          <w:color w:val="000000" w:themeColor="text1"/>
        </w:rPr>
        <w:t>S</w:t>
      </w:r>
      <w:r w:rsidR="001E1CD9" w:rsidRPr="00B40A93">
        <w:rPr>
          <w:rFonts w:asciiTheme="minorHAnsi" w:hAnsiTheme="minorHAnsi" w:cstheme="minorHAnsi"/>
          <w:color w:val="000000" w:themeColor="text1"/>
        </w:rPr>
        <w:t xml:space="preserve">cience and </w:t>
      </w:r>
      <w:r w:rsidRPr="00B40A93">
        <w:rPr>
          <w:rFonts w:asciiTheme="minorHAnsi" w:hAnsiTheme="minorHAnsi" w:cstheme="minorHAnsi"/>
          <w:color w:val="000000" w:themeColor="text1"/>
        </w:rPr>
        <w:t>S</w:t>
      </w:r>
      <w:r w:rsidR="001E1CD9" w:rsidRPr="00B40A93">
        <w:rPr>
          <w:rFonts w:asciiTheme="minorHAnsi" w:hAnsiTheme="minorHAnsi" w:cstheme="minorHAnsi"/>
          <w:color w:val="000000" w:themeColor="text1"/>
        </w:rPr>
        <w:t xml:space="preserve">ervices, </w:t>
      </w:r>
      <w:r w:rsidRPr="00B40A93">
        <w:rPr>
          <w:rFonts w:asciiTheme="minorHAnsi" w:hAnsiTheme="minorHAnsi" w:cstheme="minorHAnsi"/>
          <w:color w:val="000000" w:themeColor="text1"/>
        </w:rPr>
        <w:t xml:space="preserve">The </w:t>
      </w:r>
      <w:r w:rsidR="001E1CD9" w:rsidRPr="00B40A93">
        <w:rPr>
          <w:rFonts w:asciiTheme="minorHAnsi" w:hAnsiTheme="minorHAnsi" w:cstheme="minorHAnsi"/>
          <w:color w:val="000000" w:themeColor="text1"/>
        </w:rPr>
        <w:t>Royal Veterinary College, London, United Kingdom</w:t>
      </w:r>
    </w:p>
    <w:p w14:paraId="22F7A19A" w14:textId="77777777" w:rsidR="001E1CD9" w:rsidRPr="00B40A93" w:rsidRDefault="001E1CD9" w:rsidP="00BE380C">
      <w:pPr>
        <w:spacing w:line="480" w:lineRule="auto"/>
        <w:jc w:val="both"/>
        <w:rPr>
          <w:rFonts w:asciiTheme="minorHAnsi" w:hAnsiTheme="minorHAnsi" w:cstheme="minorHAnsi"/>
          <w:color w:val="000000" w:themeColor="text1"/>
        </w:rPr>
      </w:pPr>
    </w:p>
    <w:p w14:paraId="10FF4A1E"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Corresponding author:</w:t>
      </w:r>
    </w:p>
    <w:p w14:paraId="2CCB2B14"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Simon Cook BSc BVSc MVetMed DACVECC DECVECC FHEA MRCVS</w:t>
      </w:r>
    </w:p>
    <w:p w14:paraId="0940715D"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rPr>
        <w:t>sdcook@rvc.ac.uk</w:t>
      </w:r>
    </w:p>
    <w:p w14:paraId="0849C120"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Queen Mother Hospital for Animals</w:t>
      </w:r>
    </w:p>
    <w:p w14:paraId="10828EEB"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lastRenderedPageBreak/>
        <w:t>Hawkshead Lane</w:t>
      </w:r>
    </w:p>
    <w:p w14:paraId="7BB179E0"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Herts</w:t>
      </w:r>
    </w:p>
    <w:p w14:paraId="629D8288"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AL9 7TA</w:t>
      </w:r>
    </w:p>
    <w:p w14:paraId="4FA5747F" w14:textId="51CFA8CD"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b/>
          <w:bCs/>
          <w:color w:val="000000" w:themeColor="text1"/>
        </w:rPr>
        <w:t>Keywords:</w:t>
      </w:r>
      <w:r w:rsidRPr="00B40A93">
        <w:rPr>
          <w:rFonts w:asciiTheme="minorHAnsi" w:hAnsiTheme="minorHAnsi" w:cstheme="minorHAnsi"/>
          <w:color w:val="000000" w:themeColor="text1"/>
        </w:rPr>
        <w:t xml:space="preserve"> malnourishment, lipidosis, phosphorous, potassium, nutrition, starvation, emaciation</w:t>
      </w:r>
    </w:p>
    <w:p w14:paraId="197304DB" w14:textId="77777777" w:rsidR="001E1CD9" w:rsidRPr="00B40A93" w:rsidRDefault="001E1CD9" w:rsidP="00BE380C">
      <w:pPr>
        <w:spacing w:line="480" w:lineRule="auto"/>
        <w:jc w:val="both"/>
        <w:rPr>
          <w:rFonts w:asciiTheme="minorHAnsi" w:hAnsiTheme="minorHAnsi" w:cstheme="minorHAnsi"/>
          <w:color w:val="000000" w:themeColor="text1"/>
        </w:rPr>
      </w:pPr>
    </w:p>
    <w:p w14:paraId="6C8DFB6E"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br w:type="page"/>
      </w:r>
    </w:p>
    <w:p w14:paraId="1DF39BCE" w14:textId="77777777" w:rsidR="001E1CD9" w:rsidRPr="00B40A93" w:rsidRDefault="001E1CD9" w:rsidP="00BE380C">
      <w:pPr>
        <w:spacing w:line="480" w:lineRule="auto"/>
        <w:jc w:val="both"/>
        <w:rPr>
          <w:rFonts w:asciiTheme="minorHAnsi" w:hAnsiTheme="minorHAnsi" w:cstheme="minorHAnsi"/>
          <w:b/>
          <w:bCs/>
        </w:rPr>
      </w:pPr>
      <w:r w:rsidRPr="00B40A93">
        <w:rPr>
          <w:rFonts w:asciiTheme="minorHAnsi" w:hAnsiTheme="minorHAnsi" w:cstheme="minorHAnsi"/>
          <w:b/>
          <w:bCs/>
        </w:rPr>
        <w:lastRenderedPageBreak/>
        <w:t>Abstract</w:t>
      </w:r>
    </w:p>
    <w:p w14:paraId="25ACF698"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Objectives</w:t>
      </w:r>
    </w:p>
    <w:p w14:paraId="777CE701" w14:textId="557EAC7A"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To describe the clinicopathological findings, management and outcome of cats with refeeding syndrome (RS) </w:t>
      </w:r>
      <w:r w:rsidR="00CE6536" w:rsidRPr="00B40A93">
        <w:rPr>
          <w:rFonts w:asciiTheme="minorHAnsi" w:hAnsiTheme="minorHAnsi" w:cstheme="minorHAnsi"/>
          <w:color w:val="000000" w:themeColor="text1"/>
        </w:rPr>
        <w:t xml:space="preserve">following </w:t>
      </w:r>
      <w:r w:rsidRPr="00B40A93">
        <w:rPr>
          <w:rFonts w:asciiTheme="minorHAnsi" w:hAnsiTheme="minorHAnsi" w:cstheme="minorHAnsi"/>
          <w:color w:val="000000" w:themeColor="text1"/>
        </w:rPr>
        <w:t>prolonged starvation.</w:t>
      </w:r>
    </w:p>
    <w:p w14:paraId="0DB6FDA3"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Methods</w:t>
      </w:r>
    </w:p>
    <w:p w14:paraId="402D1BD3" w14:textId="3852A48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color w:val="000000" w:themeColor="text1"/>
        </w:rPr>
        <w:t>Records from four referral hospitals were searched between May 2013 and November 2019</w:t>
      </w:r>
      <w:r w:rsidR="00CE6536" w:rsidRPr="00B40A93">
        <w:rPr>
          <w:rFonts w:asciiTheme="minorHAnsi" w:hAnsiTheme="minorHAnsi" w:cstheme="minorHAnsi"/>
          <w:color w:val="000000" w:themeColor="text1"/>
        </w:rPr>
        <w:t xml:space="preserve"> and retrospectively evaluated</w:t>
      </w:r>
      <w:r w:rsidRPr="00B40A93">
        <w:rPr>
          <w:rFonts w:asciiTheme="minorHAnsi" w:hAnsiTheme="minorHAnsi" w:cstheme="minorHAnsi"/>
          <w:color w:val="000000" w:themeColor="text1"/>
        </w:rPr>
        <w:t xml:space="preserve">. Inclusion criteria were the presence of a risk factor for RS such as severe weight loss or emaciation following a period of presumed starvation, hypophosphataemia or a delta phosphorous </w:t>
      </w:r>
      <w:r w:rsidR="00CE6536" w:rsidRPr="00B40A93">
        <w:rPr>
          <w:rFonts w:asciiTheme="minorHAnsi" w:hAnsiTheme="minorHAnsi" w:cstheme="minorHAnsi"/>
          <w:color w:val="000000" w:themeColor="text1"/>
        </w:rPr>
        <w:t>exceeding</w:t>
      </w:r>
      <w:r w:rsidRPr="00B40A93">
        <w:rPr>
          <w:rFonts w:asciiTheme="minorHAnsi" w:hAnsiTheme="minorHAnsi" w:cstheme="minorHAnsi"/>
          <w:color w:val="000000" w:themeColor="text1"/>
        </w:rPr>
        <w:t xml:space="preserve"> 30% </w:t>
      </w:r>
      <w:r w:rsidR="00CE6536" w:rsidRPr="00B40A93">
        <w:rPr>
          <w:rFonts w:asciiTheme="minorHAnsi" w:hAnsiTheme="minorHAnsi" w:cstheme="minorHAnsi"/>
          <w:color w:val="000000" w:themeColor="text1"/>
        </w:rPr>
        <w:t xml:space="preserve">reduction </w:t>
      </w:r>
      <w:r w:rsidRPr="00B40A93">
        <w:rPr>
          <w:rFonts w:asciiTheme="minorHAnsi" w:hAnsiTheme="minorHAnsi" w:cstheme="minorHAnsi"/>
          <w:color w:val="000000" w:themeColor="text1"/>
        </w:rPr>
        <w:t>following refeeding, being treated on the basis of a clinical diagnosis of RS and one or more derangement of hypokalaemia, hypoglycaemia or hyperglycaemia.</w:t>
      </w:r>
    </w:p>
    <w:p w14:paraId="1D913DAE"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Results</w:t>
      </w:r>
    </w:p>
    <w:p w14:paraId="67F7EF63" w14:textId="289F2CDF"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Eleven cats were identified, which had been missing for a median of 6 (3-104) weeks. Mean percentage weight loss was 46 (±</w:t>
      </w:r>
      <w:r w:rsidR="005C2B87" w:rsidRPr="00B40A93">
        <w:rPr>
          <w:rFonts w:asciiTheme="minorHAnsi" w:hAnsiTheme="minorHAnsi" w:cstheme="minorHAnsi"/>
          <w:color w:val="000000" w:themeColor="text1"/>
        </w:rPr>
        <w:t>7) %</w:t>
      </w:r>
      <w:r w:rsidRPr="00B40A93">
        <w:rPr>
          <w:rFonts w:asciiTheme="minorHAnsi" w:hAnsiTheme="minorHAnsi" w:cstheme="minorHAnsi"/>
          <w:color w:val="000000" w:themeColor="text1"/>
        </w:rPr>
        <w:t xml:space="preserve"> (n=8). </w:t>
      </w:r>
      <w:r w:rsidR="00DD2D56" w:rsidRPr="00B40A93">
        <w:rPr>
          <w:rFonts w:asciiTheme="minorHAnsi" w:hAnsiTheme="minorHAnsi" w:cstheme="minorHAnsi"/>
          <w:color w:val="000000" w:themeColor="text1"/>
        </w:rPr>
        <w:t xml:space="preserve">Eight </w:t>
      </w:r>
      <w:r w:rsidRPr="00B40A93">
        <w:rPr>
          <w:rFonts w:asciiTheme="minorHAnsi" w:hAnsiTheme="minorHAnsi" w:cstheme="minorHAnsi"/>
          <w:color w:val="000000" w:themeColor="text1"/>
        </w:rPr>
        <w:t xml:space="preserve">of eleven cats developed hypophosphataemia with a mean delta phosphorous of -47% (± 9). All cats were documented to be hypokalaemic. During hospitalisation, 10/11 cats developed hyperglycaemia and 7/11 cats developed hypoglycaemia. Cardiovascular, gastrointestinal and neurological signs were common. </w:t>
      </w:r>
      <w:r w:rsidR="00F13839" w:rsidRPr="00B40A93">
        <w:rPr>
          <w:rFonts w:asciiTheme="minorHAnsi" w:hAnsiTheme="minorHAnsi" w:cstheme="minorHAnsi"/>
          <w:color w:val="000000" w:themeColor="text1"/>
        </w:rPr>
        <w:t xml:space="preserve">Eight of eleven cats displayed new or progressive neurological deficits after refeeding, including mentation changes and cerebellar dysfunction. </w:t>
      </w:r>
      <w:r w:rsidRPr="00B40A93">
        <w:rPr>
          <w:rFonts w:asciiTheme="minorHAnsi" w:hAnsiTheme="minorHAnsi" w:cstheme="minorHAnsi"/>
          <w:color w:val="000000" w:themeColor="text1"/>
        </w:rPr>
        <w:t>All cats became anaemic and 7 cats required a blood transfusion. Eight cats survived to discharge after a mean of 14 (±4) days of hospitalisation. Six cats developed AKI (IRIS stage 1). The presence of AKI (P=0.024) was associated with non-survival, and maximum bilirubin concentration was significantly higher in non survivors (P=0.018).</w:t>
      </w:r>
    </w:p>
    <w:p w14:paraId="2DA78521"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rPr>
        <w:t>Conclusions and relevance</w:t>
      </w:r>
    </w:p>
    <w:p w14:paraId="0EAB0681"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lastRenderedPageBreak/>
        <w:t>Cats with RS in this cohort had been missing, presumed starved, for more than 3 weeks. In addition to hypophosphataemia and hypokalaemia, altered glucose homeostasis and organ damage involving the liver and kidneys were common. Cats with RS appear to have a good prognosis, but prolonged intensive care is required.</w:t>
      </w:r>
    </w:p>
    <w:p w14:paraId="5225293A" w14:textId="77777777" w:rsidR="001E1CD9" w:rsidRPr="00B40A93" w:rsidRDefault="001E1CD9" w:rsidP="00BE380C">
      <w:pPr>
        <w:spacing w:line="480" w:lineRule="auto"/>
        <w:jc w:val="both"/>
        <w:rPr>
          <w:rFonts w:asciiTheme="minorHAnsi" w:hAnsiTheme="minorHAnsi" w:cstheme="minorHAnsi"/>
          <w:color w:val="000000" w:themeColor="text1"/>
        </w:rPr>
      </w:pPr>
    </w:p>
    <w:p w14:paraId="76AB6FE8" w14:textId="77777777" w:rsidR="001E1CD9" w:rsidRPr="00B40A93" w:rsidRDefault="001E1CD9" w:rsidP="00BE380C">
      <w:pPr>
        <w:spacing w:line="480" w:lineRule="auto"/>
        <w:rPr>
          <w:rFonts w:asciiTheme="minorHAnsi" w:eastAsiaTheme="majorEastAsia" w:hAnsiTheme="minorHAnsi" w:cstheme="minorHAnsi"/>
          <w:b/>
          <w:bCs/>
          <w:color w:val="000000" w:themeColor="text1"/>
        </w:rPr>
      </w:pPr>
      <w:bookmarkStart w:id="1" w:name="_Toc26013851"/>
      <w:bookmarkEnd w:id="0"/>
      <w:r w:rsidRPr="00B40A93">
        <w:rPr>
          <w:rFonts w:asciiTheme="minorHAnsi" w:hAnsiTheme="minorHAnsi" w:cstheme="minorHAnsi"/>
          <w:b/>
          <w:bCs/>
          <w:color w:val="000000" w:themeColor="text1"/>
        </w:rPr>
        <w:br w:type="page"/>
      </w:r>
    </w:p>
    <w:p w14:paraId="29F10F51" w14:textId="77777777" w:rsidR="001E1CD9" w:rsidRPr="00B40A93" w:rsidRDefault="001E1CD9" w:rsidP="00BE380C">
      <w:pPr>
        <w:pStyle w:val="Heading1"/>
        <w:spacing w:line="480" w:lineRule="auto"/>
        <w:jc w:val="both"/>
        <w:rPr>
          <w:rFonts w:asciiTheme="minorHAnsi" w:hAnsiTheme="minorHAnsi" w:cstheme="minorHAnsi"/>
          <w:b/>
          <w:bCs/>
          <w:color w:val="000000" w:themeColor="text1"/>
          <w:sz w:val="24"/>
          <w:szCs w:val="24"/>
        </w:rPr>
      </w:pPr>
      <w:r w:rsidRPr="00B40A93">
        <w:rPr>
          <w:rFonts w:asciiTheme="minorHAnsi" w:hAnsiTheme="minorHAnsi" w:cstheme="minorHAnsi"/>
          <w:b/>
          <w:bCs/>
          <w:color w:val="000000" w:themeColor="text1"/>
          <w:sz w:val="24"/>
          <w:szCs w:val="24"/>
        </w:rPr>
        <w:lastRenderedPageBreak/>
        <w:t>Introduction</w:t>
      </w:r>
      <w:bookmarkEnd w:id="1"/>
    </w:p>
    <w:p w14:paraId="1FE56FF8" w14:textId="36324E35" w:rsidR="001E1CD9" w:rsidRPr="00B40A93" w:rsidRDefault="001E1CD9" w:rsidP="00BE380C">
      <w:pPr>
        <w:pStyle w:val="NormalWeb"/>
        <w:shd w:val="clear" w:color="auto" w:fill="FFFFFF"/>
        <w:spacing w:line="480" w:lineRule="auto"/>
        <w:jc w:val="both"/>
        <w:rPr>
          <w:rFonts w:asciiTheme="minorHAnsi" w:hAnsiTheme="minorHAnsi" w:cstheme="minorHAnsi"/>
        </w:rPr>
      </w:pPr>
      <w:r w:rsidRPr="00B40A93">
        <w:rPr>
          <w:rFonts w:asciiTheme="minorHAnsi" w:hAnsiTheme="minorHAnsi" w:cstheme="minorHAnsi"/>
          <w:color w:val="000000" w:themeColor="text1"/>
        </w:rPr>
        <w:t>Refeeding syndrome (RS) is a complex condition that occurs following the reintroduction of nutrition after prolonged starvation or malnourishment</w:t>
      </w:r>
      <w:r w:rsidR="0066374E"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1</w:t>
      </w:r>
      <w:r w:rsidRPr="00B40A93">
        <w:rPr>
          <w:rFonts w:asciiTheme="minorHAnsi" w:hAnsiTheme="minorHAnsi" w:cstheme="minorHAnsi"/>
          <w:color w:val="000000" w:themeColor="text1"/>
        </w:rPr>
        <w:t xml:space="preserve"> It can occur</w:t>
      </w:r>
      <w:r w:rsidR="00B80EEB" w:rsidRPr="00B40A93">
        <w:rPr>
          <w:rFonts w:asciiTheme="minorHAnsi" w:hAnsiTheme="minorHAnsi" w:cstheme="minorHAnsi"/>
          <w:color w:val="000000" w:themeColor="text1"/>
        </w:rPr>
        <w:t xml:space="preserve"> in people and cats</w:t>
      </w:r>
      <w:r w:rsidRPr="00B40A93">
        <w:rPr>
          <w:rFonts w:asciiTheme="minorHAnsi" w:hAnsiTheme="minorHAnsi" w:cstheme="minorHAnsi"/>
          <w:color w:val="000000" w:themeColor="text1"/>
        </w:rPr>
        <w:t xml:space="preserve"> regardless of whether feeding is enteral or parenteral </w:t>
      </w:r>
      <w:r w:rsidRPr="00B40A93">
        <w:rPr>
          <w:rFonts w:asciiTheme="minorHAnsi" w:hAnsiTheme="minorHAnsi" w:cstheme="minorHAnsi"/>
          <w:noProof/>
          <w:color w:val="000000" w:themeColor="text1"/>
          <w:vertAlign w:val="superscript"/>
        </w:rPr>
        <w:t>2, 3</w:t>
      </w:r>
      <w:r w:rsidRPr="00B40A93">
        <w:rPr>
          <w:rFonts w:asciiTheme="minorHAnsi" w:hAnsiTheme="minorHAnsi" w:cstheme="minorHAnsi"/>
          <w:color w:val="000000" w:themeColor="text1"/>
        </w:rPr>
        <w:t xml:space="preserve"> and appears also to occur in ruminants </w:t>
      </w:r>
      <w:r w:rsidRPr="00B40A93">
        <w:rPr>
          <w:rFonts w:asciiTheme="minorHAnsi" w:hAnsiTheme="minorHAnsi" w:cstheme="minorHAnsi"/>
          <w:noProof/>
          <w:color w:val="000000" w:themeColor="text1"/>
          <w:vertAlign w:val="superscript"/>
        </w:rPr>
        <w:t>4</w:t>
      </w:r>
      <w:r w:rsidRPr="00B40A93">
        <w:rPr>
          <w:rFonts w:asciiTheme="minorHAnsi" w:hAnsiTheme="minorHAnsi" w:cstheme="minorHAnsi"/>
          <w:color w:val="000000" w:themeColor="text1"/>
        </w:rPr>
        <w:t xml:space="preserve"> and horses</w:t>
      </w:r>
      <w:r w:rsidR="0066374E"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5</w:t>
      </w:r>
      <w:r w:rsidRPr="00B40A93">
        <w:rPr>
          <w:rFonts w:asciiTheme="minorHAnsi" w:hAnsiTheme="minorHAnsi" w:cstheme="minorHAnsi"/>
          <w:color w:val="000000" w:themeColor="text1"/>
        </w:rPr>
        <w:t xml:space="preserve"> It is characterised by multiple metabolic derangements, most notably hypophosphataemia, hypokalaemia, and hypomagnesaemia. Thiamine deficiency, altered glucose homeostasis and fluid shifts are also common</w:t>
      </w:r>
      <w:r w:rsidR="00CE6536"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1, 6, 7</w:t>
      </w:r>
    </w:p>
    <w:p w14:paraId="400532E5" w14:textId="77777777" w:rsidR="001E1CD9" w:rsidRPr="00B40A93" w:rsidRDefault="001E1CD9" w:rsidP="00BE380C">
      <w:pPr>
        <w:spacing w:line="480" w:lineRule="auto"/>
        <w:jc w:val="both"/>
        <w:rPr>
          <w:rFonts w:asciiTheme="minorHAnsi" w:hAnsiTheme="minorHAnsi" w:cstheme="minorHAnsi"/>
          <w:color w:val="000000" w:themeColor="text1"/>
        </w:rPr>
      </w:pPr>
    </w:p>
    <w:p w14:paraId="227E3EB4" w14:textId="7420B160"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The dyselectrolytaemias observed in RS are thought to develop as a consequence of the rapid shift between catabolic and anabolic metabolism that occurs in response to insulin release associated with refeeding. This increases intracellular demand for phosphorus, potassium and magnesium, causing a critical decline in their circulating concentrations. Cellular thiamine demand also increases in response to refeeding as it acts as a cofactor for enzymes such as pyruvate dehydrogenase and alpha ketoglutarate dehydrogenase</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8</w:t>
      </w:r>
      <w:r w:rsidRPr="00B40A93">
        <w:rPr>
          <w:rFonts w:asciiTheme="minorHAnsi" w:hAnsiTheme="minorHAnsi" w:cstheme="minorHAnsi"/>
          <w:color w:val="000000" w:themeColor="text1"/>
        </w:rPr>
        <w:t xml:space="preserve"> Total body reserves of potassium, magnesium, phosphorous and thiamine are already depleted in states of chronic starvation so the sudden increase in demand creates a marked imbalance with clinically apparent deficiencies. Both impaired glucose tolerance and hypoglycaemia are described in people and in cats with RS</w:t>
      </w:r>
      <w:r w:rsidR="00CE6536"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3, 6, 9, 10</w:t>
      </w:r>
    </w:p>
    <w:p w14:paraId="60384C1E" w14:textId="77777777" w:rsidR="001E1CD9" w:rsidRPr="00B40A93" w:rsidRDefault="001E1CD9" w:rsidP="00BE380C">
      <w:pPr>
        <w:spacing w:line="480" w:lineRule="auto"/>
        <w:jc w:val="both"/>
        <w:rPr>
          <w:rFonts w:asciiTheme="minorHAnsi" w:hAnsiTheme="minorHAnsi" w:cstheme="minorHAnsi"/>
          <w:color w:val="000000" w:themeColor="text1"/>
        </w:rPr>
      </w:pPr>
    </w:p>
    <w:p w14:paraId="6ACCF4BC" w14:textId="5AC59507" w:rsidR="001E1CD9" w:rsidRPr="00B40A93" w:rsidRDefault="001E1CD9" w:rsidP="00BE380C">
      <w:pPr>
        <w:spacing w:line="480" w:lineRule="auto"/>
        <w:jc w:val="both"/>
        <w:rPr>
          <w:rFonts w:asciiTheme="minorHAnsi" w:hAnsiTheme="minorHAnsi" w:cstheme="minorHAnsi"/>
          <w:strike/>
          <w:color w:val="000000" w:themeColor="text1"/>
        </w:rPr>
      </w:pPr>
      <w:r w:rsidRPr="00B40A93">
        <w:rPr>
          <w:rFonts w:asciiTheme="minorHAnsi" w:hAnsiTheme="minorHAnsi" w:cstheme="minorHAnsi"/>
          <w:color w:val="000000" w:themeColor="text1"/>
        </w:rPr>
        <w:t>In people, this combination of abnormalities is often associated with neurological, cardiovascular, gastrointestinal and haematological abnormalities including tremors, encephalopathy, arrhythmias, heart failure, anorexia, vomiting and haemolysis</w:t>
      </w:r>
      <w:r w:rsidR="00CE6536" w:rsidRPr="00B40A93">
        <w:rPr>
          <w:rFonts w:asciiTheme="minorHAnsi" w:hAnsiTheme="minorHAnsi" w:cstheme="minorHAnsi"/>
          <w:color w:val="000000" w:themeColor="text1"/>
        </w:rPr>
        <w:t>.</w:t>
      </w:r>
      <w:r w:rsidRPr="00B40A93">
        <w:rPr>
          <w:rFonts w:asciiTheme="minorHAnsi" w:hAnsiTheme="minorHAnsi" w:cstheme="minorHAnsi"/>
          <w:noProof/>
          <w:color w:val="000000" w:themeColor="text1"/>
          <w:vertAlign w:val="superscript"/>
        </w:rPr>
        <w:t>1, 10, 11</w:t>
      </w:r>
      <w:r w:rsidRPr="00B40A93">
        <w:rPr>
          <w:rFonts w:asciiTheme="minorHAnsi" w:hAnsiTheme="minorHAnsi" w:cstheme="minorHAnsi"/>
          <w:color w:val="000000" w:themeColor="text1"/>
        </w:rPr>
        <w:t xml:space="preserve"> In the most severe cases, multi organ failure and death can occur. Refeeding syndrome typically </w:t>
      </w:r>
      <w:r w:rsidRPr="00B40A93">
        <w:rPr>
          <w:rFonts w:asciiTheme="minorHAnsi" w:hAnsiTheme="minorHAnsi" w:cstheme="minorHAnsi"/>
          <w:color w:val="000000" w:themeColor="text1"/>
        </w:rPr>
        <w:lastRenderedPageBreak/>
        <w:t>develops two to five days after nutrition has been reinstated</w:t>
      </w:r>
      <w:r w:rsidR="00CE6536" w:rsidRPr="00B40A93">
        <w:rPr>
          <w:rFonts w:asciiTheme="minorHAnsi" w:hAnsiTheme="minorHAnsi" w:cstheme="minorHAnsi"/>
          <w:color w:val="000000" w:themeColor="text1"/>
        </w:rPr>
        <w:t>,</w:t>
      </w:r>
      <w:r w:rsidRPr="00B40A93">
        <w:rPr>
          <w:rFonts w:asciiTheme="minorHAnsi" w:hAnsiTheme="minorHAnsi" w:cstheme="minorHAnsi"/>
          <w:noProof/>
          <w:color w:val="000000" w:themeColor="text1"/>
          <w:vertAlign w:val="superscript"/>
        </w:rPr>
        <w:t>12</w:t>
      </w:r>
      <w:r w:rsidRPr="00B40A93">
        <w:rPr>
          <w:rFonts w:asciiTheme="minorHAnsi" w:hAnsiTheme="minorHAnsi" w:cstheme="minorHAnsi"/>
          <w:color w:val="000000" w:themeColor="text1"/>
        </w:rPr>
        <w:t xml:space="preserve"> although signs can be observed within hours of refeeding or delayed for up to ten days</w:t>
      </w:r>
      <w:r w:rsidR="00CE6536"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3, 10</w:t>
      </w:r>
      <w:r w:rsidRPr="00B40A93">
        <w:rPr>
          <w:rFonts w:asciiTheme="minorHAnsi" w:hAnsiTheme="minorHAnsi" w:cstheme="minorHAnsi"/>
          <w:color w:val="000000" w:themeColor="text1"/>
        </w:rPr>
        <w:t xml:space="preserve"> </w:t>
      </w:r>
    </w:p>
    <w:p w14:paraId="53D5C855" w14:textId="77777777" w:rsidR="001E1CD9" w:rsidRPr="00B40A93" w:rsidRDefault="001E1CD9" w:rsidP="00BE380C">
      <w:pPr>
        <w:spacing w:line="480" w:lineRule="auto"/>
        <w:jc w:val="both"/>
        <w:rPr>
          <w:rFonts w:asciiTheme="minorHAnsi" w:hAnsiTheme="minorHAnsi" w:cstheme="minorHAnsi"/>
          <w:color w:val="000000" w:themeColor="text1"/>
        </w:rPr>
      </w:pPr>
    </w:p>
    <w:p w14:paraId="4B733E6B" w14:textId="401D6DD8"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Refeeding syndrome has been infrequently reported in veterinary literature</w:t>
      </w:r>
      <w:r w:rsidR="00CE6536"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3, 6</w:t>
      </w:r>
      <w:r w:rsidRPr="00B40A93">
        <w:rPr>
          <w:rFonts w:asciiTheme="minorHAnsi" w:hAnsiTheme="minorHAnsi" w:cstheme="minorHAnsi"/>
          <w:color w:val="000000" w:themeColor="text1"/>
        </w:rPr>
        <w:t xml:space="preserve"> This study aimed to describe the characteristic clinicopathological findings associated with starvation associated RS in 11 cats, to better characterise disease presentation and outcome.</w:t>
      </w:r>
      <w:bookmarkStart w:id="2" w:name="_Toc26013852"/>
    </w:p>
    <w:p w14:paraId="1F2E6B09" w14:textId="77777777" w:rsidR="001E1CD9" w:rsidRPr="00B40A93" w:rsidRDefault="001E1CD9" w:rsidP="00BE380C">
      <w:pPr>
        <w:spacing w:line="480" w:lineRule="auto"/>
        <w:jc w:val="both"/>
        <w:rPr>
          <w:rFonts w:asciiTheme="minorHAnsi" w:eastAsiaTheme="majorEastAsia" w:hAnsiTheme="minorHAnsi" w:cstheme="minorHAnsi"/>
          <w:color w:val="000000" w:themeColor="text1"/>
        </w:rPr>
      </w:pPr>
      <w:r w:rsidRPr="00B40A93">
        <w:rPr>
          <w:rFonts w:asciiTheme="minorHAnsi" w:hAnsiTheme="minorHAnsi" w:cstheme="minorHAnsi"/>
          <w:color w:val="000000" w:themeColor="text1"/>
        </w:rPr>
        <w:br w:type="page"/>
      </w:r>
    </w:p>
    <w:p w14:paraId="52CCFBC7" w14:textId="77777777" w:rsidR="001E1CD9" w:rsidRPr="00B40A93" w:rsidRDefault="001E1CD9" w:rsidP="00BE380C">
      <w:pPr>
        <w:pStyle w:val="Heading1"/>
        <w:spacing w:line="480" w:lineRule="auto"/>
        <w:jc w:val="both"/>
        <w:rPr>
          <w:rFonts w:asciiTheme="minorHAnsi" w:hAnsiTheme="minorHAnsi" w:cstheme="minorHAnsi"/>
          <w:b/>
          <w:bCs/>
          <w:color w:val="000000" w:themeColor="text1"/>
          <w:sz w:val="24"/>
          <w:szCs w:val="24"/>
        </w:rPr>
      </w:pPr>
      <w:r w:rsidRPr="00B40A93">
        <w:rPr>
          <w:rFonts w:asciiTheme="minorHAnsi" w:hAnsiTheme="minorHAnsi" w:cstheme="minorHAnsi"/>
          <w:b/>
          <w:bCs/>
          <w:color w:val="000000" w:themeColor="text1"/>
          <w:sz w:val="24"/>
          <w:szCs w:val="24"/>
        </w:rPr>
        <w:lastRenderedPageBreak/>
        <w:t>Materials &amp; Methods</w:t>
      </w:r>
      <w:bookmarkEnd w:id="2"/>
    </w:p>
    <w:p w14:paraId="1CE3F463" w14:textId="77777777" w:rsidR="001E1CD9" w:rsidRPr="00B40A93" w:rsidRDefault="001E1CD9" w:rsidP="00BE380C">
      <w:pPr>
        <w:spacing w:line="480" w:lineRule="auto"/>
        <w:jc w:val="both"/>
        <w:rPr>
          <w:rFonts w:asciiTheme="minorHAnsi" w:hAnsiTheme="minorHAnsi" w:cstheme="minorHAnsi"/>
          <w:strike/>
          <w:color w:val="000000" w:themeColor="text1"/>
        </w:rPr>
      </w:pPr>
      <w:r w:rsidRPr="00B40A93">
        <w:rPr>
          <w:rFonts w:asciiTheme="minorHAnsi" w:hAnsiTheme="minorHAnsi" w:cstheme="minorHAnsi"/>
          <w:color w:val="000000" w:themeColor="text1"/>
        </w:rPr>
        <w:t>Computerised records from four referral populations (masked for review</w:t>
      </w:r>
      <w:r w:rsidRPr="00B40A93">
        <w:rPr>
          <w:rFonts w:asciiTheme="minorHAnsi" w:hAnsiTheme="minorHAnsi" w:cstheme="minorHAnsi"/>
          <w:color w:val="000000" w:themeColor="text1"/>
          <w:vertAlign w:val="superscript"/>
        </w:rPr>
        <w:t>1</w:t>
      </w:r>
      <w:r w:rsidRPr="00B40A93">
        <w:rPr>
          <w:rFonts w:asciiTheme="minorHAnsi" w:hAnsiTheme="minorHAnsi" w:cstheme="minorHAnsi"/>
          <w:color w:val="000000" w:themeColor="text1"/>
        </w:rPr>
        <w:t>) of client-owned cats were searched between May 2013 and November 2019 inclusive for the term “refeeding” or stems “malnourish-”, or “starv-” to retrospectively identify cats that were treated for RS.</w:t>
      </w:r>
    </w:p>
    <w:p w14:paraId="70232D70" w14:textId="1AF931C0"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Cases were included if they satisfied </w:t>
      </w:r>
      <w:r w:rsidR="00E7189A" w:rsidRPr="00B40A93">
        <w:rPr>
          <w:rFonts w:asciiTheme="minorHAnsi" w:hAnsiTheme="minorHAnsi" w:cstheme="minorHAnsi"/>
          <w:color w:val="000000" w:themeColor="text1"/>
        </w:rPr>
        <w:t xml:space="preserve">all of </w:t>
      </w:r>
      <w:r w:rsidRPr="00B40A93">
        <w:rPr>
          <w:rFonts w:asciiTheme="minorHAnsi" w:hAnsiTheme="minorHAnsi" w:cstheme="minorHAnsi"/>
          <w:color w:val="000000" w:themeColor="text1"/>
        </w:rPr>
        <w:t>the following criteria:</w:t>
      </w:r>
    </w:p>
    <w:p w14:paraId="109319BA" w14:textId="77777777" w:rsidR="001E1CD9" w:rsidRPr="00B40A93" w:rsidRDefault="001E1CD9" w:rsidP="00BE380C">
      <w:pPr>
        <w:pStyle w:val="ListParagraph"/>
        <w:numPr>
          <w:ilvl w:val="0"/>
          <w:numId w:val="31"/>
        </w:numPr>
        <w:spacing w:line="480" w:lineRule="auto"/>
        <w:jc w:val="both"/>
        <w:rPr>
          <w:rFonts w:cstheme="minorHAnsi"/>
          <w:color w:val="000000" w:themeColor="text1"/>
          <w:sz w:val="24"/>
          <w:szCs w:val="24"/>
        </w:rPr>
      </w:pPr>
      <w:r w:rsidRPr="00B40A93">
        <w:rPr>
          <w:rFonts w:cstheme="minorHAnsi"/>
          <w:color w:val="000000" w:themeColor="text1"/>
          <w:sz w:val="24"/>
          <w:szCs w:val="24"/>
        </w:rPr>
        <w:t>There was a risk factor for development of refeeding such as severe weight loss or emaciation following a period of presumed starvation</w:t>
      </w:r>
    </w:p>
    <w:p w14:paraId="764EA7BE" w14:textId="7DEC3AE5" w:rsidR="001E1CD9" w:rsidRPr="00B40A93" w:rsidRDefault="001E1CD9" w:rsidP="00BE380C">
      <w:pPr>
        <w:pStyle w:val="ListParagraph"/>
        <w:numPr>
          <w:ilvl w:val="0"/>
          <w:numId w:val="31"/>
        </w:numPr>
        <w:spacing w:line="480" w:lineRule="auto"/>
        <w:jc w:val="both"/>
        <w:rPr>
          <w:rFonts w:cstheme="minorHAnsi"/>
          <w:color w:val="000000" w:themeColor="text1"/>
          <w:sz w:val="24"/>
          <w:szCs w:val="24"/>
        </w:rPr>
      </w:pPr>
      <w:r w:rsidRPr="00B40A93">
        <w:rPr>
          <w:rFonts w:cstheme="minorHAnsi"/>
          <w:color w:val="000000" w:themeColor="text1"/>
          <w:sz w:val="24"/>
          <w:szCs w:val="24"/>
        </w:rPr>
        <w:t xml:space="preserve">They were documented hypophosphataemic or had a delta phosphorous </w:t>
      </w:r>
      <w:r w:rsidR="008B0B8D" w:rsidRPr="00B40A93">
        <w:rPr>
          <w:rFonts w:cstheme="minorHAnsi"/>
          <w:color w:val="000000" w:themeColor="text1"/>
          <w:sz w:val="24"/>
          <w:szCs w:val="24"/>
        </w:rPr>
        <w:t>exceeding a</w:t>
      </w:r>
      <w:r w:rsidRPr="00B40A93">
        <w:rPr>
          <w:rFonts w:cstheme="minorHAnsi"/>
          <w:color w:val="000000" w:themeColor="text1"/>
          <w:sz w:val="24"/>
          <w:szCs w:val="24"/>
        </w:rPr>
        <w:t xml:space="preserve"> 30% </w:t>
      </w:r>
      <w:r w:rsidR="008B0B8D" w:rsidRPr="00B40A93">
        <w:rPr>
          <w:rFonts w:cstheme="minorHAnsi"/>
          <w:color w:val="000000" w:themeColor="text1"/>
          <w:sz w:val="24"/>
          <w:szCs w:val="24"/>
        </w:rPr>
        <w:t xml:space="preserve">reduction </w:t>
      </w:r>
      <w:r w:rsidRPr="00B40A93">
        <w:rPr>
          <w:rFonts w:cstheme="minorHAnsi"/>
          <w:color w:val="000000" w:themeColor="text1"/>
          <w:sz w:val="24"/>
          <w:szCs w:val="24"/>
        </w:rPr>
        <w:t>during hospitalisation following refeeding</w:t>
      </w:r>
    </w:p>
    <w:p w14:paraId="4286268C" w14:textId="77777777" w:rsidR="001E1CD9" w:rsidRPr="00B40A93" w:rsidRDefault="001E1CD9" w:rsidP="00BE380C">
      <w:pPr>
        <w:pStyle w:val="ListParagraph"/>
        <w:numPr>
          <w:ilvl w:val="0"/>
          <w:numId w:val="31"/>
        </w:numPr>
        <w:spacing w:line="480" w:lineRule="auto"/>
        <w:jc w:val="both"/>
        <w:rPr>
          <w:rFonts w:cstheme="minorHAnsi"/>
          <w:color w:val="000000" w:themeColor="text1"/>
          <w:sz w:val="24"/>
          <w:szCs w:val="24"/>
        </w:rPr>
      </w:pPr>
      <w:r w:rsidRPr="00B40A93">
        <w:rPr>
          <w:rFonts w:cstheme="minorHAnsi"/>
          <w:color w:val="000000" w:themeColor="text1"/>
          <w:sz w:val="24"/>
          <w:szCs w:val="24"/>
        </w:rPr>
        <w:t>They had one or more of the following abnormalities documented: hypokalaemia, hypoglycaemia or hyperglycaemia</w:t>
      </w:r>
    </w:p>
    <w:p w14:paraId="2F81B2E2" w14:textId="77777777" w:rsidR="001E1CD9" w:rsidRPr="00B40A93" w:rsidRDefault="001E1CD9" w:rsidP="00BE380C">
      <w:pPr>
        <w:pStyle w:val="ListParagraph"/>
        <w:numPr>
          <w:ilvl w:val="0"/>
          <w:numId w:val="31"/>
        </w:numPr>
        <w:spacing w:line="480" w:lineRule="auto"/>
        <w:jc w:val="both"/>
        <w:rPr>
          <w:rFonts w:cstheme="minorHAnsi"/>
          <w:color w:val="000000" w:themeColor="text1"/>
          <w:sz w:val="24"/>
          <w:szCs w:val="24"/>
        </w:rPr>
      </w:pPr>
      <w:r w:rsidRPr="00B40A93">
        <w:rPr>
          <w:rFonts w:cstheme="minorHAnsi"/>
          <w:color w:val="000000" w:themeColor="text1"/>
          <w:sz w:val="24"/>
          <w:szCs w:val="24"/>
        </w:rPr>
        <w:t>They were treated on the basis of a clinical diagnosis of RS.</w:t>
      </w:r>
    </w:p>
    <w:p w14:paraId="1DB862C4"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Cases were excluded if medical records were incomplete.</w:t>
      </w:r>
    </w:p>
    <w:p w14:paraId="45B1CACD"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Data collected included signalment, body condition score (BCS), length of presumed starvation and percentage body weight loss (calculated using the last recorded weight in each cat’s clinical history prior to starvation and their weight on admission). Date of refeeding was taken as the day of the first documented alimentation after starvation. Clinicopathological data not limited to phosphorus, potassium, sodium and glucose concentrations were collected, in addition to blood gases, packed cell volume (PCV) changes over time and blood component therapy administration. Delta phosphorous (</w:t>
      </w:r>
      <m:oMath>
        <m:r>
          <m:rPr>
            <m:sty m:val="p"/>
          </m:rPr>
          <w:rPr>
            <w:rFonts w:ascii="Cambria Math" w:hAnsi="Cambria Math" w:cstheme="minorHAnsi"/>
            <w:color w:val="000000" w:themeColor="text1"/>
          </w:rPr>
          <m:t>ΔPhos)</m:t>
        </m:r>
      </m:oMath>
      <w:r w:rsidRPr="00B40A93">
        <w:rPr>
          <w:rFonts w:asciiTheme="minorHAnsi" w:hAnsiTheme="minorHAnsi" w:cstheme="minorHAnsi"/>
          <w:color w:val="000000" w:themeColor="text1"/>
        </w:rPr>
        <w:t xml:space="preserve"> was defined as the maximum drop in phosphorus documented after refeeding. Delta sodium (</w:t>
      </w:r>
      <m:oMath>
        <m:r>
          <m:rPr>
            <m:sty m:val="p"/>
          </m:rPr>
          <w:rPr>
            <w:rFonts w:ascii="Cambria Math" w:hAnsi="Cambria Math" w:cstheme="minorHAnsi"/>
            <w:color w:val="000000" w:themeColor="text1"/>
          </w:rPr>
          <m:t>ΔNa)</m:t>
        </m:r>
      </m:oMath>
      <w:r w:rsidRPr="00B40A93">
        <w:rPr>
          <w:rFonts w:asciiTheme="minorHAnsi" w:hAnsiTheme="minorHAnsi" w:cstheme="minorHAnsi"/>
          <w:color w:val="000000" w:themeColor="text1"/>
        </w:rPr>
        <w:t xml:space="preserve"> was defined as the highest sodium minus the lowest sodium recorded. Where available, rates of nutrient supplementation and percentage of resting energy requirement (RER [defined as RER = </w:t>
      </w:r>
      <w:r w:rsidRPr="00B40A93">
        <w:rPr>
          <w:rFonts w:asciiTheme="minorHAnsi" w:hAnsiTheme="minorHAnsi" w:cstheme="minorHAnsi"/>
        </w:rPr>
        <w:t xml:space="preserve">70 x </w:t>
      </w:r>
      <w:r w:rsidRPr="00B40A93">
        <w:rPr>
          <w:rFonts w:asciiTheme="minorHAnsi" w:hAnsiTheme="minorHAnsi" w:cstheme="minorHAnsi"/>
        </w:rPr>
        <w:lastRenderedPageBreak/>
        <w:t>(current body weight in kg)</w:t>
      </w:r>
      <w:r w:rsidRPr="00B40A93">
        <w:rPr>
          <w:rFonts w:asciiTheme="minorHAnsi" w:hAnsiTheme="minorHAnsi" w:cstheme="minorHAnsi"/>
          <w:vertAlign w:val="superscript"/>
        </w:rPr>
        <w:t>0.75</w:t>
      </w:r>
      <w:r w:rsidRPr="00B40A93">
        <w:rPr>
          <w:rFonts w:asciiTheme="minorHAnsi" w:hAnsiTheme="minorHAnsi" w:cstheme="minorHAnsi"/>
        </w:rPr>
        <w:t xml:space="preserve"> kcal])</w:t>
      </w:r>
      <w:r w:rsidRPr="00B40A93">
        <w:rPr>
          <w:rFonts w:asciiTheme="minorHAnsi" w:hAnsiTheme="minorHAnsi" w:cstheme="minorHAnsi"/>
          <w:color w:val="000000" w:themeColor="text1"/>
        </w:rPr>
        <w:t xml:space="preserve"> provided were recorded. The initial caloric target was defined as the first documented, intentional, proportion of RER delivered during hospitalisation. Case notes were explored for clinical evidence of cardiovascular, gastrointestinal and neurological dysfunction following refeeding, as well as haematological </w:t>
      </w:r>
      <w:r w:rsidRPr="00B40A93">
        <w:rPr>
          <w:rStyle w:val="CommentReference"/>
          <w:rFonts w:asciiTheme="minorHAnsi" w:hAnsiTheme="minorHAnsi" w:cstheme="minorHAnsi"/>
          <w:sz w:val="24"/>
          <w:szCs w:val="24"/>
        </w:rPr>
        <w:t>abnormalities</w:t>
      </w:r>
      <w:r w:rsidRPr="00B40A93">
        <w:rPr>
          <w:rFonts w:asciiTheme="minorHAnsi" w:hAnsiTheme="minorHAnsi" w:cstheme="minorHAnsi"/>
          <w:color w:val="000000" w:themeColor="text1"/>
        </w:rPr>
        <w:t xml:space="preserve">, and comorbidities. If neurological abnormalities were observed prior to refeeding these were also recorded. Tachycardia was defined as heart rate </w:t>
      </w:r>
      <m:oMath>
        <m:r>
          <w:rPr>
            <w:rFonts w:ascii="Cambria Math" w:hAnsi="Cambria Math" w:cstheme="minorHAnsi"/>
            <w:color w:val="000000" w:themeColor="text1"/>
          </w:rPr>
          <m:t>≥</m:t>
        </m:r>
      </m:oMath>
      <w:r w:rsidRPr="00B40A93">
        <w:rPr>
          <w:rFonts w:asciiTheme="minorHAnsi" w:hAnsiTheme="minorHAnsi" w:cstheme="minorHAnsi"/>
          <w:color w:val="000000" w:themeColor="text1"/>
        </w:rPr>
        <w:t xml:space="preserve">240 beats per minute, bradycardia was defined as &lt;140 beats per minute, hypertension was defined as systolic blood pressure of </w:t>
      </w:r>
      <m:oMath>
        <m:r>
          <w:rPr>
            <w:rFonts w:ascii="Cambria Math" w:hAnsi="Cambria Math" w:cstheme="minorHAnsi"/>
            <w:color w:val="000000" w:themeColor="text1"/>
          </w:rPr>
          <m:t>≥</m:t>
        </m:r>
      </m:oMath>
      <w:r w:rsidRPr="00B40A93">
        <w:rPr>
          <w:rFonts w:asciiTheme="minorHAnsi" w:hAnsiTheme="minorHAnsi" w:cstheme="minorHAnsi"/>
          <w:color w:val="000000" w:themeColor="text1"/>
        </w:rPr>
        <w:t>180mmHg, hypotension was defined as a systolic blood pressure of &lt;90mmHg, hypovolaemia was documented when clinical examination and response to fluid resuscitation were consistent with this. Haematological analyses were assessed to identify the aetiology of any anaemia. Length of hospitalisation and outcomes were recorded. All data related to the entire treatment period after initial presentation, including prior to referral.</w:t>
      </w:r>
    </w:p>
    <w:p w14:paraId="50BDECE5" w14:textId="77777777" w:rsidR="001E1CD9" w:rsidRPr="00B40A93" w:rsidRDefault="001E1CD9" w:rsidP="00BE380C">
      <w:pPr>
        <w:spacing w:line="480" w:lineRule="auto"/>
        <w:jc w:val="both"/>
        <w:rPr>
          <w:rFonts w:asciiTheme="minorHAnsi" w:eastAsiaTheme="majorEastAsia" w:hAnsiTheme="minorHAnsi" w:cstheme="minorHAnsi"/>
          <w:b/>
          <w:bCs/>
          <w:color w:val="000000" w:themeColor="text1"/>
        </w:rPr>
      </w:pPr>
      <w:bookmarkStart w:id="3" w:name="_Toc26013858"/>
      <w:r w:rsidRPr="00B40A93">
        <w:rPr>
          <w:rFonts w:asciiTheme="minorHAnsi" w:hAnsiTheme="minorHAnsi" w:cstheme="minorHAnsi"/>
          <w:b/>
          <w:bCs/>
          <w:color w:val="000000" w:themeColor="text1"/>
        </w:rPr>
        <w:br w:type="page"/>
      </w:r>
    </w:p>
    <w:p w14:paraId="2135DF8A" w14:textId="77777777" w:rsidR="001E1CD9" w:rsidRPr="00B40A93" w:rsidRDefault="001E1CD9" w:rsidP="00BE380C">
      <w:pPr>
        <w:pStyle w:val="Heading2"/>
        <w:spacing w:line="480" w:lineRule="auto"/>
        <w:jc w:val="both"/>
        <w:rPr>
          <w:rFonts w:asciiTheme="minorHAnsi" w:hAnsiTheme="minorHAnsi" w:cstheme="minorHAnsi"/>
          <w:b/>
          <w:bCs/>
          <w:color w:val="000000" w:themeColor="text1"/>
          <w:sz w:val="24"/>
          <w:szCs w:val="24"/>
        </w:rPr>
      </w:pPr>
      <w:r w:rsidRPr="00B40A93">
        <w:rPr>
          <w:rFonts w:asciiTheme="minorHAnsi" w:hAnsiTheme="minorHAnsi" w:cstheme="minorHAnsi"/>
          <w:b/>
          <w:bCs/>
          <w:color w:val="000000" w:themeColor="text1"/>
          <w:sz w:val="24"/>
          <w:szCs w:val="24"/>
        </w:rPr>
        <w:lastRenderedPageBreak/>
        <w:t>Statistical Analysis</w:t>
      </w:r>
      <w:bookmarkEnd w:id="3"/>
    </w:p>
    <w:p w14:paraId="2ACD7C83" w14:textId="6A9C4EC9"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All continuous data was assessed for normality using a </w:t>
      </w:r>
      <w:r w:rsidRPr="00B40A93">
        <w:rPr>
          <w:rFonts w:asciiTheme="minorHAnsi" w:eastAsia="Arial Unicode MS" w:hAnsiTheme="minorHAnsi" w:cstheme="minorHAnsi"/>
          <w:color w:val="000000" w:themeColor="text1"/>
        </w:rPr>
        <w:t>Shapiro</w:t>
      </w:r>
      <w:r w:rsidR="008B0B8D" w:rsidRPr="00B40A93">
        <w:rPr>
          <w:rFonts w:asciiTheme="minorHAnsi" w:eastAsia="Arial Unicode MS" w:hAnsiTheme="minorHAnsi" w:cstheme="minorHAnsi"/>
          <w:color w:val="000000" w:themeColor="text1"/>
        </w:rPr>
        <w:t>–</w:t>
      </w:r>
      <w:r w:rsidRPr="00B40A93">
        <w:rPr>
          <w:rFonts w:asciiTheme="minorHAnsi" w:eastAsia="Arial Unicode MS" w:hAnsiTheme="minorHAnsi" w:cstheme="minorHAnsi"/>
          <w:color w:val="000000" w:themeColor="text1"/>
        </w:rPr>
        <w:t>Wilk test and histogram inspection</w:t>
      </w:r>
      <w:r w:rsidRPr="00B40A93">
        <w:rPr>
          <w:rFonts w:asciiTheme="minorHAnsi" w:hAnsiTheme="minorHAnsi" w:cstheme="minorHAnsi"/>
          <w:color w:val="000000" w:themeColor="text1"/>
        </w:rPr>
        <w:t>; descriptive data was calculated as appropriate using commercially available software (Prism, Version 8 (GraphPad Software, Inc)). Where a value was not available, the case was excluded from analysis for that particular variable. Continuous variables were compared using a student’s t-test for parametric data, and a Mann-Whitney U test for non-parametric. A Fisher’s exact test was used to compare categorical data.</w:t>
      </w:r>
    </w:p>
    <w:p w14:paraId="282E7D17" w14:textId="77777777" w:rsidR="001E1CD9" w:rsidRPr="00B40A93" w:rsidRDefault="001E1CD9" w:rsidP="00BE380C">
      <w:pPr>
        <w:spacing w:line="480" w:lineRule="auto"/>
        <w:jc w:val="both"/>
        <w:rPr>
          <w:rFonts w:asciiTheme="minorHAnsi" w:hAnsiTheme="minorHAnsi" w:cstheme="minorHAnsi"/>
          <w:color w:val="000000" w:themeColor="text1"/>
        </w:rPr>
      </w:pPr>
      <w:bookmarkStart w:id="4" w:name="_Toc26013859"/>
      <w:r w:rsidRPr="00B40A93">
        <w:rPr>
          <w:rFonts w:asciiTheme="minorHAnsi" w:hAnsiTheme="minorHAnsi" w:cstheme="minorHAnsi"/>
          <w:color w:val="000000" w:themeColor="text1"/>
        </w:rPr>
        <w:br w:type="page"/>
      </w:r>
    </w:p>
    <w:p w14:paraId="1A81AA7B"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lastRenderedPageBreak/>
        <w:t>Results</w:t>
      </w:r>
      <w:bookmarkEnd w:id="4"/>
    </w:p>
    <w:p w14:paraId="7B760354" w14:textId="406A46F2" w:rsidR="001E1CD9" w:rsidRPr="00B40A93" w:rsidRDefault="001E1CD9" w:rsidP="00BE380C">
      <w:pPr>
        <w:spacing w:line="480" w:lineRule="auto"/>
        <w:jc w:val="both"/>
        <w:rPr>
          <w:rFonts w:asciiTheme="minorHAnsi" w:hAnsiTheme="minorHAnsi" w:cstheme="minorHAnsi"/>
          <w:color w:val="000000" w:themeColor="text1"/>
        </w:rPr>
        <w:sectPr w:rsidR="001E1CD9" w:rsidRPr="00B40A93" w:rsidSect="000B13D0">
          <w:headerReference w:type="default" r:id="rId7"/>
          <w:footerReference w:type="default" r:id="rId8"/>
          <w:pgSz w:w="11900" w:h="16840"/>
          <w:pgMar w:top="1440" w:right="1440" w:bottom="1440" w:left="1440" w:header="708" w:footer="708" w:gutter="0"/>
          <w:lnNumType w:countBy="1" w:restart="continuous"/>
          <w:cols w:space="708"/>
          <w:docGrid w:linePitch="360"/>
        </w:sectPr>
      </w:pPr>
      <w:r w:rsidRPr="00B40A93">
        <w:rPr>
          <w:rFonts w:asciiTheme="minorHAnsi" w:hAnsiTheme="minorHAnsi" w:cstheme="minorHAnsi"/>
          <w:color w:val="000000" w:themeColor="text1"/>
        </w:rPr>
        <w:t xml:space="preserve">Eleven cases were identified, with a mean age of 83 (±40) months. Table </w:t>
      </w:r>
      <w:r w:rsidR="008B0B8D" w:rsidRPr="00B40A93">
        <w:rPr>
          <w:rFonts w:asciiTheme="minorHAnsi" w:hAnsiTheme="minorHAnsi" w:cstheme="minorHAnsi"/>
          <w:color w:val="000000" w:themeColor="text1"/>
        </w:rPr>
        <w:t xml:space="preserve">1 </w:t>
      </w:r>
      <w:r w:rsidRPr="00B40A93">
        <w:rPr>
          <w:rFonts w:asciiTheme="minorHAnsi" w:hAnsiTheme="minorHAnsi" w:cstheme="minorHAnsi"/>
          <w:color w:val="000000" w:themeColor="text1"/>
        </w:rPr>
        <w:t xml:space="preserve">details individual case signalment and BCS on presentation. All cats were reported to be </w:t>
      </w:r>
      <w:r w:rsidR="0016105C" w:rsidRPr="00B40A93">
        <w:rPr>
          <w:rFonts w:asciiTheme="minorHAnsi" w:hAnsiTheme="minorHAnsi" w:cstheme="minorHAnsi"/>
          <w:color w:val="000000" w:themeColor="text1"/>
        </w:rPr>
        <w:t>in good health</w:t>
      </w:r>
      <w:r w:rsidR="00B80EEB" w:rsidRPr="00B40A93">
        <w:rPr>
          <w:rFonts w:asciiTheme="minorHAnsi" w:hAnsiTheme="minorHAnsi" w:cstheme="minorHAnsi"/>
          <w:color w:val="000000" w:themeColor="text1"/>
        </w:rPr>
        <w:t xml:space="preserve"> </w:t>
      </w:r>
      <w:r w:rsidRPr="00B40A93">
        <w:rPr>
          <w:rFonts w:asciiTheme="minorHAnsi" w:hAnsiTheme="minorHAnsi" w:cstheme="minorHAnsi"/>
          <w:color w:val="000000" w:themeColor="text1"/>
        </w:rPr>
        <w:t>prior to going missing, with no clinically relevant underlying disease. Cats had been missing for a median of 6 (3-104) weeks (n=11) prior to presentation, with a mean percentage weight loss of 46 (±7)</w:t>
      </w:r>
      <w:r w:rsidR="00E85CFF">
        <w:rPr>
          <w:rFonts w:asciiTheme="minorHAnsi" w:hAnsiTheme="minorHAnsi" w:cstheme="minorHAnsi"/>
          <w:color w:val="000000" w:themeColor="text1"/>
        </w:rPr>
        <w:t xml:space="preserve"> </w:t>
      </w:r>
      <w:r w:rsidRPr="00B40A93">
        <w:rPr>
          <w:rFonts w:asciiTheme="minorHAnsi" w:hAnsiTheme="minorHAnsi" w:cstheme="minorHAnsi"/>
          <w:color w:val="000000" w:themeColor="text1"/>
        </w:rPr>
        <w:t>% (n=8). All cats ate voluntarily within 2 days of being found.</w:t>
      </w:r>
    </w:p>
    <w:p w14:paraId="796A94C3" w14:textId="77777777" w:rsidR="001E1CD9" w:rsidRPr="00B40A93" w:rsidRDefault="001E1CD9">
      <w:pPr>
        <w:rPr>
          <w:rFonts w:asciiTheme="minorHAnsi" w:hAnsiTheme="minorHAnsi" w:cstheme="minorHAnsi"/>
          <w:b/>
          <w:bCs/>
          <w:color w:val="000000" w:themeColor="text1"/>
        </w:rPr>
      </w:pPr>
    </w:p>
    <w:tbl>
      <w:tblPr>
        <w:tblStyle w:val="TableGrid1"/>
        <w:tblW w:w="14885" w:type="dxa"/>
        <w:tblInd w:w="-289" w:type="dxa"/>
        <w:tblLayout w:type="fixed"/>
        <w:tblLook w:val="04A0" w:firstRow="1" w:lastRow="0" w:firstColumn="1" w:lastColumn="0" w:noHBand="0" w:noVBand="1"/>
      </w:tblPr>
      <w:tblGrid>
        <w:gridCol w:w="568"/>
        <w:gridCol w:w="992"/>
        <w:gridCol w:w="709"/>
        <w:gridCol w:w="850"/>
        <w:gridCol w:w="851"/>
        <w:gridCol w:w="567"/>
        <w:gridCol w:w="850"/>
        <w:gridCol w:w="1134"/>
        <w:gridCol w:w="993"/>
        <w:gridCol w:w="992"/>
        <w:gridCol w:w="992"/>
        <w:gridCol w:w="709"/>
        <w:gridCol w:w="1134"/>
        <w:gridCol w:w="992"/>
        <w:gridCol w:w="1418"/>
        <w:gridCol w:w="1134"/>
      </w:tblGrid>
      <w:tr w:rsidR="001E1CD9" w:rsidRPr="00B40A93" w14:paraId="65B60F4B" w14:textId="77777777" w:rsidTr="00BE380C">
        <w:trPr>
          <w:trHeight w:val="1000"/>
        </w:trPr>
        <w:tc>
          <w:tcPr>
            <w:tcW w:w="568" w:type="dxa"/>
            <w:hideMark/>
          </w:tcPr>
          <w:p w14:paraId="08DA08BC" w14:textId="77777777" w:rsidR="001E1CD9" w:rsidRPr="00B40A93" w:rsidRDefault="001E1CD9" w:rsidP="00BE380C">
            <w:pPr>
              <w:jc w:val="center"/>
              <w:rPr>
                <w:rFonts w:ascii="Calibri" w:hAnsi="Calibri" w:cs="Calibri"/>
                <w:b/>
                <w:bCs/>
                <w:color w:val="000000"/>
                <w:sz w:val="18"/>
                <w:szCs w:val="18"/>
              </w:rPr>
            </w:pPr>
            <w:bookmarkStart w:id="5" w:name="RANGE!A1:Q12"/>
            <w:r w:rsidRPr="00B40A93">
              <w:rPr>
                <w:rFonts w:ascii="Calibri" w:hAnsi="Calibri" w:cs="Calibri"/>
                <w:b/>
                <w:bCs/>
                <w:color w:val="000000"/>
                <w:sz w:val="18"/>
                <w:szCs w:val="18"/>
              </w:rPr>
              <w:t>Cat</w:t>
            </w:r>
            <w:bookmarkEnd w:id="5"/>
          </w:p>
        </w:tc>
        <w:tc>
          <w:tcPr>
            <w:tcW w:w="992" w:type="dxa"/>
            <w:hideMark/>
          </w:tcPr>
          <w:p w14:paraId="2F8DCC92"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Age (months)</w:t>
            </w:r>
          </w:p>
        </w:tc>
        <w:tc>
          <w:tcPr>
            <w:tcW w:w="709" w:type="dxa"/>
            <w:hideMark/>
          </w:tcPr>
          <w:p w14:paraId="6DEDC052"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Sex (M/F)</w:t>
            </w:r>
          </w:p>
        </w:tc>
        <w:tc>
          <w:tcPr>
            <w:tcW w:w="850" w:type="dxa"/>
            <w:hideMark/>
          </w:tcPr>
          <w:p w14:paraId="54F80E56"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Breed</w:t>
            </w:r>
          </w:p>
        </w:tc>
        <w:tc>
          <w:tcPr>
            <w:tcW w:w="851" w:type="dxa"/>
            <w:hideMark/>
          </w:tcPr>
          <w:p w14:paraId="4B4ADF85"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Missing (weeks)</w:t>
            </w:r>
          </w:p>
        </w:tc>
        <w:tc>
          <w:tcPr>
            <w:tcW w:w="567" w:type="dxa"/>
            <w:hideMark/>
          </w:tcPr>
          <w:p w14:paraId="126DC8D6"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BCS</w:t>
            </w:r>
          </w:p>
        </w:tc>
        <w:tc>
          <w:tcPr>
            <w:tcW w:w="850" w:type="dxa"/>
            <w:hideMark/>
          </w:tcPr>
          <w:p w14:paraId="18BE7337"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Weight loss (%)</w:t>
            </w:r>
          </w:p>
        </w:tc>
        <w:tc>
          <w:tcPr>
            <w:tcW w:w="1134" w:type="dxa"/>
            <w:hideMark/>
          </w:tcPr>
          <w:p w14:paraId="5D56C4AB" w14:textId="180803A3" w:rsidR="0019732F" w:rsidRPr="00B40A93" w:rsidRDefault="001E1CD9" w:rsidP="000078CC">
            <w:pPr>
              <w:jc w:val="center"/>
              <w:rPr>
                <w:rFonts w:ascii="Calibri" w:hAnsi="Calibri" w:cs="Calibri"/>
                <w:b/>
                <w:bCs/>
                <w:color w:val="000000"/>
                <w:sz w:val="18"/>
                <w:szCs w:val="18"/>
              </w:rPr>
            </w:pPr>
            <w:r w:rsidRPr="00B40A93">
              <w:rPr>
                <w:rFonts w:ascii="Calibri" w:hAnsi="Calibri" w:cs="Calibri"/>
                <w:b/>
                <w:bCs/>
                <w:color w:val="000000"/>
                <w:sz w:val="18"/>
                <w:szCs w:val="18"/>
              </w:rPr>
              <w:t>Lowest phosphate (mmol/L)</w:t>
            </w:r>
            <w:r w:rsidR="000078CC" w:rsidRPr="00B40A93">
              <w:rPr>
                <w:rFonts w:ascii="Calibri" w:hAnsi="Calibri" w:cs="Calibri"/>
                <w:b/>
                <w:bCs/>
                <w:color w:val="000000"/>
                <w:sz w:val="18"/>
                <w:szCs w:val="18"/>
              </w:rPr>
              <w:t xml:space="preserve"> (RI)</w:t>
            </w:r>
          </w:p>
        </w:tc>
        <w:tc>
          <w:tcPr>
            <w:tcW w:w="993" w:type="dxa"/>
            <w:hideMark/>
          </w:tcPr>
          <w:p w14:paraId="64C3BD18"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 xml:space="preserve">ΔNa (mmol/L)  </w:t>
            </w:r>
          </w:p>
        </w:tc>
        <w:tc>
          <w:tcPr>
            <w:tcW w:w="992" w:type="dxa"/>
            <w:hideMark/>
          </w:tcPr>
          <w:p w14:paraId="443A2DEA" w14:textId="1F864596"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 xml:space="preserve">Highest ALT (U/L) </w:t>
            </w:r>
            <w:r w:rsidR="00D31F91" w:rsidRPr="00B40A93">
              <w:rPr>
                <w:rFonts w:ascii="Calibri" w:hAnsi="Calibri" w:cs="Calibri"/>
                <w:b/>
                <w:bCs/>
                <w:color w:val="000000"/>
                <w:sz w:val="18"/>
                <w:szCs w:val="18"/>
              </w:rPr>
              <w:t xml:space="preserve">(RI) </w:t>
            </w:r>
            <w:r w:rsidRPr="00B40A93">
              <w:rPr>
                <w:rFonts w:ascii="Calibri" w:hAnsi="Calibri" w:cs="Calibri"/>
                <w:b/>
                <w:bCs/>
                <w:color w:val="000000"/>
                <w:sz w:val="18"/>
                <w:szCs w:val="18"/>
              </w:rPr>
              <w:t xml:space="preserve">and day </w:t>
            </w:r>
            <w:r w:rsidR="00B3468A" w:rsidRPr="00B40A93">
              <w:rPr>
                <w:rFonts w:ascii="Calibri" w:hAnsi="Calibri" w:cs="Calibri"/>
                <w:b/>
                <w:bCs/>
                <w:color w:val="000000"/>
                <w:sz w:val="18"/>
                <w:szCs w:val="18"/>
              </w:rPr>
              <w:t>post</w:t>
            </w:r>
            <w:r w:rsidRPr="00B40A93">
              <w:rPr>
                <w:rFonts w:ascii="Calibri" w:hAnsi="Calibri" w:cs="Calibri"/>
                <w:b/>
                <w:bCs/>
                <w:color w:val="000000"/>
                <w:sz w:val="18"/>
                <w:szCs w:val="18"/>
              </w:rPr>
              <w:t xml:space="preserve"> refeeding</w:t>
            </w:r>
            <w:r w:rsidR="009F3A3A" w:rsidRPr="00B40A93">
              <w:rPr>
                <w:rFonts w:ascii="Calibri" w:hAnsi="Calibri" w:cs="Calibri"/>
                <w:b/>
                <w:bCs/>
                <w:color w:val="000000"/>
                <w:sz w:val="18"/>
                <w:szCs w:val="18"/>
              </w:rPr>
              <w:t xml:space="preserve"> </w:t>
            </w:r>
          </w:p>
        </w:tc>
        <w:tc>
          <w:tcPr>
            <w:tcW w:w="992" w:type="dxa"/>
            <w:hideMark/>
          </w:tcPr>
          <w:p w14:paraId="1CB7B121"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Highest total bilirubin (umol/L)</w:t>
            </w:r>
          </w:p>
          <w:p w14:paraId="07004EF1" w14:textId="060F80DA" w:rsidR="0019732F" w:rsidRPr="00B40A93" w:rsidRDefault="000F640C" w:rsidP="00BE380C">
            <w:pPr>
              <w:jc w:val="center"/>
              <w:rPr>
                <w:rFonts w:ascii="Calibri" w:hAnsi="Calibri" w:cs="Calibri"/>
                <w:b/>
                <w:bCs/>
                <w:color w:val="000000"/>
                <w:sz w:val="18"/>
                <w:szCs w:val="18"/>
              </w:rPr>
            </w:pPr>
            <w:r w:rsidRPr="00B40A93">
              <w:rPr>
                <w:rFonts w:ascii="Calibri" w:hAnsi="Calibri" w:cs="Calibri"/>
                <w:b/>
                <w:bCs/>
                <w:color w:val="000000"/>
                <w:sz w:val="18"/>
                <w:szCs w:val="18"/>
              </w:rPr>
              <w:t>(RI)</w:t>
            </w:r>
          </w:p>
        </w:tc>
        <w:tc>
          <w:tcPr>
            <w:tcW w:w="709" w:type="dxa"/>
            <w:hideMark/>
          </w:tcPr>
          <w:p w14:paraId="31E11A5D"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AKI (Y/N)</w:t>
            </w:r>
          </w:p>
        </w:tc>
        <w:tc>
          <w:tcPr>
            <w:tcW w:w="1134" w:type="dxa"/>
            <w:hideMark/>
          </w:tcPr>
          <w:p w14:paraId="23BD3F13"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Transfusion type</w:t>
            </w:r>
          </w:p>
        </w:tc>
        <w:tc>
          <w:tcPr>
            <w:tcW w:w="992" w:type="dxa"/>
            <w:hideMark/>
          </w:tcPr>
          <w:p w14:paraId="2E2974D9"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Nutrition route</w:t>
            </w:r>
          </w:p>
        </w:tc>
        <w:tc>
          <w:tcPr>
            <w:tcW w:w="1418" w:type="dxa"/>
            <w:hideMark/>
          </w:tcPr>
          <w:p w14:paraId="07748479"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Total hospitalisation (days)</w:t>
            </w:r>
          </w:p>
        </w:tc>
        <w:tc>
          <w:tcPr>
            <w:tcW w:w="1134" w:type="dxa"/>
            <w:hideMark/>
          </w:tcPr>
          <w:p w14:paraId="1C0ACF0E" w14:textId="77777777" w:rsidR="001E1CD9" w:rsidRPr="00B40A93" w:rsidRDefault="001E1CD9" w:rsidP="00BE380C">
            <w:pPr>
              <w:jc w:val="center"/>
              <w:rPr>
                <w:rFonts w:ascii="Calibri" w:hAnsi="Calibri" w:cs="Calibri"/>
                <w:b/>
                <w:bCs/>
                <w:color w:val="000000"/>
                <w:sz w:val="18"/>
                <w:szCs w:val="18"/>
              </w:rPr>
            </w:pPr>
            <w:r w:rsidRPr="00B40A93">
              <w:rPr>
                <w:rFonts w:ascii="Calibri" w:hAnsi="Calibri" w:cs="Calibri"/>
                <w:b/>
                <w:bCs/>
                <w:color w:val="000000"/>
                <w:sz w:val="18"/>
                <w:szCs w:val="18"/>
              </w:rPr>
              <w:t>Outcome</w:t>
            </w:r>
          </w:p>
        </w:tc>
      </w:tr>
      <w:tr w:rsidR="001E1CD9" w:rsidRPr="00B40A93" w14:paraId="1C19CF6D" w14:textId="77777777" w:rsidTr="00BE380C">
        <w:trPr>
          <w:trHeight w:val="520"/>
        </w:trPr>
        <w:tc>
          <w:tcPr>
            <w:tcW w:w="568" w:type="dxa"/>
            <w:hideMark/>
          </w:tcPr>
          <w:p w14:paraId="1475ADD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w:t>
            </w:r>
          </w:p>
        </w:tc>
        <w:tc>
          <w:tcPr>
            <w:tcW w:w="992" w:type="dxa"/>
            <w:hideMark/>
          </w:tcPr>
          <w:p w14:paraId="019A61F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137</w:t>
            </w:r>
          </w:p>
        </w:tc>
        <w:tc>
          <w:tcPr>
            <w:tcW w:w="709" w:type="dxa"/>
            <w:hideMark/>
          </w:tcPr>
          <w:p w14:paraId="1AAD83FF"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MN</w:t>
            </w:r>
          </w:p>
        </w:tc>
        <w:tc>
          <w:tcPr>
            <w:tcW w:w="850" w:type="dxa"/>
            <w:hideMark/>
          </w:tcPr>
          <w:p w14:paraId="0DAD8EC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DSH</w:t>
            </w:r>
          </w:p>
        </w:tc>
        <w:tc>
          <w:tcPr>
            <w:tcW w:w="851" w:type="dxa"/>
            <w:hideMark/>
          </w:tcPr>
          <w:p w14:paraId="564A3B2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6</w:t>
            </w:r>
          </w:p>
        </w:tc>
        <w:tc>
          <w:tcPr>
            <w:tcW w:w="567" w:type="dxa"/>
            <w:hideMark/>
          </w:tcPr>
          <w:p w14:paraId="78CCD9E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1.5/9</w:t>
            </w:r>
          </w:p>
        </w:tc>
        <w:tc>
          <w:tcPr>
            <w:tcW w:w="850" w:type="dxa"/>
            <w:hideMark/>
          </w:tcPr>
          <w:p w14:paraId="65CFEC53"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48</w:t>
            </w:r>
          </w:p>
        </w:tc>
        <w:tc>
          <w:tcPr>
            <w:tcW w:w="1134" w:type="dxa"/>
            <w:hideMark/>
          </w:tcPr>
          <w:p w14:paraId="74AA0697" w14:textId="1941EE26"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0.72</w:t>
            </w:r>
            <w:r w:rsidR="00742AFD" w:rsidRPr="00B40A93">
              <w:rPr>
                <w:rFonts w:ascii="Calibri" w:hAnsi="Calibri" w:cs="Calibri"/>
                <w:color w:val="000000"/>
                <w:sz w:val="18"/>
                <w:szCs w:val="18"/>
              </w:rPr>
              <w:t xml:space="preserve"> (1.1-2.74)</w:t>
            </w:r>
          </w:p>
        </w:tc>
        <w:tc>
          <w:tcPr>
            <w:tcW w:w="993" w:type="dxa"/>
            <w:hideMark/>
          </w:tcPr>
          <w:p w14:paraId="39CBB1E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20.00</w:t>
            </w:r>
          </w:p>
        </w:tc>
        <w:tc>
          <w:tcPr>
            <w:tcW w:w="992" w:type="dxa"/>
            <w:hideMark/>
          </w:tcPr>
          <w:p w14:paraId="56751694" w14:textId="7391D9D1"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439</w:t>
            </w:r>
            <w:r w:rsidR="00EE4E8D" w:rsidRPr="00B40A93">
              <w:rPr>
                <w:rFonts w:ascii="Calibri" w:hAnsi="Calibri" w:cs="Calibri"/>
                <w:color w:val="000000"/>
                <w:sz w:val="18"/>
                <w:szCs w:val="18"/>
              </w:rPr>
              <w:t xml:space="preserve"> (20-100)</w:t>
            </w:r>
            <w:r w:rsidRPr="00B40A93">
              <w:rPr>
                <w:rFonts w:ascii="Calibri" w:hAnsi="Calibri" w:cs="Calibri"/>
                <w:color w:val="000000"/>
                <w:sz w:val="18"/>
                <w:szCs w:val="18"/>
              </w:rPr>
              <w:t xml:space="preserve"> (5)</w:t>
            </w:r>
          </w:p>
        </w:tc>
        <w:tc>
          <w:tcPr>
            <w:tcW w:w="992" w:type="dxa"/>
            <w:hideMark/>
          </w:tcPr>
          <w:p w14:paraId="64F00AEC" w14:textId="431D5BC4"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154</w:t>
            </w:r>
            <w:r w:rsidR="00EE4E8D" w:rsidRPr="00B40A93">
              <w:rPr>
                <w:rFonts w:ascii="Calibri" w:hAnsi="Calibri" w:cs="Calibri"/>
                <w:color w:val="000000"/>
                <w:sz w:val="18"/>
                <w:szCs w:val="18"/>
              </w:rPr>
              <w:t xml:space="preserve"> (2-10)</w:t>
            </w:r>
          </w:p>
        </w:tc>
        <w:tc>
          <w:tcPr>
            <w:tcW w:w="709" w:type="dxa"/>
            <w:hideMark/>
          </w:tcPr>
          <w:p w14:paraId="67DFF3C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Y</w:t>
            </w:r>
          </w:p>
        </w:tc>
        <w:tc>
          <w:tcPr>
            <w:tcW w:w="1134" w:type="dxa"/>
            <w:hideMark/>
          </w:tcPr>
          <w:p w14:paraId="1598C0D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pRBC (feline)</w:t>
            </w:r>
          </w:p>
        </w:tc>
        <w:tc>
          <w:tcPr>
            <w:tcW w:w="992" w:type="dxa"/>
            <w:hideMark/>
          </w:tcPr>
          <w:p w14:paraId="2029AE07"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syringe, PN</w:t>
            </w:r>
          </w:p>
        </w:tc>
        <w:tc>
          <w:tcPr>
            <w:tcW w:w="1418" w:type="dxa"/>
            <w:hideMark/>
          </w:tcPr>
          <w:p w14:paraId="7A05FA7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10</w:t>
            </w:r>
          </w:p>
        </w:tc>
        <w:tc>
          <w:tcPr>
            <w:tcW w:w="1134" w:type="dxa"/>
            <w:hideMark/>
          </w:tcPr>
          <w:p w14:paraId="526587D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CPA</w:t>
            </w:r>
          </w:p>
        </w:tc>
      </w:tr>
      <w:tr w:rsidR="001E1CD9" w:rsidRPr="00B40A93" w14:paraId="00068E88" w14:textId="77777777" w:rsidTr="00BE380C">
        <w:trPr>
          <w:trHeight w:val="340"/>
        </w:trPr>
        <w:tc>
          <w:tcPr>
            <w:tcW w:w="568" w:type="dxa"/>
            <w:hideMark/>
          </w:tcPr>
          <w:p w14:paraId="25374D8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w:t>
            </w:r>
          </w:p>
        </w:tc>
        <w:tc>
          <w:tcPr>
            <w:tcW w:w="992" w:type="dxa"/>
            <w:hideMark/>
          </w:tcPr>
          <w:p w14:paraId="55A6387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36</w:t>
            </w:r>
          </w:p>
        </w:tc>
        <w:tc>
          <w:tcPr>
            <w:tcW w:w="709" w:type="dxa"/>
            <w:hideMark/>
          </w:tcPr>
          <w:p w14:paraId="64D01F5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FN</w:t>
            </w:r>
          </w:p>
        </w:tc>
        <w:tc>
          <w:tcPr>
            <w:tcW w:w="850" w:type="dxa"/>
            <w:hideMark/>
          </w:tcPr>
          <w:p w14:paraId="1F4E3F3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DSH</w:t>
            </w:r>
          </w:p>
        </w:tc>
        <w:tc>
          <w:tcPr>
            <w:tcW w:w="851" w:type="dxa"/>
            <w:hideMark/>
          </w:tcPr>
          <w:p w14:paraId="17DC043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4</w:t>
            </w:r>
          </w:p>
        </w:tc>
        <w:tc>
          <w:tcPr>
            <w:tcW w:w="567" w:type="dxa"/>
            <w:hideMark/>
          </w:tcPr>
          <w:p w14:paraId="6E996BC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1/9</w:t>
            </w:r>
          </w:p>
        </w:tc>
        <w:tc>
          <w:tcPr>
            <w:tcW w:w="850" w:type="dxa"/>
            <w:hideMark/>
          </w:tcPr>
          <w:p w14:paraId="0EC93A1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N/A</w:t>
            </w:r>
          </w:p>
        </w:tc>
        <w:tc>
          <w:tcPr>
            <w:tcW w:w="1134" w:type="dxa"/>
            <w:hideMark/>
          </w:tcPr>
          <w:p w14:paraId="58C65B32" w14:textId="32B06D08"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0.97</w:t>
            </w:r>
            <w:r w:rsidR="00742AFD" w:rsidRPr="00B40A93">
              <w:rPr>
                <w:rFonts w:ascii="Calibri" w:hAnsi="Calibri" w:cs="Calibri"/>
                <w:color w:val="000000"/>
                <w:sz w:val="18"/>
                <w:szCs w:val="18"/>
              </w:rPr>
              <w:t xml:space="preserve"> (1-2.42)</w:t>
            </w:r>
          </w:p>
        </w:tc>
        <w:tc>
          <w:tcPr>
            <w:tcW w:w="993" w:type="dxa"/>
            <w:hideMark/>
          </w:tcPr>
          <w:p w14:paraId="4CA57B02"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23</w:t>
            </w:r>
          </w:p>
        </w:tc>
        <w:tc>
          <w:tcPr>
            <w:tcW w:w="992" w:type="dxa"/>
            <w:hideMark/>
          </w:tcPr>
          <w:p w14:paraId="036CE082" w14:textId="3FA2E949"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833</w:t>
            </w:r>
            <w:r w:rsidR="00EE4E8D" w:rsidRPr="00B40A93">
              <w:rPr>
                <w:rFonts w:ascii="Calibri" w:hAnsi="Calibri" w:cs="Calibri"/>
                <w:color w:val="000000"/>
                <w:sz w:val="18"/>
                <w:szCs w:val="18"/>
              </w:rPr>
              <w:t xml:space="preserve"> (12-130)</w:t>
            </w:r>
            <w:r w:rsidRPr="00B40A93">
              <w:rPr>
                <w:rFonts w:ascii="Calibri" w:hAnsi="Calibri" w:cs="Calibri"/>
                <w:color w:val="000000"/>
                <w:sz w:val="18"/>
                <w:szCs w:val="18"/>
              </w:rPr>
              <w:t xml:space="preserve"> (1)</w:t>
            </w:r>
          </w:p>
        </w:tc>
        <w:tc>
          <w:tcPr>
            <w:tcW w:w="992" w:type="dxa"/>
            <w:hideMark/>
          </w:tcPr>
          <w:p w14:paraId="02ED9A78" w14:textId="768EF539"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148</w:t>
            </w:r>
            <w:r w:rsidR="00EE4E8D" w:rsidRPr="00B40A93">
              <w:rPr>
                <w:rFonts w:ascii="Calibri" w:hAnsi="Calibri" w:cs="Calibri"/>
                <w:color w:val="000000"/>
                <w:sz w:val="18"/>
                <w:szCs w:val="18"/>
              </w:rPr>
              <w:t xml:space="preserve"> (0-15)</w:t>
            </w:r>
          </w:p>
        </w:tc>
        <w:tc>
          <w:tcPr>
            <w:tcW w:w="709" w:type="dxa"/>
            <w:hideMark/>
          </w:tcPr>
          <w:p w14:paraId="704BACC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w:t>
            </w:r>
          </w:p>
        </w:tc>
        <w:tc>
          <w:tcPr>
            <w:tcW w:w="1134" w:type="dxa"/>
            <w:hideMark/>
          </w:tcPr>
          <w:p w14:paraId="222F6D0A"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pRBC (feline)</w:t>
            </w:r>
          </w:p>
        </w:tc>
        <w:tc>
          <w:tcPr>
            <w:tcW w:w="992" w:type="dxa"/>
            <w:hideMark/>
          </w:tcPr>
          <w:p w14:paraId="1076EC0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 NG</w:t>
            </w:r>
          </w:p>
        </w:tc>
        <w:tc>
          <w:tcPr>
            <w:tcW w:w="1418" w:type="dxa"/>
            <w:hideMark/>
          </w:tcPr>
          <w:p w14:paraId="3D49A8C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15</w:t>
            </w:r>
          </w:p>
        </w:tc>
        <w:tc>
          <w:tcPr>
            <w:tcW w:w="1134" w:type="dxa"/>
            <w:hideMark/>
          </w:tcPr>
          <w:p w14:paraId="4DDBB04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Discharge</w:t>
            </w:r>
          </w:p>
        </w:tc>
      </w:tr>
      <w:tr w:rsidR="001E1CD9" w:rsidRPr="00B40A93" w14:paraId="2FDAC5DA" w14:textId="77777777" w:rsidTr="00BE380C">
        <w:trPr>
          <w:trHeight w:val="480"/>
        </w:trPr>
        <w:tc>
          <w:tcPr>
            <w:tcW w:w="568" w:type="dxa"/>
            <w:hideMark/>
          </w:tcPr>
          <w:p w14:paraId="169698C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3</w:t>
            </w:r>
          </w:p>
        </w:tc>
        <w:tc>
          <w:tcPr>
            <w:tcW w:w="992" w:type="dxa"/>
            <w:hideMark/>
          </w:tcPr>
          <w:p w14:paraId="2A6ED113"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84</w:t>
            </w:r>
          </w:p>
        </w:tc>
        <w:tc>
          <w:tcPr>
            <w:tcW w:w="709" w:type="dxa"/>
            <w:hideMark/>
          </w:tcPr>
          <w:p w14:paraId="7857866E"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MN</w:t>
            </w:r>
          </w:p>
        </w:tc>
        <w:tc>
          <w:tcPr>
            <w:tcW w:w="850" w:type="dxa"/>
            <w:hideMark/>
          </w:tcPr>
          <w:p w14:paraId="50CD315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DSH</w:t>
            </w:r>
          </w:p>
        </w:tc>
        <w:tc>
          <w:tcPr>
            <w:tcW w:w="851" w:type="dxa"/>
            <w:hideMark/>
          </w:tcPr>
          <w:p w14:paraId="6AEB5296"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7</w:t>
            </w:r>
          </w:p>
        </w:tc>
        <w:tc>
          <w:tcPr>
            <w:tcW w:w="567" w:type="dxa"/>
            <w:hideMark/>
          </w:tcPr>
          <w:p w14:paraId="60CC3F3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2.5/9</w:t>
            </w:r>
          </w:p>
        </w:tc>
        <w:tc>
          <w:tcPr>
            <w:tcW w:w="850" w:type="dxa"/>
            <w:hideMark/>
          </w:tcPr>
          <w:p w14:paraId="16A25BEE"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46</w:t>
            </w:r>
          </w:p>
        </w:tc>
        <w:tc>
          <w:tcPr>
            <w:tcW w:w="1134" w:type="dxa"/>
            <w:hideMark/>
          </w:tcPr>
          <w:p w14:paraId="6DAD745A" w14:textId="239BE1E1"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1.02</w:t>
            </w:r>
            <w:r w:rsidR="00742AFD" w:rsidRPr="00B40A93">
              <w:rPr>
                <w:rFonts w:ascii="Calibri" w:hAnsi="Calibri" w:cs="Calibri"/>
                <w:color w:val="000000"/>
                <w:sz w:val="18"/>
                <w:szCs w:val="18"/>
              </w:rPr>
              <w:t xml:space="preserve"> (1.1-2.74)</w:t>
            </w:r>
          </w:p>
        </w:tc>
        <w:tc>
          <w:tcPr>
            <w:tcW w:w="993" w:type="dxa"/>
            <w:hideMark/>
          </w:tcPr>
          <w:p w14:paraId="3255980F"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15</w:t>
            </w:r>
          </w:p>
        </w:tc>
        <w:tc>
          <w:tcPr>
            <w:tcW w:w="992" w:type="dxa"/>
            <w:hideMark/>
          </w:tcPr>
          <w:p w14:paraId="18B73891" w14:textId="4588620C"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96</w:t>
            </w:r>
            <w:r w:rsidR="00EE4E8D" w:rsidRPr="00B40A93">
              <w:rPr>
                <w:rFonts w:ascii="Calibri" w:hAnsi="Calibri" w:cs="Calibri"/>
                <w:color w:val="000000"/>
                <w:sz w:val="18"/>
                <w:szCs w:val="18"/>
              </w:rPr>
              <w:t xml:space="preserve"> (12-130)</w:t>
            </w:r>
            <w:r w:rsidRPr="00B40A93">
              <w:rPr>
                <w:rFonts w:ascii="Calibri" w:hAnsi="Calibri" w:cs="Calibri"/>
                <w:color w:val="000000"/>
                <w:sz w:val="18"/>
                <w:szCs w:val="18"/>
              </w:rPr>
              <w:t xml:space="preserve"> (1)</w:t>
            </w:r>
          </w:p>
        </w:tc>
        <w:tc>
          <w:tcPr>
            <w:tcW w:w="992" w:type="dxa"/>
            <w:hideMark/>
          </w:tcPr>
          <w:p w14:paraId="4801C03B" w14:textId="0FDADE8D"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8</w:t>
            </w:r>
            <w:r w:rsidR="00EE4E8D" w:rsidRPr="00B40A93">
              <w:rPr>
                <w:rFonts w:ascii="Calibri" w:hAnsi="Calibri" w:cs="Calibri"/>
                <w:color w:val="000000"/>
                <w:sz w:val="18"/>
                <w:szCs w:val="18"/>
              </w:rPr>
              <w:t xml:space="preserve"> (2-10)</w:t>
            </w:r>
          </w:p>
        </w:tc>
        <w:tc>
          <w:tcPr>
            <w:tcW w:w="709" w:type="dxa"/>
            <w:hideMark/>
          </w:tcPr>
          <w:p w14:paraId="0638820F"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w:t>
            </w:r>
          </w:p>
        </w:tc>
        <w:tc>
          <w:tcPr>
            <w:tcW w:w="1134" w:type="dxa"/>
            <w:hideMark/>
          </w:tcPr>
          <w:p w14:paraId="40E23F22"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N/A</w:t>
            </w:r>
          </w:p>
        </w:tc>
        <w:tc>
          <w:tcPr>
            <w:tcW w:w="992" w:type="dxa"/>
            <w:hideMark/>
          </w:tcPr>
          <w:p w14:paraId="429CD25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PN</w:t>
            </w:r>
          </w:p>
        </w:tc>
        <w:tc>
          <w:tcPr>
            <w:tcW w:w="1418" w:type="dxa"/>
            <w:hideMark/>
          </w:tcPr>
          <w:p w14:paraId="153E4F6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19</w:t>
            </w:r>
          </w:p>
        </w:tc>
        <w:tc>
          <w:tcPr>
            <w:tcW w:w="1134" w:type="dxa"/>
            <w:hideMark/>
          </w:tcPr>
          <w:p w14:paraId="1278658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Discharge</w:t>
            </w:r>
          </w:p>
        </w:tc>
      </w:tr>
      <w:tr w:rsidR="001E1CD9" w:rsidRPr="00B40A93" w14:paraId="1B9151CF" w14:textId="77777777" w:rsidTr="00BE380C">
        <w:trPr>
          <w:trHeight w:val="470"/>
        </w:trPr>
        <w:tc>
          <w:tcPr>
            <w:tcW w:w="568" w:type="dxa"/>
            <w:hideMark/>
          </w:tcPr>
          <w:p w14:paraId="76E51AAD"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4</w:t>
            </w:r>
          </w:p>
        </w:tc>
        <w:tc>
          <w:tcPr>
            <w:tcW w:w="992" w:type="dxa"/>
            <w:hideMark/>
          </w:tcPr>
          <w:p w14:paraId="4E3D60E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64</w:t>
            </w:r>
          </w:p>
        </w:tc>
        <w:tc>
          <w:tcPr>
            <w:tcW w:w="709" w:type="dxa"/>
            <w:hideMark/>
          </w:tcPr>
          <w:p w14:paraId="23BC242A"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MN</w:t>
            </w:r>
          </w:p>
        </w:tc>
        <w:tc>
          <w:tcPr>
            <w:tcW w:w="850" w:type="dxa"/>
            <w:hideMark/>
          </w:tcPr>
          <w:p w14:paraId="03C41E5A"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DLH</w:t>
            </w:r>
          </w:p>
        </w:tc>
        <w:tc>
          <w:tcPr>
            <w:tcW w:w="851" w:type="dxa"/>
            <w:hideMark/>
          </w:tcPr>
          <w:p w14:paraId="15CD13ED"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3</w:t>
            </w:r>
          </w:p>
        </w:tc>
        <w:tc>
          <w:tcPr>
            <w:tcW w:w="567" w:type="dxa"/>
            <w:hideMark/>
          </w:tcPr>
          <w:p w14:paraId="77822B8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2/9</w:t>
            </w:r>
          </w:p>
        </w:tc>
        <w:tc>
          <w:tcPr>
            <w:tcW w:w="850" w:type="dxa"/>
            <w:hideMark/>
          </w:tcPr>
          <w:p w14:paraId="57CD08B3"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46</w:t>
            </w:r>
          </w:p>
        </w:tc>
        <w:tc>
          <w:tcPr>
            <w:tcW w:w="1134" w:type="dxa"/>
            <w:hideMark/>
          </w:tcPr>
          <w:p w14:paraId="6FD3A473" w14:textId="0DE0D2FA"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0.75</w:t>
            </w:r>
            <w:r w:rsidR="00742AFD" w:rsidRPr="00B40A93">
              <w:rPr>
                <w:rFonts w:ascii="Calibri" w:hAnsi="Calibri" w:cs="Calibri"/>
                <w:color w:val="000000"/>
                <w:sz w:val="18"/>
                <w:szCs w:val="18"/>
              </w:rPr>
              <w:t xml:space="preserve"> (0.92-2.16)</w:t>
            </w:r>
          </w:p>
        </w:tc>
        <w:tc>
          <w:tcPr>
            <w:tcW w:w="993" w:type="dxa"/>
            <w:hideMark/>
          </w:tcPr>
          <w:p w14:paraId="2558BF6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7</w:t>
            </w:r>
          </w:p>
        </w:tc>
        <w:tc>
          <w:tcPr>
            <w:tcW w:w="992" w:type="dxa"/>
            <w:hideMark/>
          </w:tcPr>
          <w:p w14:paraId="58B45E96" w14:textId="167410E8"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218</w:t>
            </w:r>
            <w:r w:rsidR="00B50901" w:rsidRPr="00B40A93">
              <w:rPr>
                <w:rFonts w:ascii="Calibri" w:hAnsi="Calibri" w:cs="Calibri"/>
                <w:color w:val="000000"/>
                <w:sz w:val="18"/>
                <w:szCs w:val="18"/>
              </w:rPr>
              <w:t xml:space="preserve"> (20-100)</w:t>
            </w:r>
            <w:r w:rsidRPr="00B40A93">
              <w:rPr>
                <w:rFonts w:ascii="Calibri" w:hAnsi="Calibri" w:cs="Calibri"/>
                <w:color w:val="000000"/>
                <w:sz w:val="18"/>
                <w:szCs w:val="18"/>
              </w:rPr>
              <w:t xml:space="preserve"> (9)</w:t>
            </w:r>
          </w:p>
        </w:tc>
        <w:tc>
          <w:tcPr>
            <w:tcW w:w="992" w:type="dxa"/>
            <w:hideMark/>
          </w:tcPr>
          <w:p w14:paraId="1A9D7DDB" w14:textId="1800BEC2"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31</w:t>
            </w:r>
            <w:r w:rsidR="00B50901" w:rsidRPr="00B40A93">
              <w:rPr>
                <w:rFonts w:ascii="Calibri" w:hAnsi="Calibri" w:cs="Calibri"/>
                <w:color w:val="000000"/>
                <w:sz w:val="18"/>
                <w:szCs w:val="18"/>
              </w:rPr>
              <w:t xml:space="preserve"> (2-10)</w:t>
            </w:r>
          </w:p>
        </w:tc>
        <w:tc>
          <w:tcPr>
            <w:tcW w:w="709" w:type="dxa"/>
            <w:hideMark/>
          </w:tcPr>
          <w:p w14:paraId="26F1FA7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w:t>
            </w:r>
          </w:p>
        </w:tc>
        <w:tc>
          <w:tcPr>
            <w:tcW w:w="1134" w:type="dxa"/>
            <w:hideMark/>
          </w:tcPr>
          <w:p w14:paraId="2C22CB7A"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whole blood (feline)</w:t>
            </w:r>
          </w:p>
        </w:tc>
        <w:tc>
          <w:tcPr>
            <w:tcW w:w="992" w:type="dxa"/>
            <w:hideMark/>
          </w:tcPr>
          <w:p w14:paraId="4DE4C0CA"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PN</w:t>
            </w:r>
          </w:p>
        </w:tc>
        <w:tc>
          <w:tcPr>
            <w:tcW w:w="1418" w:type="dxa"/>
            <w:hideMark/>
          </w:tcPr>
          <w:p w14:paraId="5BC4EB6F"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18</w:t>
            </w:r>
          </w:p>
        </w:tc>
        <w:tc>
          <w:tcPr>
            <w:tcW w:w="1134" w:type="dxa"/>
            <w:hideMark/>
          </w:tcPr>
          <w:p w14:paraId="2C88EA4D"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Discharge</w:t>
            </w:r>
          </w:p>
        </w:tc>
      </w:tr>
      <w:tr w:rsidR="001E1CD9" w:rsidRPr="00B40A93" w14:paraId="69A7A571" w14:textId="77777777" w:rsidTr="00BE380C">
        <w:trPr>
          <w:trHeight w:val="520"/>
        </w:trPr>
        <w:tc>
          <w:tcPr>
            <w:tcW w:w="568" w:type="dxa"/>
            <w:hideMark/>
          </w:tcPr>
          <w:p w14:paraId="30FC30C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5</w:t>
            </w:r>
          </w:p>
        </w:tc>
        <w:tc>
          <w:tcPr>
            <w:tcW w:w="992" w:type="dxa"/>
            <w:hideMark/>
          </w:tcPr>
          <w:p w14:paraId="55E79C6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91</w:t>
            </w:r>
          </w:p>
        </w:tc>
        <w:tc>
          <w:tcPr>
            <w:tcW w:w="709" w:type="dxa"/>
            <w:hideMark/>
          </w:tcPr>
          <w:p w14:paraId="31671286"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FN</w:t>
            </w:r>
          </w:p>
        </w:tc>
        <w:tc>
          <w:tcPr>
            <w:tcW w:w="850" w:type="dxa"/>
            <w:hideMark/>
          </w:tcPr>
          <w:p w14:paraId="5A3E7DFD"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BSH</w:t>
            </w:r>
          </w:p>
        </w:tc>
        <w:tc>
          <w:tcPr>
            <w:tcW w:w="851" w:type="dxa"/>
            <w:hideMark/>
          </w:tcPr>
          <w:p w14:paraId="2A742E8D"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6</w:t>
            </w:r>
          </w:p>
        </w:tc>
        <w:tc>
          <w:tcPr>
            <w:tcW w:w="567" w:type="dxa"/>
            <w:hideMark/>
          </w:tcPr>
          <w:p w14:paraId="462A905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3/9</w:t>
            </w:r>
          </w:p>
        </w:tc>
        <w:tc>
          <w:tcPr>
            <w:tcW w:w="850" w:type="dxa"/>
            <w:hideMark/>
          </w:tcPr>
          <w:p w14:paraId="69EF5CFF"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N/A</w:t>
            </w:r>
          </w:p>
        </w:tc>
        <w:tc>
          <w:tcPr>
            <w:tcW w:w="1134" w:type="dxa"/>
            <w:hideMark/>
          </w:tcPr>
          <w:p w14:paraId="1ECFA038" w14:textId="59132B9A"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0.88</w:t>
            </w:r>
            <w:r w:rsidR="00742AFD" w:rsidRPr="00B40A93">
              <w:rPr>
                <w:rFonts w:ascii="Calibri" w:hAnsi="Calibri" w:cs="Calibri"/>
                <w:color w:val="000000"/>
                <w:sz w:val="18"/>
                <w:szCs w:val="18"/>
              </w:rPr>
              <w:t xml:space="preserve"> (1.1-2.74)</w:t>
            </w:r>
          </w:p>
        </w:tc>
        <w:tc>
          <w:tcPr>
            <w:tcW w:w="993" w:type="dxa"/>
            <w:hideMark/>
          </w:tcPr>
          <w:p w14:paraId="1E42484E"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16</w:t>
            </w:r>
          </w:p>
        </w:tc>
        <w:tc>
          <w:tcPr>
            <w:tcW w:w="992" w:type="dxa"/>
            <w:hideMark/>
          </w:tcPr>
          <w:p w14:paraId="6FDCA882" w14:textId="3632E46B"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569</w:t>
            </w:r>
            <w:r w:rsidR="00B50901" w:rsidRPr="00B40A93">
              <w:rPr>
                <w:rFonts w:ascii="Calibri" w:hAnsi="Calibri" w:cs="Calibri"/>
                <w:color w:val="000000"/>
                <w:sz w:val="18"/>
                <w:szCs w:val="18"/>
              </w:rPr>
              <w:t xml:space="preserve"> (12-130)</w:t>
            </w:r>
            <w:r w:rsidRPr="00B40A93">
              <w:rPr>
                <w:rFonts w:ascii="Calibri" w:hAnsi="Calibri" w:cs="Calibri"/>
                <w:color w:val="000000"/>
                <w:sz w:val="18"/>
                <w:szCs w:val="18"/>
              </w:rPr>
              <w:t xml:space="preserve"> (1)</w:t>
            </w:r>
          </w:p>
        </w:tc>
        <w:tc>
          <w:tcPr>
            <w:tcW w:w="992" w:type="dxa"/>
            <w:hideMark/>
          </w:tcPr>
          <w:p w14:paraId="7F396AB3" w14:textId="7925FBD4"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39</w:t>
            </w:r>
            <w:r w:rsidR="00B50901" w:rsidRPr="00B40A93">
              <w:rPr>
                <w:rFonts w:ascii="Calibri" w:hAnsi="Calibri" w:cs="Calibri"/>
                <w:color w:val="000000"/>
                <w:sz w:val="18"/>
                <w:szCs w:val="18"/>
              </w:rPr>
              <w:t xml:space="preserve"> (2-10)</w:t>
            </w:r>
          </w:p>
        </w:tc>
        <w:tc>
          <w:tcPr>
            <w:tcW w:w="709" w:type="dxa"/>
            <w:hideMark/>
          </w:tcPr>
          <w:p w14:paraId="58BF4F62"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Y</w:t>
            </w:r>
          </w:p>
        </w:tc>
        <w:tc>
          <w:tcPr>
            <w:tcW w:w="1134" w:type="dxa"/>
            <w:hideMark/>
          </w:tcPr>
          <w:p w14:paraId="3E555445"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N/A</w:t>
            </w:r>
          </w:p>
        </w:tc>
        <w:tc>
          <w:tcPr>
            <w:tcW w:w="992" w:type="dxa"/>
            <w:hideMark/>
          </w:tcPr>
          <w:p w14:paraId="6A8EA39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only</w:t>
            </w:r>
          </w:p>
        </w:tc>
        <w:tc>
          <w:tcPr>
            <w:tcW w:w="1418" w:type="dxa"/>
            <w:hideMark/>
          </w:tcPr>
          <w:p w14:paraId="7D26F7D3"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15</w:t>
            </w:r>
          </w:p>
        </w:tc>
        <w:tc>
          <w:tcPr>
            <w:tcW w:w="1134" w:type="dxa"/>
            <w:hideMark/>
          </w:tcPr>
          <w:p w14:paraId="5AFE524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Discharge</w:t>
            </w:r>
          </w:p>
        </w:tc>
      </w:tr>
      <w:tr w:rsidR="001E1CD9" w:rsidRPr="00B40A93" w14:paraId="6341460B" w14:textId="77777777" w:rsidTr="00BE380C">
        <w:trPr>
          <w:trHeight w:val="520"/>
        </w:trPr>
        <w:tc>
          <w:tcPr>
            <w:tcW w:w="568" w:type="dxa"/>
            <w:hideMark/>
          </w:tcPr>
          <w:p w14:paraId="5F82C19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6</w:t>
            </w:r>
          </w:p>
        </w:tc>
        <w:tc>
          <w:tcPr>
            <w:tcW w:w="992" w:type="dxa"/>
            <w:hideMark/>
          </w:tcPr>
          <w:p w14:paraId="364A442E"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100</w:t>
            </w:r>
          </w:p>
        </w:tc>
        <w:tc>
          <w:tcPr>
            <w:tcW w:w="709" w:type="dxa"/>
            <w:hideMark/>
          </w:tcPr>
          <w:p w14:paraId="5A266FA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FN</w:t>
            </w:r>
          </w:p>
        </w:tc>
        <w:tc>
          <w:tcPr>
            <w:tcW w:w="850" w:type="dxa"/>
            <w:hideMark/>
          </w:tcPr>
          <w:p w14:paraId="0F9541F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DLH</w:t>
            </w:r>
          </w:p>
        </w:tc>
        <w:tc>
          <w:tcPr>
            <w:tcW w:w="851" w:type="dxa"/>
            <w:hideMark/>
          </w:tcPr>
          <w:p w14:paraId="6C0F74D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6</w:t>
            </w:r>
          </w:p>
        </w:tc>
        <w:tc>
          <w:tcPr>
            <w:tcW w:w="567" w:type="dxa"/>
            <w:hideMark/>
          </w:tcPr>
          <w:p w14:paraId="28026873"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2/9</w:t>
            </w:r>
          </w:p>
        </w:tc>
        <w:tc>
          <w:tcPr>
            <w:tcW w:w="850" w:type="dxa"/>
            <w:hideMark/>
          </w:tcPr>
          <w:p w14:paraId="7F6DBF7E"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33</w:t>
            </w:r>
          </w:p>
        </w:tc>
        <w:tc>
          <w:tcPr>
            <w:tcW w:w="1134" w:type="dxa"/>
            <w:hideMark/>
          </w:tcPr>
          <w:p w14:paraId="30583C10" w14:textId="3572203C"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0.56</w:t>
            </w:r>
            <w:r w:rsidR="00742AFD" w:rsidRPr="00B40A93">
              <w:rPr>
                <w:rFonts w:ascii="Calibri" w:hAnsi="Calibri" w:cs="Calibri"/>
                <w:color w:val="000000"/>
                <w:sz w:val="18"/>
                <w:szCs w:val="18"/>
              </w:rPr>
              <w:t xml:space="preserve"> (1.1-2.74)</w:t>
            </w:r>
          </w:p>
        </w:tc>
        <w:tc>
          <w:tcPr>
            <w:tcW w:w="993" w:type="dxa"/>
            <w:hideMark/>
          </w:tcPr>
          <w:p w14:paraId="4404EBE2"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14</w:t>
            </w:r>
          </w:p>
        </w:tc>
        <w:tc>
          <w:tcPr>
            <w:tcW w:w="992" w:type="dxa"/>
            <w:hideMark/>
          </w:tcPr>
          <w:p w14:paraId="0BDA0E2D" w14:textId="77CE1082"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188.6</w:t>
            </w:r>
            <w:r w:rsidR="00B50901" w:rsidRPr="00B40A93">
              <w:rPr>
                <w:rFonts w:ascii="Calibri" w:hAnsi="Calibri" w:cs="Calibri"/>
                <w:color w:val="000000"/>
                <w:sz w:val="18"/>
                <w:szCs w:val="18"/>
              </w:rPr>
              <w:t xml:space="preserve"> (5-60)</w:t>
            </w:r>
            <w:r w:rsidRPr="00B40A93">
              <w:rPr>
                <w:rFonts w:ascii="Calibri" w:hAnsi="Calibri" w:cs="Calibri"/>
                <w:color w:val="000000"/>
                <w:sz w:val="18"/>
                <w:szCs w:val="18"/>
              </w:rPr>
              <w:t xml:space="preserve"> (4)</w:t>
            </w:r>
          </w:p>
        </w:tc>
        <w:tc>
          <w:tcPr>
            <w:tcW w:w="992" w:type="dxa"/>
            <w:hideMark/>
          </w:tcPr>
          <w:p w14:paraId="475E9C5B" w14:textId="7622F85E"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7</w:t>
            </w:r>
            <w:r w:rsidR="00B50901" w:rsidRPr="00B40A93">
              <w:rPr>
                <w:rFonts w:ascii="Calibri" w:hAnsi="Calibri" w:cs="Calibri"/>
                <w:color w:val="000000"/>
                <w:sz w:val="18"/>
                <w:szCs w:val="18"/>
              </w:rPr>
              <w:t xml:space="preserve"> (2-10)</w:t>
            </w:r>
          </w:p>
        </w:tc>
        <w:tc>
          <w:tcPr>
            <w:tcW w:w="709" w:type="dxa"/>
            <w:hideMark/>
          </w:tcPr>
          <w:p w14:paraId="13A117E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w:t>
            </w:r>
          </w:p>
        </w:tc>
        <w:tc>
          <w:tcPr>
            <w:tcW w:w="1134" w:type="dxa"/>
            <w:hideMark/>
          </w:tcPr>
          <w:p w14:paraId="261E4E96"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N/A</w:t>
            </w:r>
          </w:p>
        </w:tc>
        <w:tc>
          <w:tcPr>
            <w:tcW w:w="992" w:type="dxa"/>
            <w:hideMark/>
          </w:tcPr>
          <w:p w14:paraId="73B99247"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only</w:t>
            </w:r>
          </w:p>
        </w:tc>
        <w:tc>
          <w:tcPr>
            <w:tcW w:w="1418" w:type="dxa"/>
            <w:hideMark/>
          </w:tcPr>
          <w:p w14:paraId="312D9A1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14</w:t>
            </w:r>
          </w:p>
        </w:tc>
        <w:tc>
          <w:tcPr>
            <w:tcW w:w="1134" w:type="dxa"/>
            <w:hideMark/>
          </w:tcPr>
          <w:p w14:paraId="3D7C43C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Discharge</w:t>
            </w:r>
          </w:p>
        </w:tc>
      </w:tr>
      <w:tr w:rsidR="001E1CD9" w:rsidRPr="00B40A93" w14:paraId="3B842966" w14:textId="77777777" w:rsidTr="00BE380C">
        <w:trPr>
          <w:trHeight w:val="740"/>
        </w:trPr>
        <w:tc>
          <w:tcPr>
            <w:tcW w:w="568" w:type="dxa"/>
            <w:hideMark/>
          </w:tcPr>
          <w:p w14:paraId="5A28ED8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7</w:t>
            </w:r>
          </w:p>
        </w:tc>
        <w:tc>
          <w:tcPr>
            <w:tcW w:w="992" w:type="dxa"/>
            <w:hideMark/>
          </w:tcPr>
          <w:p w14:paraId="6F2D7CEE"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84</w:t>
            </w:r>
          </w:p>
        </w:tc>
        <w:tc>
          <w:tcPr>
            <w:tcW w:w="709" w:type="dxa"/>
            <w:hideMark/>
          </w:tcPr>
          <w:p w14:paraId="3F1EA056"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MN</w:t>
            </w:r>
          </w:p>
        </w:tc>
        <w:tc>
          <w:tcPr>
            <w:tcW w:w="850" w:type="dxa"/>
            <w:hideMark/>
          </w:tcPr>
          <w:p w14:paraId="14F9D00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DSH</w:t>
            </w:r>
          </w:p>
        </w:tc>
        <w:tc>
          <w:tcPr>
            <w:tcW w:w="851" w:type="dxa"/>
            <w:hideMark/>
          </w:tcPr>
          <w:p w14:paraId="4EAF16CE"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104</w:t>
            </w:r>
          </w:p>
        </w:tc>
        <w:tc>
          <w:tcPr>
            <w:tcW w:w="567" w:type="dxa"/>
            <w:hideMark/>
          </w:tcPr>
          <w:p w14:paraId="2E0AAA63"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1/9</w:t>
            </w:r>
          </w:p>
        </w:tc>
        <w:tc>
          <w:tcPr>
            <w:tcW w:w="850" w:type="dxa"/>
            <w:hideMark/>
          </w:tcPr>
          <w:p w14:paraId="6A3771BA"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N/A</w:t>
            </w:r>
          </w:p>
        </w:tc>
        <w:tc>
          <w:tcPr>
            <w:tcW w:w="1134" w:type="dxa"/>
            <w:hideMark/>
          </w:tcPr>
          <w:p w14:paraId="6C12DDA2" w14:textId="420B5706"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0.81</w:t>
            </w:r>
            <w:r w:rsidR="00742AFD" w:rsidRPr="00B40A93">
              <w:rPr>
                <w:rFonts w:ascii="Calibri" w:hAnsi="Calibri" w:cs="Calibri"/>
                <w:color w:val="000000"/>
                <w:sz w:val="18"/>
                <w:szCs w:val="18"/>
              </w:rPr>
              <w:t xml:space="preserve"> (1.1-2.74)</w:t>
            </w:r>
          </w:p>
        </w:tc>
        <w:tc>
          <w:tcPr>
            <w:tcW w:w="993" w:type="dxa"/>
            <w:hideMark/>
          </w:tcPr>
          <w:p w14:paraId="2ACD93BA"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23</w:t>
            </w:r>
          </w:p>
        </w:tc>
        <w:tc>
          <w:tcPr>
            <w:tcW w:w="992" w:type="dxa"/>
            <w:hideMark/>
          </w:tcPr>
          <w:p w14:paraId="2BA9146C" w14:textId="52ACD8AC"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153.3</w:t>
            </w:r>
            <w:r w:rsidR="00B50901" w:rsidRPr="00B40A93">
              <w:rPr>
                <w:rFonts w:ascii="Calibri" w:hAnsi="Calibri" w:cs="Calibri"/>
                <w:color w:val="000000"/>
                <w:sz w:val="18"/>
                <w:szCs w:val="18"/>
              </w:rPr>
              <w:t xml:space="preserve"> (5-60)</w:t>
            </w:r>
            <w:r w:rsidRPr="00B40A93">
              <w:rPr>
                <w:rFonts w:ascii="Calibri" w:hAnsi="Calibri" w:cs="Calibri"/>
                <w:color w:val="000000"/>
                <w:sz w:val="18"/>
                <w:szCs w:val="18"/>
              </w:rPr>
              <w:t xml:space="preserve"> (3)</w:t>
            </w:r>
          </w:p>
        </w:tc>
        <w:tc>
          <w:tcPr>
            <w:tcW w:w="992" w:type="dxa"/>
            <w:hideMark/>
          </w:tcPr>
          <w:p w14:paraId="10814283" w14:textId="2837844A"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283</w:t>
            </w:r>
            <w:r w:rsidR="00B50901" w:rsidRPr="00B40A93">
              <w:rPr>
                <w:rFonts w:ascii="Calibri" w:hAnsi="Calibri" w:cs="Calibri"/>
                <w:color w:val="000000"/>
                <w:sz w:val="18"/>
                <w:szCs w:val="18"/>
              </w:rPr>
              <w:t xml:space="preserve"> (2-10)</w:t>
            </w:r>
          </w:p>
        </w:tc>
        <w:tc>
          <w:tcPr>
            <w:tcW w:w="709" w:type="dxa"/>
            <w:hideMark/>
          </w:tcPr>
          <w:p w14:paraId="49E155CF"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Y</w:t>
            </w:r>
          </w:p>
        </w:tc>
        <w:tc>
          <w:tcPr>
            <w:tcW w:w="1134" w:type="dxa"/>
            <w:hideMark/>
          </w:tcPr>
          <w:p w14:paraId="64A5C535"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pRBC (xeno) pRBC (feline)</w:t>
            </w:r>
          </w:p>
        </w:tc>
        <w:tc>
          <w:tcPr>
            <w:tcW w:w="992" w:type="dxa"/>
            <w:hideMark/>
          </w:tcPr>
          <w:p w14:paraId="468B6862"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and NG</w:t>
            </w:r>
          </w:p>
        </w:tc>
        <w:tc>
          <w:tcPr>
            <w:tcW w:w="1418" w:type="dxa"/>
            <w:hideMark/>
          </w:tcPr>
          <w:p w14:paraId="6D30412E"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22</w:t>
            </w:r>
          </w:p>
        </w:tc>
        <w:tc>
          <w:tcPr>
            <w:tcW w:w="1134" w:type="dxa"/>
            <w:hideMark/>
          </w:tcPr>
          <w:p w14:paraId="6F4169C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Euthanasia</w:t>
            </w:r>
          </w:p>
        </w:tc>
      </w:tr>
      <w:tr w:rsidR="001E1CD9" w:rsidRPr="00B40A93" w14:paraId="0AA4F8B6" w14:textId="77777777" w:rsidTr="00BE380C">
        <w:trPr>
          <w:trHeight w:val="520"/>
        </w:trPr>
        <w:tc>
          <w:tcPr>
            <w:tcW w:w="568" w:type="dxa"/>
            <w:hideMark/>
          </w:tcPr>
          <w:p w14:paraId="5834FEC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8</w:t>
            </w:r>
          </w:p>
        </w:tc>
        <w:tc>
          <w:tcPr>
            <w:tcW w:w="992" w:type="dxa"/>
            <w:hideMark/>
          </w:tcPr>
          <w:p w14:paraId="041DFDA5"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42</w:t>
            </w:r>
          </w:p>
        </w:tc>
        <w:tc>
          <w:tcPr>
            <w:tcW w:w="709" w:type="dxa"/>
            <w:hideMark/>
          </w:tcPr>
          <w:p w14:paraId="0D985A0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FN</w:t>
            </w:r>
          </w:p>
        </w:tc>
        <w:tc>
          <w:tcPr>
            <w:tcW w:w="850" w:type="dxa"/>
            <w:hideMark/>
          </w:tcPr>
          <w:p w14:paraId="28C21256"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DSH</w:t>
            </w:r>
          </w:p>
        </w:tc>
        <w:tc>
          <w:tcPr>
            <w:tcW w:w="851" w:type="dxa"/>
            <w:hideMark/>
          </w:tcPr>
          <w:p w14:paraId="384640A3"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7</w:t>
            </w:r>
          </w:p>
        </w:tc>
        <w:tc>
          <w:tcPr>
            <w:tcW w:w="567" w:type="dxa"/>
            <w:hideMark/>
          </w:tcPr>
          <w:p w14:paraId="7A2A8D6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n/a</w:t>
            </w:r>
          </w:p>
        </w:tc>
        <w:tc>
          <w:tcPr>
            <w:tcW w:w="850" w:type="dxa"/>
            <w:hideMark/>
          </w:tcPr>
          <w:p w14:paraId="4D804AC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50</w:t>
            </w:r>
          </w:p>
        </w:tc>
        <w:tc>
          <w:tcPr>
            <w:tcW w:w="1134" w:type="dxa"/>
            <w:hideMark/>
          </w:tcPr>
          <w:p w14:paraId="4DC115A6" w14:textId="3A6AACEB"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0.65</w:t>
            </w:r>
            <w:r w:rsidR="00742AFD" w:rsidRPr="00B40A93">
              <w:rPr>
                <w:rFonts w:ascii="Calibri" w:hAnsi="Calibri" w:cs="Calibri"/>
                <w:color w:val="000000"/>
                <w:sz w:val="18"/>
                <w:szCs w:val="18"/>
              </w:rPr>
              <w:t xml:space="preserve"> (1-2.42)</w:t>
            </w:r>
          </w:p>
        </w:tc>
        <w:tc>
          <w:tcPr>
            <w:tcW w:w="993" w:type="dxa"/>
            <w:hideMark/>
          </w:tcPr>
          <w:p w14:paraId="03684FF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13</w:t>
            </w:r>
          </w:p>
        </w:tc>
        <w:tc>
          <w:tcPr>
            <w:tcW w:w="992" w:type="dxa"/>
            <w:hideMark/>
          </w:tcPr>
          <w:p w14:paraId="53D11F62" w14:textId="6D0C1E95"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 xml:space="preserve">399 </w:t>
            </w:r>
            <w:r w:rsidR="00B50901" w:rsidRPr="00B40A93">
              <w:rPr>
                <w:rFonts w:ascii="Calibri" w:hAnsi="Calibri" w:cs="Calibri"/>
                <w:color w:val="000000"/>
                <w:sz w:val="18"/>
                <w:szCs w:val="18"/>
              </w:rPr>
              <w:t xml:space="preserve">(20-100) </w:t>
            </w:r>
            <w:r w:rsidRPr="00B40A93">
              <w:rPr>
                <w:rFonts w:ascii="Calibri" w:hAnsi="Calibri" w:cs="Calibri"/>
                <w:color w:val="000000"/>
                <w:sz w:val="18"/>
                <w:szCs w:val="18"/>
              </w:rPr>
              <w:t>(1)</w:t>
            </w:r>
          </w:p>
        </w:tc>
        <w:tc>
          <w:tcPr>
            <w:tcW w:w="992" w:type="dxa"/>
            <w:hideMark/>
          </w:tcPr>
          <w:p w14:paraId="18ADCC38" w14:textId="6CBBADB6"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7</w:t>
            </w:r>
            <w:r w:rsidR="00B50901" w:rsidRPr="00B40A93">
              <w:rPr>
                <w:rFonts w:ascii="Calibri" w:hAnsi="Calibri" w:cs="Calibri"/>
                <w:color w:val="000000"/>
                <w:sz w:val="18"/>
                <w:szCs w:val="18"/>
              </w:rPr>
              <w:t xml:space="preserve"> (0-15)</w:t>
            </w:r>
          </w:p>
        </w:tc>
        <w:tc>
          <w:tcPr>
            <w:tcW w:w="709" w:type="dxa"/>
            <w:hideMark/>
          </w:tcPr>
          <w:p w14:paraId="5E803D1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w:t>
            </w:r>
          </w:p>
        </w:tc>
        <w:tc>
          <w:tcPr>
            <w:tcW w:w="1134" w:type="dxa"/>
            <w:hideMark/>
          </w:tcPr>
          <w:p w14:paraId="78B540E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N/A</w:t>
            </w:r>
          </w:p>
        </w:tc>
        <w:tc>
          <w:tcPr>
            <w:tcW w:w="992" w:type="dxa"/>
            <w:hideMark/>
          </w:tcPr>
          <w:p w14:paraId="5C889133"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only</w:t>
            </w:r>
          </w:p>
        </w:tc>
        <w:tc>
          <w:tcPr>
            <w:tcW w:w="1418" w:type="dxa"/>
            <w:hideMark/>
          </w:tcPr>
          <w:p w14:paraId="7E3727E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8</w:t>
            </w:r>
          </w:p>
        </w:tc>
        <w:tc>
          <w:tcPr>
            <w:tcW w:w="1134" w:type="dxa"/>
            <w:hideMark/>
          </w:tcPr>
          <w:p w14:paraId="25034CC5"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Discharge</w:t>
            </w:r>
          </w:p>
        </w:tc>
      </w:tr>
      <w:tr w:rsidR="001E1CD9" w:rsidRPr="00B40A93" w14:paraId="1C2B94CF" w14:textId="77777777" w:rsidTr="00BE380C">
        <w:trPr>
          <w:trHeight w:val="459"/>
        </w:trPr>
        <w:tc>
          <w:tcPr>
            <w:tcW w:w="568" w:type="dxa"/>
            <w:hideMark/>
          </w:tcPr>
          <w:p w14:paraId="75E61B1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9</w:t>
            </w:r>
          </w:p>
        </w:tc>
        <w:tc>
          <w:tcPr>
            <w:tcW w:w="992" w:type="dxa"/>
            <w:hideMark/>
          </w:tcPr>
          <w:p w14:paraId="17AAD57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19</w:t>
            </w:r>
          </w:p>
        </w:tc>
        <w:tc>
          <w:tcPr>
            <w:tcW w:w="709" w:type="dxa"/>
            <w:hideMark/>
          </w:tcPr>
          <w:p w14:paraId="0FCC1D6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FN</w:t>
            </w:r>
          </w:p>
        </w:tc>
        <w:tc>
          <w:tcPr>
            <w:tcW w:w="850" w:type="dxa"/>
            <w:hideMark/>
          </w:tcPr>
          <w:p w14:paraId="2490FD3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DSH</w:t>
            </w:r>
          </w:p>
        </w:tc>
        <w:tc>
          <w:tcPr>
            <w:tcW w:w="851" w:type="dxa"/>
            <w:hideMark/>
          </w:tcPr>
          <w:p w14:paraId="694E158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3</w:t>
            </w:r>
          </w:p>
        </w:tc>
        <w:tc>
          <w:tcPr>
            <w:tcW w:w="567" w:type="dxa"/>
            <w:hideMark/>
          </w:tcPr>
          <w:p w14:paraId="739D600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1/9</w:t>
            </w:r>
          </w:p>
        </w:tc>
        <w:tc>
          <w:tcPr>
            <w:tcW w:w="850" w:type="dxa"/>
            <w:hideMark/>
          </w:tcPr>
          <w:p w14:paraId="777A6B12"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55</w:t>
            </w:r>
          </w:p>
        </w:tc>
        <w:tc>
          <w:tcPr>
            <w:tcW w:w="1134" w:type="dxa"/>
            <w:hideMark/>
          </w:tcPr>
          <w:p w14:paraId="2E6A9317" w14:textId="0D931AF2"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w:t>
            </w:r>
            <w:r w:rsidR="00742AFD" w:rsidRPr="00B40A93">
              <w:rPr>
                <w:rFonts w:ascii="Calibri" w:hAnsi="Calibri" w:cs="Calibri"/>
                <w:color w:val="000000"/>
                <w:sz w:val="18"/>
                <w:szCs w:val="18"/>
              </w:rPr>
              <w:t xml:space="preserve"> (1-2.42)</w:t>
            </w:r>
          </w:p>
        </w:tc>
        <w:tc>
          <w:tcPr>
            <w:tcW w:w="993" w:type="dxa"/>
            <w:hideMark/>
          </w:tcPr>
          <w:p w14:paraId="4999B57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10</w:t>
            </w:r>
          </w:p>
        </w:tc>
        <w:tc>
          <w:tcPr>
            <w:tcW w:w="992" w:type="dxa"/>
            <w:hideMark/>
          </w:tcPr>
          <w:p w14:paraId="28D292F5" w14:textId="44EE3CA6"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 xml:space="preserve">130 </w:t>
            </w:r>
            <w:r w:rsidR="00B50901" w:rsidRPr="00B40A93">
              <w:rPr>
                <w:rFonts w:ascii="Calibri" w:hAnsi="Calibri" w:cs="Calibri"/>
                <w:color w:val="000000"/>
                <w:sz w:val="18"/>
                <w:szCs w:val="18"/>
              </w:rPr>
              <w:t xml:space="preserve">(12-130) </w:t>
            </w:r>
            <w:r w:rsidRPr="00B40A93">
              <w:rPr>
                <w:rFonts w:ascii="Calibri" w:hAnsi="Calibri" w:cs="Calibri"/>
                <w:color w:val="000000"/>
                <w:sz w:val="18"/>
                <w:szCs w:val="18"/>
              </w:rPr>
              <w:t>(3)</w:t>
            </w:r>
          </w:p>
        </w:tc>
        <w:tc>
          <w:tcPr>
            <w:tcW w:w="992" w:type="dxa"/>
            <w:hideMark/>
          </w:tcPr>
          <w:p w14:paraId="315C91DA" w14:textId="39505DE2"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w:t>
            </w:r>
            <w:r w:rsidR="00B50901" w:rsidRPr="00B40A93">
              <w:rPr>
                <w:rFonts w:ascii="Calibri" w:hAnsi="Calibri" w:cs="Calibri"/>
                <w:color w:val="000000"/>
                <w:sz w:val="18"/>
                <w:szCs w:val="18"/>
              </w:rPr>
              <w:t xml:space="preserve"> (0-15)</w:t>
            </w:r>
          </w:p>
        </w:tc>
        <w:tc>
          <w:tcPr>
            <w:tcW w:w="709" w:type="dxa"/>
            <w:hideMark/>
          </w:tcPr>
          <w:p w14:paraId="475431A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Y</w:t>
            </w:r>
          </w:p>
        </w:tc>
        <w:tc>
          <w:tcPr>
            <w:tcW w:w="1134" w:type="dxa"/>
            <w:hideMark/>
          </w:tcPr>
          <w:p w14:paraId="0401F59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whole blood (feline)</w:t>
            </w:r>
          </w:p>
        </w:tc>
        <w:tc>
          <w:tcPr>
            <w:tcW w:w="992" w:type="dxa"/>
            <w:hideMark/>
          </w:tcPr>
          <w:p w14:paraId="5A37697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only</w:t>
            </w:r>
          </w:p>
        </w:tc>
        <w:tc>
          <w:tcPr>
            <w:tcW w:w="1418" w:type="dxa"/>
            <w:hideMark/>
          </w:tcPr>
          <w:p w14:paraId="1AD6ACC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9</w:t>
            </w:r>
          </w:p>
        </w:tc>
        <w:tc>
          <w:tcPr>
            <w:tcW w:w="1134" w:type="dxa"/>
            <w:hideMark/>
          </w:tcPr>
          <w:p w14:paraId="38AE923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Discharge</w:t>
            </w:r>
          </w:p>
        </w:tc>
      </w:tr>
      <w:tr w:rsidR="001E1CD9" w:rsidRPr="00B40A93" w14:paraId="523737C1" w14:textId="77777777" w:rsidTr="00BE380C">
        <w:trPr>
          <w:trHeight w:val="588"/>
        </w:trPr>
        <w:tc>
          <w:tcPr>
            <w:tcW w:w="568" w:type="dxa"/>
            <w:hideMark/>
          </w:tcPr>
          <w:p w14:paraId="4EF87A5A"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10</w:t>
            </w:r>
          </w:p>
        </w:tc>
        <w:tc>
          <w:tcPr>
            <w:tcW w:w="992" w:type="dxa"/>
            <w:hideMark/>
          </w:tcPr>
          <w:p w14:paraId="2D7AAE8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138</w:t>
            </w:r>
          </w:p>
        </w:tc>
        <w:tc>
          <w:tcPr>
            <w:tcW w:w="709" w:type="dxa"/>
            <w:hideMark/>
          </w:tcPr>
          <w:p w14:paraId="5686571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FN</w:t>
            </w:r>
          </w:p>
        </w:tc>
        <w:tc>
          <w:tcPr>
            <w:tcW w:w="850" w:type="dxa"/>
            <w:hideMark/>
          </w:tcPr>
          <w:p w14:paraId="7AC81CB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DSH</w:t>
            </w:r>
          </w:p>
        </w:tc>
        <w:tc>
          <w:tcPr>
            <w:tcW w:w="851" w:type="dxa"/>
            <w:hideMark/>
          </w:tcPr>
          <w:p w14:paraId="6A019E7F"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6</w:t>
            </w:r>
          </w:p>
        </w:tc>
        <w:tc>
          <w:tcPr>
            <w:tcW w:w="567" w:type="dxa"/>
            <w:hideMark/>
          </w:tcPr>
          <w:p w14:paraId="5B2A531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2/9</w:t>
            </w:r>
          </w:p>
        </w:tc>
        <w:tc>
          <w:tcPr>
            <w:tcW w:w="850" w:type="dxa"/>
            <w:hideMark/>
          </w:tcPr>
          <w:p w14:paraId="01C1805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39</w:t>
            </w:r>
          </w:p>
        </w:tc>
        <w:tc>
          <w:tcPr>
            <w:tcW w:w="1134" w:type="dxa"/>
            <w:hideMark/>
          </w:tcPr>
          <w:p w14:paraId="7765D9FA" w14:textId="71174C8C"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1.03</w:t>
            </w:r>
            <w:r w:rsidR="00742AFD" w:rsidRPr="00B40A93">
              <w:rPr>
                <w:rFonts w:ascii="Calibri" w:hAnsi="Calibri" w:cs="Calibri"/>
                <w:color w:val="000000"/>
                <w:sz w:val="18"/>
                <w:szCs w:val="18"/>
              </w:rPr>
              <w:t xml:space="preserve"> (1-2.42)</w:t>
            </w:r>
          </w:p>
        </w:tc>
        <w:tc>
          <w:tcPr>
            <w:tcW w:w="993" w:type="dxa"/>
            <w:hideMark/>
          </w:tcPr>
          <w:p w14:paraId="1968517F"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18</w:t>
            </w:r>
          </w:p>
        </w:tc>
        <w:tc>
          <w:tcPr>
            <w:tcW w:w="992" w:type="dxa"/>
            <w:hideMark/>
          </w:tcPr>
          <w:p w14:paraId="520B417D" w14:textId="61365C0B"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 xml:space="preserve">281 </w:t>
            </w:r>
            <w:r w:rsidR="00B50901" w:rsidRPr="00B40A93">
              <w:rPr>
                <w:rFonts w:ascii="Calibri" w:hAnsi="Calibri" w:cs="Calibri"/>
                <w:color w:val="000000"/>
                <w:sz w:val="18"/>
                <w:szCs w:val="18"/>
              </w:rPr>
              <w:t xml:space="preserve">(12-130) </w:t>
            </w:r>
            <w:r w:rsidRPr="00B40A93">
              <w:rPr>
                <w:rFonts w:ascii="Calibri" w:hAnsi="Calibri" w:cs="Calibri"/>
                <w:color w:val="000000"/>
                <w:sz w:val="18"/>
                <w:szCs w:val="18"/>
              </w:rPr>
              <w:t>(13)</w:t>
            </w:r>
          </w:p>
        </w:tc>
        <w:tc>
          <w:tcPr>
            <w:tcW w:w="992" w:type="dxa"/>
            <w:hideMark/>
          </w:tcPr>
          <w:p w14:paraId="14DC35C6" w14:textId="3EBF967F"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55</w:t>
            </w:r>
            <w:r w:rsidR="00B50901" w:rsidRPr="00B40A93">
              <w:rPr>
                <w:rFonts w:ascii="Calibri" w:hAnsi="Calibri" w:cs="Calibri"/>
                <w:color w:val="000000"/>
                <w:sz w:val="18"/>
                <w:szCs w:val="18"/>
              </w:rPr>
              <w:t xml:space="preserve"> (0-15)</w:t>
            </w:r>
          </w:p>
        </w:tc>
        <w:tc>
          <w:tcPr>
            <w:tcW w:w="709" w:type="dxa"/>
            <w:hideMark/>
          </w:tcPr>
          <w:p w14:paraId="5F07ACD8"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N</w:t>
            </w:r>
          </w:p>
        </w:tc>
        <w:tc>
          <w:tcPr>
            <w:tcW w:w="1134" w:type="dxa"/>
            <w:hideMark/>
          </w:tcPr>
          <w:p w14:paraId="447EB1F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whole blood (feline)</w:t>
            </w:r>
          </w:p>
        </w:tc>
        <w:tc>
          <w:tcPr>
            <w:tcW w:w="992" w:type="dxa"/>
            <w:hideMark/>
          </w:tcPr>
          <w:p w14:paraId="4B7EF061"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(syringe) NG and O tube</w:t>
            </w:r>
          </w:p>
        </w:tc>
        <w:tc>
          <w:tcPr>
            <w:tcW w:w="1418" w:type="dxa"/>
            <w:hideMark/>
          </w:tcPr>
          <w:p w14:paraId="5FD89F4A"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18</w:t>
            </w:r>
          </w:p>
        </w:tc>
        <w:tc>
          <w:tcPr>
            <w:tcW w:w="1134" w:type="dxa"/>
            <w:hideMark/>
          </w:tcPr>
          <w:p w14:paraId="1463C2D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Discharge</w:t>
            </w:r>
          </w:p>
        </w:tc>
      </w:tr>
      <w:tr w:rsidR="001E1CD9" w:rsidRPr="00B40A93" w14:paraId="07C994FB" w14:textId="77777777" w:rsidTr="00BE380C">
        <w:trPr>
          <w:trHeight w:val="780"/>
        </w:trPr>
        <w:tc>
          <w:tcPr>
            <w:tcW w:w="568" w:type="dxa"/>
            <w:hideMark/>
          </w:tcPr>
          <w:p w14:paraId="2B62CC0B"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11</w:t>
            </w:r>
          </w:p>
        </w:tc>
        <w:tc>
          <w:tcPr>
            <w:tcW w:w="992" w:type="dxa"/>
            <w:hideMark/>
          </w:tcPr>
          <w:p w14:paraId="083A8F2D"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115</w:t>
            </w:r>
          </w:p>
        </w:tc>
        <w:tc>
          <w:tcPr>
            <w:tcW w:w="709" w:type="dxa"/>
            <w:hideMark/>
          </w:tcPr>
          <w:p w14:paraId="49936845"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FN</w:t>
            </w:r>
          </w:p>
        </w:tc>
        <w:tc>
          <w:tcPr>
            <w:tcW w:w="850" w:type="dxa"/>
            <w:hideMark/>
          </w:tcPr>
          <w:p w14:paraId="3713FE6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Russian Blue</w:t>
            </w:r>
          </w:p>
        </w:tc>
        <w:tc>
          <w:tcPr>
            <w:tcW w:w="851" w:type="dxa"/>
            <w:hideMark/>
          </w:tcPr>
          <w:p w14:paraId="15128484"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6</w:t>
            </w:r>
          </w:p>
        </w:tc>
        <w:tc>
          <w:tcPr>
            <w:tcW w:w="567" w:type="dxa"/>
            <w:hideMark/>
          </w:tcPr>
          <w:p w14:paraId="0272750D"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1/9</w:t>
            </w:r>
          </w:p>
        </w:tc>
        <w:tc>
          <w:tcPr>
            <w:tcW w:w="850" w:type="dxa"/>
            <w:hideMark/>
          </w:tcPr>
          <w:p w14:paraId="7C0136EE"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54</w:t>
            </w:r>
          </w:p>
        </w:tc>
        <w:tc>
          <w:tcPr>
            <w:tcW w:w="1134" w:type="dxa"/>
            <w:hideMark/>
          </w:tcPr>
          <w:p w14:paraId="55A5460B" w14:textId="37AA9DF8"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1.82</w:t>
            </w:r>
            <w:r w:rsidR="000078CC" w:rsidRPr="00B40A93">
              <w:rPr>
                <w:rFonts w:ascii="Calibri" w:hAnsi="Calibri" w:cs="Calibri"/>
                <w:color w:val="000000"/>
                <w:sz w:val="18"/>
                <w:szCs w:val="18"/>
              </w:rPr>
              <w:t xml:space="preserve"> (1.1-2.74)</w:t>
            </w:r>
          </w:p>
        </w:tc>
        <w:tc>
          <w:tcPr>
            <w:tcW w:w="993" w:type="dxa"/>
            <w:hideMark/>
          </w:tcPr>
          <w:p w14:paraId="407CEF09"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20</w:t>
            </w:r>
          </w:p>
        </w:tc>
        <w:tc>
          <w:tcPr>
            <w:tcW w:w="992" w:type="dxa"/>
            <w:hideMark/>
          </w:tcPr>
          <w:p w14:paraId="13EAFA59" w14:textId="2F899B4F"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&gt;1000</w:t>
            </w:r>
            <w:r w:rsidR="00B50901" w:rsidRPr="00B40A93">
              <w:rPr>
                <w:rFonts w:ascii="Calibri" w:hAnsi="Calibri" w:cs="Calibri"/>
                <w:color w:val="000000"/>
                <w:sz w:val="18"/>
                <w:szCs w:val="18"/>
              </w:rPr>
              <w:t xml:space="preserve"> (12-130)</w:t>
            </w:r>
            <w:r w:rsidRPr="00B40A93">
              <w:rPr>
                <w:rFonts w:ascii="Calibri" w:hAnsi="Calibri" w:cs="Calibri"/>
                <w:color w:val="000000"/>
                <w:sz w:val="18"/>
                <w:szCs w:val="18"/>
              </w:rPr>
              <w:t xml:space="preserve"> (1)</w:t>
            </w:r>
          </w:p>
        </w:tc>
        <w:tc>
          <w:tcPr>
            <w:tcW w:w="992" w:type="dxa"/>
            <w:hideMark/>
          </w:tcPr>
          <w:p w14:paraId="3892E626" w14:textId="44AC4226"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60</w:t>
            </w:r>
            <w:r w:rsidR="00B50901" w:rsidRPr="00B40A93">
              <w:rPr>
                <w:rFonts w:ascii="Calibri" w:hAnsi="Calibri" w:cs="Calibri"/>
                <w:color w:val="000000"/>
                <w:sz w:val="18"/>
                <w:szCs w:val="18"/>
              </w:rPr>
              <w:t xml:space="preserve"> (</w:t>
            </w:r>
            <w:r w:rsidR="00D31F91" w:rsidRPr="00B40A93">
              <w:rPr>
                <w:rFonts w:ascii="Calibri" w:hAnsi="Calibri" w:cs="Calibri"/>
                <w:color w:val="000000"/>
                <w:sz w:val="18"/>
                <w:szCs w:val="18"/>
              </w:rPr>
              <w:t>2-10)</w:t>
            </w:r>
          </w:p>
        </w:tc>
        <w:tc>
          <w:tcPr>
            <w:tcW w:w="709" w:type="dxa"/>
            <w:hideMark/>
          </w:tcPr>
          <w:p w14:paraId="76941405"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Y</w:t>
            </w:r>
          </w:p>
        </w:tc>
        <w:tc>
          <w:tcPr>
            <w:tcW w:w="1134" w:type="dxa"/>
            <w:hideMark/>
          </w:tcPr>
          <w:p w14:paraId="29D10A5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Feline pRBC</w:t>
            </w:r>
          </w:p>
        </w:tc>
        <w:tc>
          <w:tcPr>
            <w:tcW w:w="992" w:type="dxa"/>
            <w:hideMark/>
          </w:tcPr>
          <w:p w14:paraId="53857AB3"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Oral, O tube and PN</w:t>
            </w:r>
          </w:p>
        </w:tc>
        <w:tc>
          <w:tcPr>
            <w:tcW w:w="1418" w:type="dxa"/>
            <w:hideMark/>
          </w:tcPr>
          <w:p w14:paraId="42C1047C"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11</w:t>
            </w:r>
          </w:p>
        </w:tc>
        <w:tc>
          <w:tcPr>
            <w:tcW w:w="1134" w:type="dxa"/>
            <w:hideMark/>
          </w:tcPr>
          <w:p w14:paraId="01D5F2A0" w14:textId="77777777" w:rsidR="001E1CD9" w:rsidRPr="00B40A93" w:rsidRDefault="001E1CD9" w:rsidP="00BE380C">
            <w:pPr>
              <w:jc w:val="center"/>
              <w:rPr>
                <w:rFonts w:ascii="Calibri" w:hAnsi="Calibri" w:cs="Calibri"/>
                <w:color w:val="000000"/>
                <w:sz w:val="18"/>
                <w:szCs w:val="18"/>
              </w:rPr>
            </w:pPr>
            <w:r w:rsidRPr="00B40A93">
              <w:rPr>
                <w:rFonts w:ascii="Calibri" w:hAnsi="Calibri" w:cs="Calibri"/>
                <w:color w:val="000000"/>
                <w:sz w:val="18"/>
                <w:szCs w:val="18"/>
              </w:rPr>
              <w:t>Euthanasia</w:t>
            </w:r>
          </w:p>
        </w:tc>
      </w:tr>
    </w:tbl>
    <w:p w14:paraId="5B652525" w14:textId="77777777" w:rsidR="001E1CD9" w:rsidRPr="00B40A93" w:rsidRDefault="001E1CD9" w:rsidP="00BE380C">
      <w:pPr>
        <w:spacing w:line="480" w:lineRule="auto"/>
        <w:jc w:val="both"/>
        <w:rPr>
          <w:rFonts w:asciiTheme="minorHAnsi" w:hAnsiTheme="minorHAnsi" w:cstheme="minorHAnsi"/>
          <w:b/>
          <w:bCs/>
          <w:color w:val="000000" w:themeColor="text1"/>
        </w:rPr>
      </w:pPr>
    </w:p>
    <w:p w14:paraId="524EE39C" w14:textId="77777777" w:rsidR="001E1CD9" w:rsidRPr="00B40A93" w:rsidRDefault="001E1CD9" w:rsidP="00BE380C">
      <w:pPr>
        <w:spacing w:line="480" w:lineRule="auto"/>
        <w:rPr>
          <w:rFonts w:asciiTheme="minorHAnsi" w:hAnsiTheme="minorHAnsi" w:cstheme="minorHAnsi"/>
          <w:b/>
          <w:bCs/>
          <w:color w:val="000000" w:themeColor="text1"/>
        </w:rPr>
      </w:pPr>
      <w:r w:rsidRPr="00B40A93">
        <w:rPr>
          <w:rFonts w:asciiTheme="minorHAnsi" w:hAnsiTheme="minorHAnsi" w:cstheme="minorHAnsi"/>
          <w:b/>
          <w:bCs/>
          <w:color w:val="000000" w:themeColor="text1"/>
        </w:rPr>
        <w:br w:type="page"/>
      </w:r>
      <w:r w:rsidRPr="00B40A93">
        <w:rPr>
          <w:rFonts w:asciiTheme="minorHAnsi" w:hAnsiTheme="minorHAnsi" w:cstheme="minorHAnsi"/>
          <w:b/>
          <w:bCs/>
          <w:color w:val="000000" w:themeColor="text1"/>
        </w:rPr>
        <w:lastRenderedPageBreak/>
        <w:t>Table 1. Clinicopathological findings</w:t>
      </w:r>
      <w:r w:rsidR="009A56A8" w:rsidRPr="00B40A93">
        <w:rPr>
          <w:rFonts w:asciiTheme="minorHAnsi" w:hAnsiTheme="minorHAnsi" w:cstheme="minorHAnsi"/>
          <w:b/>
          <w:bCs/>
          <w:color w:val="000000" w:themeColor="text1"/>
        </w:rPr>
        <w:t>, management and outcome</w:t>
      </w:r>
    </w:p>
    <w:p w14:paraId="377EA6CC" w14:textId="280C3765" w:rsidR="001E1CD9" w:rsidRPr="00B40A93" w:rsidRDefault="000078CC" w:rsidP="00BE380C">
      <w:pPr>
        <w:spacing w:line="480" w:lineRule="auto"/>
        <w:rPr>
          <w:rFonts w:asciiTheme="minorHAnsi" w:hAnsiTheme="minorHAnsi" w:cstheme="minorHAnsi"/>
          <w:b/>
          <w:bCs/>
          <w:color w:val="000000" w:themeColor="text1"/>
        </w:rPr>
        <w:sectPr w:rsidR="001E1CD9" w:rsidRPr="00B40A93" w:rsidSect="00BE380C">
          <w:pgSz w:w="16838" w:h="11906" w:orient="landscape"/>
          <w:pgMar w:top="1440" w:right="1440" w:bottom="2160" w:left="1440" w:header="709" w:footer="709" w:gutter="0"/>
          <w:lnNumType w:countBy="1" w:restart="continuous"/>
          <w:cols w:space="720"/>
          <w:formProt w:val="0"/>
          <w:docGrid w:linePitch="360" w:charSpace="-6145"/>
        </w:sectPr>
      </w:pPr>
      <w:r w:rsidRPr="00B40A93">
        <w:rPr>
          <w:rFonts w:asciiTheme="minorHAnsi" w:hAnsiTheme="minorHAnsi" w:cstheme="minorHAnsi"/>
          <w:b/>
          <w:bCs/>
          <w:color w:val="000000" w:themeColor="text1"/>
        </w:rPr>
        <w:t xml:space="preserve">RI = reference interval; </w:t>
      </w:r>
      <w:r w:rsidR="001E1CD9" w:rsidRPr="00B40A93">
        <w:rPr>
          <w:rFonts w:asciiTheme="minorHAnsi" w:hAnsiTheme="minorHAnsi" w:cstheme="minorHAnsi"/>
          <w:b/>
          <w:bCs/>
          <w:color w:val="000000" w:themeColor="text1"/>
        </w:rPr>
        <w:t xml:space="preserve">BCS = body condition score; </w:t>
      </w:r>
      <w:r w:rsidR="00E261A8" w:rsidRPr="00B40A93">
        <w:rPr>
          <w:rFonts w:asciiTheme="minorHAnsi" w:hAnsiTheme="minorHAnsi" w:cstheme="minorHAnsi"/>
          <w:b/>
          <w:bCs/>
          <w:color w:val="000000" w:themeColor="text1"/>
        </w:rPr>
        <w:t xml:space="preserve">AKI = acute kidney injury; </w:t>
      </w:r>
      <w:proofErr w:type="spellStart"/>
      <w:r w:rsidR="001E1CD9" w:rsidRPr="00B40A93">
        <w:rPr>
          <w:rFonts w:asciiTheme="minorHAnsi" w:hAnsiTheme="minorHAnsi" w:cstheme="minorHAnsi"/>
          <w:b/>
          <w:bCs/>
          <w:color w:val="000000" w:themeColor="text1"/>
        </w:rPr>
        <w:t>pRBC</w:t>
      </w:r>
      <w:proofErr w:type="spellEnd"/>
      <w:r w:rsidR="001E1CD9" w:rsidRPr="00B40A93">
        <w:rPr>
          <w:rFonts w:asciiTheme="minorHAnsi" w:hAnsiTheme="minorHAnsi" w:cstheme="minorHAnsi"/>
          <w:b/>
          <w:bCs/>
          <w:color w:val="000000" w:themeColor="text1"/>
        </w:rPr>
        <w:t xml:space="preserve"> = packed red blood cells; PN = parenteral nutrition; NG = nasogastric; CPA = cardiopulmonary arrest; </w:t>
      </w:r>
      <w:proofErr w:type="spellStart"/>
      <w:r w:rsidR="001E1CD9" w:rsidRPr="00B40A93">
        <w:rPr>
          <w:rFonts w:asciiTheme="minorHAnsi" w:hAnsiTheme="minorHAnsi" w:cstheme="minorHAnsi"/>
          <w:b/>
          <w:bCs/>
          <w:color w:val="000000" w:themeColor="text1"/>
        </w:rPr>
        <w:t>Xeno</w:t>
      </w:r>
      <w:proofErr w:type="spellEnd"/>
      <w:r w:rsidR="001E1CD9" w:rsidRPr="00B40A93">
        <w:rPr>
          <w:rFonts w:asciiTheme="minorHAnsi" w:hAnsiTheme="minorHAnsi" w:cstheme="minorHAnsi"/>
          <w:b/>
          <w:bCs/>
          <w:color w:val="000000" w:themeColor="text1"/>
        </w:rPr>
        <w:t xml:space="preserve"> = </w:t>
      </w:r>
      <w:proofErr w:type="spellStart"/>
      <w:r w:rsidR="001E1CD9" w:rsidRPr="00B40A93">
        <w:rPr>
          <w:rFonts w:asciiTheme="minorHAnsi" w:hAnsiTheme="minorHAnsi" w:cstheme="minorHAnsi"/>
          <w:b/>
          <w:bCs/>
          <w:color w:val="000000" w:themeColor="text1"/>
        </w:rPr>
        <w:t>xenotransfusion</w:t>
      </w:r>
      <w:proofErr w:type="spellEnd"/>
      <w:r w:rsidR="001E1CD9" w:rsidRPr="00B40A93">
        <w:rPr>
          <w:rFonts w:asciiTheme="minorHAnsi" w:hAnsiTheme="minorHAnsi" w:cstheme="minorHAnsi"/>
          <w:b/>
          <w:bCs/>
          <w:color w:val="000000" w:themeColor="text1"/>
        </w:rPr>
        <w:t xml:space="preserve"> dog to ca</w:t>
      </w:r>
      <w:r w:rsidR="00D31F91" w:rsidRPr="00B40A93">
        <w:rPr>
          <w:rFonts w:asciiTheme="minorHAnsi" w:hAnsiTheme="minorHAnsi" w:cstheme="minorHAnsi"/>
          <w:b/>
          <w:bCs/>
          <w:color w:val="000000" w:themeColor="text1"/>
        </w:rPr>
        <w:t>t</w:t>
      </w:r>
    </w:p>
    <w:tbl>
      <w:tblPr>
        <w:tblStyle w:val="TableGrid1"/>
        <w:tblpPr w:leftFromText="180" w:rightFromText="180" w:vertAnchor="text" w:horzAnchor="margin" w:tblpY="-763"/>
        <w:tblW w:w="16302" w:type="dxa"/>
        <w:tblLook w:val="04A0" w:firstRow="1" w:lastRow="0" w:firstColumn="1" w:lastColumn="0" w:noHBand="0" w:noVBand="1"/>
      </w:tblPr>
      <w:tblGrid>
        <w:gridCol w:w="491"/>
        <w:gridCol w:w="3054"/>
        <w:gridCol w:w="2835"/>
        <w:gridCol w:w="4819"/>
        <w:gridCol w:w="2552"/>
        <w:gridCol w:w="2551"/>
      </w:tblGrid>
      <w:tr w:rsidR="00B3468A" w:rsidRPr="00B40A93" w14:paraId="780B04EB" w14:textId="77777777" w:rsidTr="00B3468A">
        <w:trPr>
          <w:trHeight w:val="300"/>
        </w:trPr>
        <w:tc>
          <w:tcPr>
            <w:tcW w:w="491" w:type="dxa"/>
            <w:hideMark/>
          </w:tcPr>
          <w:p w14:paraId="1FA0A32A" w14:textId="77777777" w:rsidR="00B3468A" w:rsidRPr="00B40A93" w:rsidRDefault="00B3468A" w:rsidP="00B3468A">
            <w:pPr>
              <w:jc w:val="center"/>
              <w:rPr>
                <w:rFonts w:ascii="Calibri" w:hAnsi="Calibri" w:cs="Calibri"/>
                <w:b/>
                <w:bCs/>
                <w:color w:val="000000"/>
                <w:sz w:val="20"/>
                <w:szCs w:val="20"/>
              </w:rPr>
            </w:pPr>
            <w:r w:rsidRPr="00B40A93">
              <w:rPr>
                <w:rFonts w:ascii="Calibri" w:hAnsi="Calibri" w:cs="Calibri"/>
                <w:b/>
                <w:bCs/>
                <w:color w:val="000000"/>
                <w:sz w:val="20"/>
                <w:szCs w:val="20"/>
              </w:rPr>
              <w:lastRenderedPageBreak/>
              <w:t>Cat</w:t>
            </w:r>
          </w:p>
        </w:tc>
        <w:tc>
          <w:tcPr>
            <w:tcW w:w="3054" w:type="dxa"/>
            <w:hideMark/>
          </w:tcPr>
          <w:p w14:paraId="70A04E15" w14:textId="77777777" w:rsidR="00B3468A" w:rsidRPr="00B40A93" w:rsidRDefault="00B3468A" w:rsidP="00B3468A">
            <w:pPr>
              <w:jc w:val="center"/>
              <w:rPr>
                <w:rFonts w:ascii="Calibri" w:hAnsi="Calibri" w:cs="Calibri"/>
                <w:b/>
                <w:bCs/>
                <w:color w:val="000000"/>
                <w:sz w:val="20"/>
                <w:szCs w:val="20"/>
              </w:rPr>
            </w:pPr>
            <w:r w:rsidRPr="00B40A93">
              <w:rPr>
                <w:rFonts w:ascii="Calibri" w:hAnsi="Calibri" w:cs="Calibri"/>
                <w:b/>
                <w:bCs/>
                <w:color w:val="000000"/>
                <w:sz w:val="20"/>
                <w:szCs w:val="20"/>
              </w:rPr>
              <w:t>Cardiovascular</w:t>
            </w:r>
          </w:p>
        </w:tc>
        <w:tc>
          <w:tcPr>
            <w:tcW w:w="2835" w:type="dxa"/>
            <w:hideMark/>
          </w:tcPr>
          <w:p w14:paraId="50E074F0" w14:textId="77777777" w:rsidR="00B3468A" w:rsidRPr="00B40A93" w:rsidRDefault="00B3468A" w:rsidP="00B3468A">
            <w:pPr>
              <w:jc w:val="center"/>
              <w:rPr>
                <w:rFonts w:ascii="Calibri" w:hAnsi="Calibri" w:cs="Calibri"/>
                <w:b/>
                <w:bCs/>
                <w:color w:val="000000"/>
                <w:sz w:val="20"/>
                <w:szCs w:val="20"/>
              </w:rPr>
            </w:pPr>
            <w:r w:rsidRPr="00B40A93">
              <w:rPr>
                <w:rFonts w:ascii="Calibri" w:hAnsi="Calibri" w:cs="Calibri"/>
                <w:b/>
                <w:bCs/>
                <w:color w:val="000000"/>
                <w:sz w:val="20"/>
                <w:szCs w:val="20"/>
              </w:rPr>
              <w:t>Gastrointestinal</w:t>
            </w:r>
          </w:p>
        </w:tc>
        <w:tc>
          <w:tcPr>
            <w:tcW w:w="4819" w:type="dxa"/>
            <w:hideMark/>
          </w:tcPr>
          <w:p w14:paraId="4DF2F806" w14:textId="77777777" w:rsidR="00B3468A" w:rsidRPr="00B40A93" w:rsidRDefault="00B3468A" w:rsidP="00B3468A">
            <w:pPr>
              <w:jc w:val="center"/>
              <w:rPr>
                <w:rFonts w:ascii="Calibri" w:hAnsi="Calibri" w:cs="Calibri"/>
                <w:b/>
                <w:bCs/>
                <w:color w:val="000000"/>
                <w:sz w:val="20"/>
                <w:szCs w:val="20"/>
              </w:rPr>
            </w:pPr>
            <w:r w:rsidRPr="00B40A93">
              <w:rPr>
                <w:rFonts w:ascii="Calibri" w:hAnsi="Calibri" w:cs="Calibri"/>
                <w:b/>
                <w:bCs/>
                <w:color w:val="000000"/>
                <w:sz w:val="20"/>
                <w:szCs w:val="20"/>
              </w:rPr>
              <w:t xml:space="preserve">Neurological </w:t>
            </w:r>
          </w:p>
        </w:tc>
        <w:tc>
          <w:tcPr>
            <w:tcW w:w="2552" w:type="dxa"/>
            <w:hideMark/>
          </w:tcPr>
          <w:p w14:paraId="7D21DA0A" w14:textId="77777777" w:rsidR="00B3468A" w:rsidRPr="00B40A93" w:rsidRDefault="00B3468A" w:rsidP="00B3468A">
            <w:pPr>
              <w:jc w:val="center"/>
              <w:rPr>
                <w:rFonts w:ascii="Calibri" w:hAnsi="Calibri" w:cs="Calibri"/>
                <w:b/>
                <w:bCs/>
                <w:color w:val="000000"/>
                <w:sz w:val="20"/>
                <w:szCs w:val="20"/>
              </w:rPr>
            </w:pPr>
            <w:r w:rsidRPr="00B40A93">
              <w:rPr>
                <w:rFonts w:ascii="Calibri" w:hAnsi="Calibri" w:cs="Calibri"/>
                <w:b/>
                <w:bCs/>
                <w:color w:val="000000"/>
                <w:sz w:val="20"/>
                <w:szCs w:val="20"/>
              </w:rPr>
              <w:t>RBC abnormalities</w:t>
            </w:r>
          </w:p>
        </w:tc>
        <w:tc>
          <w:tcPr>
            <w:tcW w:w="2551" w:type="dxa"/>
            <w:hideMark/>
          </w:tcPr>
          <w:p w14:paraId="16B6A600" w14:textId="77777777" w:rsidR="00B3468A" w:rsidRPr="00B40A93" w:rsidRDefault="00B3468A" w:rsidP="00B3468A">
            <w:pPr>
              <w:jc w:val="center"/>
              <w:rPr>
                <w:rFonts w:ascii="Calibri" w:hAnsi="Calibri" w:cs="Calibri"/>
                <w:b/>
                <w:bCs/>
                <w:color w:val="000000"/>
                <w:sz w:val="20"/>
                <w:szCs w:val="20"/>
              </w:rPr>
            </w:pPr>
            <w:r w:rsidRPr="00B40A93">
              <w:rPr>
                <w:rFonts w:ascii="Calibri" w:hAnsi="Calibri" w:cs="Calibri"/>
                <w:b/>
                <w:bCs/>
                <w:color w:val="000000"/>
                <w:sz w:val="20"/>
                <w:szCs w:val="20"/>
              </w:rPr>
              <w:t>Comorbidities</w:t>
            </w:r>
          </w:p>
        </w:tc>
      </w:tr>
      <w:tr w:rsidR="00B3468A" w:rsidRPr="00B40A93" w14:paraId="1A8E0150" w14:textId="77777777" w:rsidTr="00B3468A">
        <w:trPr>
          <w:trHeight w:val="807"/>
        </w:trPr>
        <w:tc>
          <w:tcPr>
            <w:tcW w:w="491" w:type="dxa"/>
            <w:hideMark/>
          </w:tcPr>
          <w:p w14:paraId="59C8B10B"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1</w:t>
            </w:r>
          </w:p>
        </w:tc>
        <w:tc>
          <w:tcPr>
            <w:tcW w:w="3054" w:type="dxa"/>
            <w:hideMark/>
          </w:tcPr>
          <w:p w14:paraId="033CCEA3"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Hypotension, hypertension, hypovolaemia, ventricular tachycardia, bradycardia, CPA</w:t>
            </w:r>
          </w:p>
        </w:tc>
        <w:tc>
          <w:tcPr>
            <w:tcW w:w="2835" w:type="dxa"/>
            <w:hideMark/>
          </w:tcPr>
          <w:p w14:paraId="4ECFFC4F"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 xml:space="preserve">Inappetence after initial appetence, diarrhoea, vomiting, </w:t>
            </w:r>
          </w:p>
        </w:tc>
        <w:tc>
          <w:tcPr>
            <w:tcW w:w="4819" w:type="dxa"/>
            <w:hideMark/>
          </w:tcPr>
          <w:p w14:paraId="1C0F4C47"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Vision loss, mydriasis.</w:t>
            </w:r>
            <w:r w:rsidRPr="00B40A93">
              <w:rPr>
                <w:rFonts w:ascii="Calibri" w:hAnsi="Calibri" w:cs="Calibri"/>
                <w:color w:val="000000"/>
                <w:sz w:val="20"/>
                <w:szCs w:val="20"/>
              </w:rPr>
              <w:br/>
              <w:t>After refeeding: seizure, obtundation, ataxia, cervical ventroflexion (k</w:t>
            </w:r>
            <w:r w:rsidRPr="00B40A93">
              <w:rPr>
                <w:rFonts w:ascii="Calibri" w:hAnsi="Calibri" w:cs="Calibri"/>
                <w:color w:val="000000"/>
                <w:sz w:val="20"/>
                <w:szCs w:val="20"/>
                <w:vertAlign w:val="superscript"/>
              </w:rPr>
              <w:t>+</w:t>
            </w:r>
            <w:r w:rsidRPr="00B40A93">
              <w:rPr>
                <w:rFonts w:ascii="Calibri" w:hAnsi="Calibri" w:cs="Calibri"/>
                <w:color w:val="000000"/>
                <w:sz w:val="20"/>
                <w:szCs w:val="20"/>
              </w:rPr>
              <w:t xml:space="preserve"> 3.1mmol/L)</w:t>
            </w:r>
          </w:p>
        </w:tc>
        <w:tc>
          <w:tcPr>
            <w:tcW w:w="2552" w:type="dxa"/>
            <w:hideMark/>
          </w:tcPr>
          <w:p w14:paraId="11EE07A7"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Heinz bodies</w:t>
            </w:r>
          </w:p>
        </w:tc>
        <w:tc>
          <w:tcPr>
            <w:tcW w:w="2551" w:type="dxa"/>
            <w:hideMark/>
          </w:tcPr>
          <w:p w14:paraId="73A84C8F"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AKI (IRIS grade 1)</w:t>
            </w:r>
          </w:p>
        </w:tc>
      </w:tr>
      <w:tr w:rsidR="00B3468A" w:rsidRPr="00B40A93" w14:paraId="55BBC628" w14:textId="77777777" w:rsidTr="00B3468A">
        <w:trPr>
          <w:trHeight w:val="582"/>
        </w:trPr>
        <w:tc>
          <w:tcPr>
            <w:tcW w:w="491" w:type="dxa"/>
            <w:hideMark/>
          </w:tcPr>
          <w:p w14:paraId="54D51B2D"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2</w:t>
            </w:r>
          </w:p>
        </w:tc>
        <w:tc>
          <w:tcPr>
            <w:tcW w:w="3054" w:type="dxa"/>
            <w:hideMark/>
          </w:tcPr>
          <w:p w14:paraId="0E806145"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Tachycardia, hypotension</w:t>
            </w:r>
          </w:p>
        </w:tc>
        <w:tc>
          <w:tcPr>
            <w:tcW w:w="2835" w:type="dxa"/>
            <w:hideMark/>
          </w:tcPr>
          <w:p w14:paraId="6E205853"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Inappetence after initial appetence, diarrhoea, melaena</w:t>
            </w:r>
          </w:p>
        </w:tc>
        <w:tc>
          <w:tcPr>
            <w:tcW w:w="4819" w:type="dxa"/>
            <w:hideMark/>
          </w:tcPr>
          <w:p w14:paraId="69E95432"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(owner reported) vision loss.</w:t>
            </w:r>
            <w:r w:rsidRPr="00B40A93">
              <w:rPr>
                <w:rFonts w:ascii="Calibri" w:hAnsi="Calibri" w:cs="Calibri"/>
                <w:color w:val="000000"/>
                <w:sz w:val="20"/>
                <w:szCs w:val="20"/>
              </w:rPr>
              <w:br/>
              <w:t>After refeeding: none</w:t>
            </w:r>
          </w:p>
        </w:tc>
        <w:tc>
          <w:tcPr>
            <w:tcW w:w="2552" w:type="dxa"/>
            <w:hideMark/>
          </w:tcPr>
          <w:p w14:paraId="374FFFAB"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No specific abnormalities detected</w:t>
            </w:r>
          </w:p>
        </w:tc>
        <w:tc>
          <w:tcPr>
            <w:tcW w:w="2551" w:type="dxa"/>
            <w:hideMark/>
          </w:tcPr>
          <w:p w14:paraId="1310267B" w14:textId="77777777" w:rsidR="00B3468A" w:rsidRPr="00B40A93" w:rsidRDefault="00B3468A" w:rsidP="00B3468A">
            <w:pPr>
              <w:jc w:val="center"/>
              <w:rPr>
                <w:rFonts w:ascii="Calibri" w:hAnsi="Calibri" w:cs="Calibri"/>
                <w:color w:val="000000"/>
                <w:sz w:val="20"/>
                <w:szCs w:val="20"/>
              </w:rPr>
            </w:pPr>
          </w:p>
          <w:p w14:paraId="6DA0EA9D"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None</w:t>
            </w:r>
          </w:p>
          <w:p w14:paraId="51557023" w14:textId="77777777" w:rsidR="00B3468A" w:rsidRPr="00B40A93" w:rsidRDefault="00B3468A" w:rsidP="00B3468A">
            <w:pPr>
              <w:rPr>
                <w:rFonts w:ascii="Calibri" w:hAnsi="Calibri" w:cs="Calibri"/>
                <w:sz w:val="20"/>
                <w:szCs w:val="20"/>
              </w:rPr>
            </w:pPr>
          </w:p>
        </w:tc>
      </w:tr>
      <w:tr w:rsidR="00B3468A" w:rsidRPr="00B40A93" w14:paraId="7845E120" w14:textId="77777777" w:rsidTr="00B3468A">
        <w:trPr>
          <w:trHeight w:val="973"/>
        </w:trPr>
        <w:tc>
          <w:tcPr>
            <w:tcW w:w="491" w:type="dxa"/>
            <w:hideMark/>
          </w:tcPr>
          <w:p w14:paraId="1FADC566"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3</w:t>
            </w:r>
          </w:p>
        </w:tc>
        <w:tc>
          <w:tcPr>
            <w:tcW w:w="3054" w:type="dxa"/>
            <w:hideMark/>
          </w:tcPr>
          <w:p w14:paraId="687A9DDD"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Bradycardia</w:t>
            </w:r>
          </w:p>
        </w:tc>
        <w:tc>
          <w:tcPr>
            <w:tcW w:w="2835" w:type="dxa"/>
            <w:hideMark/>
          </w:tcPr>
          <w:p w14:paraId="43070FE3"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Inappetence after initial appetence, vomiting</w:t>
            </w:r>
          </w:p>
        </w:tc>
        <w:tc>
          <w:tcPr>
            <w:tcW w:w="4819" w:type="dxa"/>
            <w:hideMark/>
          </w:tcPr>
          <w:p w14:paraId="00F940D3"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left head tilt.</w:t>
            </w:r>
            <w:r w:rsidRPr="00B40A93">
              <w:rPr>
                <w:rFonts w:ascii="Calibri" w:hAnsi="Calibri" w:cs="Calibri"/>
                <w:color w:val="000000"/>
                <w:sz w:val="20"/>
                <w:szCs w:val="20"/>
              </w:rPr>
              <w:br/>
              <w:t>After refeeding: Intention tremor, hypermetria, wide-based stance, head pressing</w:t>
            </w:r>
          </w:p>
        </w:tc>
        <w:tc>
          <w:tcPr>
            <w:tcW w:w="2552" w:type="dxa"/>
            <w:hideMark/>
          </w:tcPr>
          <w:p w14:paraId="75388B75"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Haemolysed serum, Heinz bodies, ghost cells, spherocytosis, ISAT positive, Coomb's negative</w:t>
            </w:r>
          </w:p>
        </w:tc>
        <w:tc>
          <w:tcPr>
            <w:tcW w:w="2551" w:type="dxa"/>
            <w:hideMark/>
          </w:tcPr>
          <w:p w14:paraId="154AF92D"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Skin wounds, immune mediated haemolytic anaemia (primary) developed in hospital.</w:t>
            </w:r>
          </w:p>
        </w:tc>
      </w:tr>
      <w:tr w:rsidR="00B3468A" w:rsidRPr="00B40A93" w14:paraId="3B6B73AB" w14:textId="77777777" w:rsidTr="00B3468A">
        <w:trPr>
          <w:trHeight w:val="600"/>
        </w:trPr>
        <w:tc>
          <w:tcPr>
            <w:tcW w:w="491" w:type="dxa"/>
            <w:hideMark/>
          </w:tcPr>
          <w:p w14:paraId="2BDA8828"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4</w:t>
            </w:r>
          </w:p>
        </w:tc>
        <w:tc>
          <w:tcPr>
            <w:tcW w:w="3054" w:type="dxa"/>
            <w:hideMark/>
          </w:tcPr>
          <w:p w14:paraId="79A62000"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Hypotension, bradycardia, CPA</w:t>
            </w:r>
          </w:p>
        </w:tc>
        <w:tc>
          <w:tcPr>
            <w:tcW w:w="2835" w:type="dxa"/>
            <w:hideMark/>
          </w:tcPr>
          <w:p w14:paraId="7526860D"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Vomiting</w:t>
            </w:r>
          </w:p>
        </w:tc>
        <w:tc>
          <w:tcPr>
            <w:tcW w:w="4819" w:type="dxa"/>
            <w:hideMark/>
          </w:tcPr>
          <w:p w14:paraId="61F189D8"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obtundation, vision loss.</w:t>
            </w:r>
            <w:r w:rsidRPr="00B40A93">
              <w:rPr>
                <w:rFonts w:ascii="Calibri" w:hAnsi="Calibri" w:cs="Calibri"/>
                <w:color w:val="000000"/>
                <w:sz w:val="20"/>
                <w:szCs w:val="20"/>
              </w:rPr>
              <w:br/>
              <w:t>After refeeding: obtundation recurred, seizure (post CPA).</w:t>
            </w:r>
          </w:p>
        </w:tc>
        <w:tc>
          <w:tcPr>
            <w:tcW w:w="2552" w:type="dxa"/>
            <w:hideMark/>
          </w:tcPr>
          <w:p w14:paraId="0A421DAE"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Heinz bodies, echinocytosis, ghost cells, macrocytosis</w:t>
            </w:r>
          </w:p>
        </w:tc>
        <w:tc>
          <w:tcPr>
            <w:tcW w:w="2551" w:type="dxa"/>
            <w:hideMark/>
          </w:tcPr>
          <w:p w14:paraId="25795981"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Skin wounds</w:t>
            </w:r>
          </w:p>
        </w:tc>
      </w:tr>
      <w:tr w:rsidR="00B3468A" w:rsidRPr="00B40A93" w14:paraId="5CE49A08" w14:textId="77777777" w:rsidTr="00B3468A">
        <w:trPr>
          <w:trHeight w:val="640"/>
        </w:trPr>
        <w:tc>
          <w:tcPr>
            <w:tcW w:w="491" w:type="dxa"/>
            <w:hideMark/>
          </w:tcPr>
          <w:p w14:paraId="24413DBD"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5</w:t>
            </w:r>
          </w:p>
        </w:tc>
        <w:tc>
          <w:tcPr>
            <w:tcW w:w="3054" w:type="dxa"/>
            <w:hideMark/>
          </w:tcPr>
          <w:p w14:paraId="75EA5499"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Hypertension</w:t>
            </w:r>
          </w:p>
        </w:tc>
        <w:tc>
          <w:tcPr>
            <w:tcW w:w="2835" w:type="dxa"/>
            <w:hideMark/>
          </w:tcPr>
          <w:p w14:paraId="39BC62B9"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Inappetence after initial appetence, diarrhoea</w:t>
            </w:r>
          </w:p>
        </w:tc>
        <w:tc>
          <w:tcPr>
            <w:tcW w:w="4819" w:type="dxa"/>
            <w:hideMark/>
          </w:tcPr>
          <w:p w14:paraId="0B2437D7"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Head tremors.</w:t>
            </w:r>
            <w:r w:rsidRPr="00B40A93">
              <w:rPr>
                <w:rFonts w:ascii="Calibri" w:hAnsi="Calibri" w:cs="Calibri"/>
                <w:color w:val="000000"/>
                <w:sz w:val="20"/>
                <w:szCs w:val="20"/>
              </w:rPr>
              <w:br/>
              <w:t>After refeeding: cervical ventroflexion (K</w:t>
            </w:r>
            <w:r w:rsidRPr="00B40A93">
              <w:rPr>
                <w:rFonts w:ascii="Calibri" w:hAnsi="Calibri" w:cs="Calibri"/>
                <w:color w:val="000000"/>
                <w:sz w:val="20"/>
                <w:szCs w:val="20"/>
                <w:vertAlign w:val="superscript"/>
              </w:rPr>
              <w:t>+</w:t>
            </w:r>
            <w:r w:rsidRPr="00B40A93">
              <w:rPr>
                <w:rFonts w:ascii="Calibri" w:hAnsi="Calibri" w:cs="Calibri"/>
                <w:color w:val="000000"/>
                <w:sz w:val="20"/>
                <w:szCs w:val="20"/>
              </w:rPr>
              <w:t xml:space="preserve"> 3.7 mmol/L), obtundation, vestibular ataxia, nystagmus</w:t>
            </w:r>
          </w:p>
        </w:tc>
        <w:tc>
          <w:tcPr>
            <w:tcW w:w="2552" w:type="dxa"/>
            <w:hideMark/>
          </w:tcPr>
          <w:p w14:paraId="077EE469"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No specific abnormalities detected</w:t>
            </w:r>
          </w:p>
        </w:tc>
        <w:tc>
          <w:tcPr>
            <w:tcW w:w="2551" w:type="dxa"/>
            <w:hideMark/>
          </w:tcPr>
          <w:p w14:paraId="2A0D578E"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AKI (IRIS grade 1)</w:t>
            </w:r>
          </w:p>
        </w:tc>
      </w:tr>
      <w:tr w:rsidR="00B3468A" w:rsidRPr="00B40A93" w14:paraId="253E39A5" w14:textId="77777777" w:rsidTr="00B3468A">
        <w:trPr>
          <w:trHeight w:val="600"/>
        </w:trPr>
        <w:tc>
          <w:tcPr>
            <w:tcW w:w="491" w:type="dxa"/>
            <w:hideMark/>
          </w:tcPr>
          <w:p w14:paraId="48F60EA1"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6</w:t>
            </w:r>
          </w:p>
        </w:tc>
        <w:tc>
          <w:tcPr>
            <w:tcW w:w="3054" w:type="dxa"/>
            <w:hideMark/>
          </w:tcPr>
          <w:p w14:paraId="229C1BA5"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Bradycardia</w:t>
            </w:r>
          </w:p>
        </w:tc>
        <w:tc>
          <w:tcPr>
            <w:tcW w:w="2835" w:type="dxa"/>
            <w:hideMark/>
          </w:tcPr>
          <w:p w14:paraId="59DD44A8"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Inappetence after initial appetence, diarrhoea</w:t>
            </w:r>
          </w:p>
        </w:tc>
        <w:tc>
          <w:tcPr>
            <w:tcW w:w="4819" w:type="dxa"/>
            <w:hideMark/>
          </w:tcPr>
          <w:p w14:paraId="189FD852"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loss of vision, mydriasis.</w:t>
            </w:r>
            <w:r w:rsidRPr="00B40A93">
              <w:rPr>
                <w:rFonts w:ascii="Calibri" w:hAnsi="Calibri" w:cs="Calibri"/>
                <w:color w:val="000000"/>
                <w:sz w:val="20"/>
                <w:szCs w:val="20"/>
              </w:rPr>
              <w:br/>
              <w:t>After refeeding: none</w:t>
            </w:r>
          </w:p>
        </w:tc>
        <w:tc>
          <w:tcPr>
            <w:tcW w:w="2552" w:type="dxa"/>
            <w:hideMark/>
          </w:tcPr>
          <w:p w14:paraId="473A7BDC"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Haemolysed serum, macrocytosis, Heinz bodies</w:t>
            </w:r>
          </w:p>
        </w:tc>
        <w:tc>
          <w:tcPr>
            <w:tcW w:w="2551" w:type="dxa"/>
            <w:hideMark/>
          </w:tcPr>
          <w:p w14:paraId="29AE77FF"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None</w:t>
            </w:r>
          </w:p>
        </w:tc>
      </w:tr>
      <w:tr w:rsidR="00B3468A" w:rsidRPr="00B40A93" w14:paraId="1FC440B8" w14:textId="77777777" w:rsidTr="00B3468A">
        <w:trPr>
          <w:trHeight w:val="699"/>
        </w:trPr>
        <w:tc>
          <w:tcPr>
            <w:tcW w:w="491" w:type="dxa"/>
            <w:hideMark/>
          </w:tcPr>
          <w:p w14:paraId="5F3637C5"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7</w:t>
            </w:r>
          </w:p>
        </w:tc>
        <w:tc>
          <w:tcPr>
            <w:tcW w:w="3054" w:type="dxa"/>
            <w:hideMark/>
          </w:tcPr>
          <w:p w14:paraId="3E066FAF"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Intermittent ventricular premature complexes</w:t>
            </w:r>
          </w:p>
        </w:tc>
        <w:tc>
          <w:tcPr>
            <w:tcW w:w="2835" w:type="dxa"/>
            <w:hideMark/>
          </w:tcPr>
          <w:p w14:paraId="17F774BA"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Inappetence after initial appetence, vomiting</w:t>
            </w:r>
          </w:p>
        </w:tc>
        <w:tc>
          <w:tcPr>
            <w:tcW w:w="4819" w:type="dxa"/>
            <w:hideMark/>
          </w:tcPr>
          <w:p w14:paraId="0B45C97B"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 xml:space="preserve"> Before refeeding: cervical ventroflexion (K</w:t>
            </w:r>
            <w:r w:rsidRPr="00B40A93">
              <w:rPr>
                <w:rFonts w:ascii="Calibri" w:hAnsi="Calibri" w:cs="Calibri"/>
                <w:color w:val="000000"/>
                <w:sz w:val="20"/>
                <w:szCs w:val="20"/>
                <w:vertAlign w:val="superscript"/>
              </w:rPr>
              <w:t>+</w:t>
            </w:r>
            <w:r w:rsidRPr="00B40A93">
              <w:rPr>
                <w:rFonts w:ascii="Calibri" w:hAnsi="Calibri" w:cs="Calibri"/>
                <w:color w:val="000000"/>
                <w:sz w:val="20"/>
                <w:szCs w:val="20"/>
              </w:rPr>
              <w:t xml:space="preserve"> 3.2 mmol/L).</w:t>
            </w:r>
            <w:r w:rsidRPr="00B40A93">
              <w:rPr>
                <w:rFonts w:ascii="Calibri" w:hAnsi="Calibri" w:cs="Calibri"/>
                <w:color w:val="000000"/>
                <w:sz w:val="20"/>
                <w:szCs w:val="20"/>
              </w:rPr>
              <w:br/>
              <w:t>After refeeding: Intention tremors, seizure, stupor</w:t>
            </w:r>
          </w:p>
        </w:tc>
        <w:tc>
          <w:tcPr>
            <w:tcW w:w="2552" w:type="dxa"/>
            <w:hideMark/>
          </w:tcPr>
          <w:p w14:paraId="0F4F3938"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Macrocytosis, basophilic stippling, Heinz bodies, elliptocytosis</w:t>
            </w:r>
          </w:p>
        </w:tc>
        <w:tc>
          <w:tcPr>
            <w:tcW w:w="2551" w:type="dxa"/>
            <w:hideMark/>
          </w:tcPr>
          <w:p w14:paraId="6D52E265"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Skin wounds, AKI (IRIS grade 1).</w:t>
            </w:r>
          </w:p>
        </w:tc>
      </w:tr>
      <w:tr w:rsidR="00B3468A" w:rsidRPr="00B40A93" w14:paraId="0D9CCA95" w14:textId="77777777" w:rsidTr="00B3468A">
        <w:trPr>
          <w:trHeight w:val="600"/>
        </w:trPr>
        <w:tc>
          <w:tcPr>
            <w:tcW w:w="491" w:type="dxa"/>
            <w:hideMark/>
          </w:tcPr>
          <w:p w14:paraId="46F3886B"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8</w:t>
            </w:r>
          </w:p>
        </w:tc>
        <w:tc>
          <w:tcPr>
            <w:tcW w:w="3054" w:type="dxa"/>
            <w:hideMark/>
          </w:tcPr>
          <w:p w14:paraId="07C545D8"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Tachycardia</w:t>
            </w:r>
          </w:p>
        </w:tc>
        <w:tc>
          <w:tcPr>
            <w:tcW w:w="2835" w:type="dxa"/>
            <w:hideMark/>
          </w:tcPr>
          <w:p w14:paraId="36152232"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Inappetence after initial appetence</w:t>
            </w:r>
          </w:p>
        </w:tc>
        <w:tc>
          <w:tcPr>
            <w:tcW w:w="4819" w:type="dxa"/>
            <w:hideMark/>
          </w:tcPr>
          <w:p w14:paraId="63CDB0E1"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none</w:t>
            </w:r>
            <w:r w:rsidRPr="00B40A93">
              <w:rPr>
                <w:rFonts w:ascii="Calibri" w:hAnsi="Calibri" w:cs="Calibri"/>
                <w:color w:val="000000"/>
                <w:sz w:val="20"/>
                <w:szCs w:val="20"/>
              </w:rPr>
              <w:br/>
              <w:t>After refeeding: none</w:t>
            </w:r>
          </w:p>
        </w:tc>
        <w:tc>
          <w:tcPr>
            <w:tcW w:w="2552" w:type="dxa"/>
            <w:hideMark/>
          </w:tcPr>
          <w:p w14:paraId="650783F9"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No external haematology performed</w:t>
            </w:r>
          </w:p>
        </w:tc>
        <w:tc>
          <w:tcPr>
            <w:tcW w:w="2551" w:type="dxa"/>
            <w:hideMark/>
          </w:tcPr>
          <w:p w14:paraId="6C5ED84C"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None</w:t>
            </w:r>
          </w:p>
        </w:tc>
      </w:tr>
      <w:tr w:rsidR="00B3468A" w:rsidRPr="00B40A93" w14:paraId="22A2C950" w14:textId="77777777" w:rsidTr="00B3468A">
        <w:trPr>
          <w:trHeight w:val="600"/>
        </w:trPr>
        <w:tc>
          <w:tcPr>
            <w:tcW w:w="491" w:type="dxa"/>
            <w:hideMark/>
          </w:tcPr>
          <w:p w14:paraId="53146A0E"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9</w:t>
            </w:r>
          </w:p>
        </w:tc>
        <w:tc>
          <w:tcPr>
            <w:tcW w:w="3054" w:type="dxa"/>
            <w:hideMark/>
          </w:tcPr>
          <w:p w14:paraId="51357034"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Bradycardia, hypotension, hypovolaemia</w:t>
            </w:r>
          </w:p>
        </w:tc>
        <w:tc>
          <w:tcPr>
            <w:tcW w:w="2835" w:type="dxa"/>
            <w:hideMark/>
          </w:tcPr>
          <w:p w14:paraId="0A1E61EC"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Melaena</w:t>
            </w:r>
          </w:p>
        </w:tc>
        <w:tc>
          <w:tcPr>
            <w:tcW w:w="4819" w:type="dxa"/>
            <w:hideMark/>
          </w:tcPr>
          <w:p w14:paraId="4A9F44D8"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none.</w:t>
            </w:r>
            <w:r w:rsidRPr="00B40A93">
              <w:rPr>
                <w:rFonts w:ascii="Calibri" w:hAnsi="Calibri" w:cs="Calibri"/>
                <w:color w:val="000000"/>
                <w:sz w:val="20"/>
                <w:szCs w:val="20"/>
              </w:rPr>
              <w:br/>
              <w:t>After refeeding: hyperaesthesia, cerebellar ataxia</w:t>
            </w:r>
          </w:p>
        </w:tc>
        <w:tc>
          <w:tcPr>
            <w:tcW w:w="2552" w:type="dxa"/>
            <w:hideMark/>
          </w:tcPr>
          <w:p w14:paraId="5B20EF74"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No external haematology performed</w:t>
            </w:r>
          </w:p>
        </w:tc>
        <w:tc>
          <w:tcPr>
            <w:tcW w:w="2551" w:type="dxa"/>
            <w:hideMark/>
          </w:tcPr>
          <w:p w14:paraId="198F1EF1"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Skin wounds, AKI (IRIS grade 1)</w:t>
            </w:r>
          </w:p>
        </w:tc>
      </w:tr>
      <w:tr w:rsidR="00B3468A" w:rsidRPr="00B40A93" w14:paraId="037B951D" w14:textId="77777777" w:rsidTr="00B3468A">
        <w:trPr>
          <w:trHeight w:val="900"/>
        </w:trPr>
        <w:tc>
          <w:tcPr>
            <w:tcW w:w="491" w:type="dxa"/>
            <w:hideMark/>
          </w:tcPr>
          <w:p w14:paraId="5A11B9A8"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10</w:t>
            </w:r>
          </w:p>
        </w:tc>
        <w:tc>
          <w:tcPr>
            <w:tcW w:w="3054" w:type="dxa"/>
            <w:hideMark/>
          </w:tcPr>
          <w:p w14:paraId="750C59B0"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Hypotension, tachycardia</w:t>
            </w:r>
          </w:p>
        </w:tc>
        <w:tc>
          <w:tcPr>
            <w:tcW w:w="2835" w:type="dxa"/>
            <w:hideMark/>
          </w:tcPr>
          <w:p w14:paraId="75D9B835"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Inappetence after initial appetence, diarrhoea, hypersalivation</w:t>
            </w:r>
          </w:p>
        </w:tc>
        <w:tc>
          <w:tcPr>
            <w:tcW w:w="4819" w:type="dxa"/>
            <w:hideMark/>
          </w:tcPr>
          <w:p w14:paraId="3C7CD273"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none.</w:t>
            </w:r>
            <w:r w:rsidRPr="00B40A93">
              <w:rPr>
                <w:rFonts w:ascii="Calibri" w:hAnsi="Calibri" w:cs="Calibri"/>
                <w:color w:val="000000"/>
                <w:sz w:val="20"/>
                <w:szCs w:val="20"/>
              </w:rPr>
              <w:br/>
              <w:t>After refeeding: Intention tremors, ataxia (uncharacterised), cervical ventroflexion (K</w:t>
            </w:r>
            <w:r w:rsidRPr="00B40A93">
              <w:rPr>
                <w:rFonts w:ascii="Calibri" w:hAnsi="Calibri" w:cs="Calibri"/>
                <w:color w:val="000000"/>
                <w:sz w:val="20"/>
                <w:szCs w:val="20"/>
                <w:vertAlign w:val="superscript"/>
              </w:rPr>
              <w:t>+</w:t>
            </w:r>
            <w:r w:rsidRPr="00B40A93">
              <w:rPr>
                <w:rFonts w:ascii="Calibri" w:hAnsi="Calibri" w:cs="Calibri"/>
                <w:color w:val="000000"/>
                <w:sz w:val="20"/>
                <w:szCs w:val="20"/>
              </w:rPr>
              <w:t xml:space="preserve"> 3mmol/L)</w:t>
            </w:r>
          </w:p>
        </w:tc>
        <w:tc>
          <w:tcPr>
            <w:tcW w:w="2552" w:type="dxa"/>
            <w:hideMark/>
          </w:tcPr>
          <w:p w14:paraId="1BA24FBC"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No specific abnormalities detected</w:t>
            </w:r>
          </w:p>
        </w:tc>
        <w:tc>
          <w:tcPr>
            <w:tcW w:w="2551" w:type="dxa"/>
            <w:hideMark/>
          </w:tcPr>
          <w:p w14:paraId="3CD99D7D"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AKI (IRIS grade 1), O-tube site infection, hepatic lipidosis on FNA</w:t>
            </w:r>
          </w:p>
        </w:tc>
      </w:tr>
      <w:tr w:rsidR="00B3468A" w:rsidRPr="00B40A93" w14:paraId="63718009" w14:textId="77777777" w:rsidTr="00B3468A">
        <w:trPr>
          <w:trHeight w:val="1124"/>
        </w:trPr>
        <w:tc>
          <w:tcPr>
            <w:tcW w:w="491" w:type="dxa"/>
            <w:hideMark/>
          </w:tcPr>
          <w:p w14:paraId="37141EB3"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11</w:t>
            </w:r>
          </w:p>
        </w:tc>
        <w:tc>
          <w:tcPr>
            <w:tcW w:w="3054" w:type="dxa"/>
            <w:hideMark/>
          </w:tcPr>
          <w:p w14:paraId="19EA9677"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Hypotension, bradycardia, hypertension, systolic dysfunction, ventricular premature complexes, ST segment elevation</w:t>
            </w:r>
          </w:p>
        </w:tc>
        <w:tc>
          <w:tcPr>
            <w:tcW w:w="2835" w:type="dxa"/>
            <w:hideMark/>
          </w:tcPr>
          <w:p w14:paraId="579B1A1D"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Melaena, inappetence after initial appetence, gastrointestinal stasis, regurgitation</w:t>
            </w:r>
          </w:p>
        </w:tc>
        <w:tc>
          <w:tcPr>
            <w:tcW w:w="4819" w:type="dxa"/>
            <w:hideMark/>
          </w:tcPr>
          <w:p w14:paraId="74459DED"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Before refeeding: none.</w:t>
            </w:r>
            <w:r w:rsidRPr="00B40A93">
              <w:rPr>
                <w:rFonts w:ascii="Calibri" w:hAnsi="Calibri" w:cs="Calibri"/>
                <w:color w:val="000000"/>
                <w:sz w:val="20"/>
                <w:szCs w:val="20"/>
              </w:rPr>
              <w:br/>
              <w:t>After refeeding: obtundation progressing to coma, hypoventilation</w:t>
            </w:r>
          </w:p>
        </w:tc>
        <w:tc>
          <w:tcPr>
            <w:tcW w:w="2552" w:type="dxa"/>
            <w:hideMark/>
          </w:tcPr>
          <w:p w14:paraId="2DC893AC"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Echinocytosis, elliptocytosis</w:t>
            </w:r>
          </w:p>
        </w:tc>
        <w:tc>
          <w:tcPr>
            <w:tcW w:w="2551" w:type="dxa"/>
            <w:hideMark/>
          </w:tcPr>
          <w:p w14:paraId="02D5E9A8" w14:textId="77777777" w:rsidR="00B3468A" w:rsidRPr="00B40A93" w:rsidRDefault="00B3468A" w:rsidP="00B3468A">
            <w:pPr>
              <w:jc w:val="center"/>
              <w:rPr>
                <w:rFonts w:ascii="Calibri" w:hAnsi="Calibri" w:cs="Calibri"/>
                <w:color w:val="000000"/>
                <w:sz w:val="20"/>
                <w:szCs w:val="20"/>
              </w:rPr>
            </w:pPr>
            <w:r w:rsidRPr="00B40A93">
              <w:rPr>
                <w:rFonts w:ascii="Calibri" w:hAnsi="Calibri" w:cs="Calibri"/>
                <w:color w:val="000000"/>
                <w:sz w:val="20"/>
                <w:szCs w:val="20"/>
              </w:rPr>
              <w:t>Skin wounds, skull fractures, femoral and pelvic fractures, O-tube site infection. AKI (IRIS grade 1)</w:t>
            </w:r>
          </w:p>
        </w:tc>
      </w:tr>
    </w:tbl>
    <w:p w14:paraId="10D1B2C2" w14:textId="77777777" w:rsidR="001E1CD9" w:rsidRPr="00B40A93" w:rsidRDefault="001E1CD9" w:rsidP="00BE380C">
      <w:pPr>
        <w:jc w:val="both"/>
        <w:rPr>
          <w:rFonts w:asciiTheme="minorHAnsi" w:hAnsiTheme="minorHAnsi" w:cstheme="minorHAnsi"/>
          <w:color w:val="000000" w:themeColor="text1"/>
        </w:rPr>
      </w:pPr>
    </w:p>
    <w:p w14:paraId="7C5A8930"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Table 2. Organ system abnormalities and comorbidities</w:t>
      </w:r>
    </w:p>
    <w:p w14:paraId="384DFD02" w14:textId="77777777" w:rsidR="001E1CD9" w:rsidRPr="00B40A93" w:rsidRDefault="001E1CD9" w:rsidP="00BE380C">
      <w:pPr>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AKI = acute kidney injury; CPA = cardiopulmonary arrest; ISAT = in saline agglutination test</w:t>
      </w:r>
    </w:p>
    <w:p w14:paraId="22F01842" w14:textId="77777777" w:rsidR="001E1CD9" w:rsidRPr="00B40A93" w:rsidRDefault="001E1CD9" w:rsidP="00BE380C">
      <w:pPr>
        <w:jc w:val="both"/>
        <w:rPr>
          <w:rFonts w:asciiTheme="minorHAnsi" w:hAnsiTheme="minorHAnsi" w:cstheme="minorHAnsi"/>
          <w:color w:val="000000" w:themeColor="text1"/>
        </w:rPr>
        <w:sectPr w:rsidR="001E1CD9" w:rsidRPr="00B40A93" w:rsidSect="00BE380C">
          <w:pgSz w:w="16838" w:h="11906" w:orient="landscape"/>
          <w:pgMar w:top="1440" w:right="1440" w:bottom="2160" w:left="1440" w:header="709" w:footer="709" w:gutter="0"/>
          <w:lnNumType w:countBy="1" w:restart="continuous"/>
          <w:cols w:space="720"/>
          <w:formProt w:val="0"/>
          <w:docGrid w:linePitch="360" w:charSpace="-6145"/>
        </w:sectPr>
      </w:pPr>
    </w:p>
    <w:p w14:paraId="6FDF7058"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lastRenderedPageBreak/>
        <w:t>Nutrients</w:t>
      </w:r>
    </w:p>
    <w:p w14:paraId="69E5CE09" w14:textId="3004FF3D"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No cats were </w:t>
      </w:r>
      <w:proofErr w:type="spellStart"/>
      <w:r w:rsidRPr="00B40A93">
        <w:rPr>
          <w:rFonts w:asciiTheme="minorHAnsi" w:hAnsiTheme="minorHAnsi" w:cstheme="minorHAnsi"/>
          <w:color w:val="000000" w:themeColor="text1"/>
        </w:rPr>
        <w:t>hypophosphataemic</w:t>
      </w:r>
      <w:proofErr w:type="spellEnd"/>
      <w:r w:rsidRPr="00B40A93">
        <w:rPr>
          <w:rFonts w:asciiTheme="minorHAnsi" w:hAnsiTheme="minorHAnsi" w:cstheme="minorHAnsi"/>
          <w:color w:val="000000" w:themeColor="text1"/>
        </w:rPr>
        <w:t xml:space="preserve"> on initial </w:t>
      </w:r>
      <w:r w:rsidR="008B0B8D" w:rsidRPr="00B40A93">
        <w:rPr>
          <w:rFonts w:asciiTheme="minorHAnsi" w:hAnsiTheme="minorHAnsi" w:cstheme="minorHAnsi"/>
          <w:color w:val="000000" w:themeColor="text1"/>
        </w:rPr>
        <w:t>evaluation of electrolytes</w:t>
      </w:r>
      <w:r w:rsidRPr="00B40A93">
        <w:rPr>
          <w:rFonts w:asciiTheme="minorHAnsi" w:hAnsiTheme="minorHAnsi" w:cstheme="minorHAnsi"/>
          <w:color w:val="000000" w:themeColor="text1"/>
        </w:rPr>
        <w:t xml:space="preserve">. </w:t>
      </w:r>
      <w:r w:rsidR="000078CC" w:rsidRPr="00B40A93">
        <w:rPr>
          <w:rFonts w:asciiTheme="minorHAnsi" w:hAnsiTheme="minorHAnsi" w:cstheme="minorHAnsi"/>
          <w:color w:val="000000" w:themeColor="text1"/>
        </w:rPr>
        <w:t xml:space="preserve">Eight </w:t>
      </w:r>
      <w:r w:rsidRPr="00B40A93">
        <w:rPr>
          <w:rFonts w:asciiTheme="minorHAnsi" w:hAnsiTheme="minorHAnsi" w:cstheme="minorHAnsi"/>
          <w:color w:val="000000" w:themeColor="text1"/>
        </w:rPr>
        <w:t xml:space="preserve">out of eleven cats </w:t>
      </w:r>
      <w:r w:rsidR="008B0B8D" w:rsidRPr="00B40A93">
        <w:rPr>
          <w:rFonts w:asciiTheme="minorHAnsi" w:hAnsiTheme="minorHAnsi" w:cstheme="minorHAnsi"/>
          <w:color w:val="000000" w:themeColor="text1"/>
        </w:rPr>
        <w:t xml:space="preserve">developed </w:t>
      </w:r>
      <w:proofErr w:type="spellStart"/>
      <w:r w:rsidRPr="00B40A93">
        <w:rPr>
          <w:rFonts w:asciiTheme="minorHAnsi" w:hAnsiTheme="minorHAnsi" w:cstheme="minorHAnsi"/>
          <w:color w:val="000000" w:themeColor="text1"/>
        </w:rPr>
        <w:t>hypophosphataemia</w:t>
      </w:r>
      <w:proofErr w:type="spellEnd"/>
      <w:r w:rsidRPr="00B40A93">
        <w:rPr>
          <w:rFonts w:asciiTheme="minorHAnsi" w:hAnsiTheme="minorHAnsi" w:cstheme="minorHAnsi"/>
          <w:color w:val="000000" w:themeColor="text1"/>
        </w:rPr>
        <w:t xml:space="preserve"> during hospitalisation,</w:t>
      </w:r>
      <w:r w:rsidR="0016105C" w:rsidRPr="00B40A93">
        <w:rPr>
          <w:rFonts w:asciiTheme="minorHAnsi" w:hAnsiTheme="minorHAnsi" w:cstheme="minorHAnsi"/>
          <w:color w:val="000000" w:themeColor="text1"/>
        </w:rPr>
        <w:t xml:space="preserve"> with the lowest phosphorous occurring</w:t>
      </w:r>
      <w:r w:rsidRPr="00B40A93">
        <w:rPr>
          <w:rFonts w:asciiTheme="minorHAnsi" w:hAnsiTheme="minorHAnsi" w:cstheme="minorHAnsi"/>
          <w:color w:val="000000" w:themeColor="text1"/>
        </w:rPr>
        <w:t xml:space="preserve"> a median of 5 (1-13) days following refeeding. The mean delta phosphorous was -47% (± 9) occurring over a median of 1 (0.5-7) days. Phosphorous was supplemented</w:t>
      </w:r>
      <w:r w:rsidR="00E261A8" w:rsidRPr="00B40A93">
        <w:rPr>
          <w:rFonts w:asciiTheme="minorHAnsi" w:hAnsiTheme="minorHAnsi" w:cstheme="minorHAnsi"/>
          <w:color w:val="000000" w:themeColor="text1"/>
        </w:rPr>
        <w:t xml:space="preserve"> intravenously</w:t>
      </w:r>
      <w:r w:rsidRPr="00B40A93">
        <w:rPr>
          <w:rFonts w:asciiTheme="minorHAnsi" w:hAnsiTheme="minorHAnsi" w:cstheme="minorHAnsi"/>
          <w:color w:val="000000" w:themeColor="text1"/>
        </w:rPr>
        <w:t xml:space="preserve"> for a mean of 6 (± 3) days.</w:t>
      </w:r>
    </w:p>
    <w:p w14:paraId="301E2908"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A mean lowest plasma potassium concentration of 2.6 (±0.4) mmol/L, occurred a mean of 7 (±6) days after refeeding and cats were supplemented with potassium</w:t>
      </w:r>
      <w:r w:rsidR="00E261A8" w:rsidRPr="00B40A93">
        <w:rPr>
          <w:rFonts w:asciiTheme="minorHAnsi" w:hAnsiTheme="minorHAnsi" w:cstheme="minorHAnsi"/>
          <w:color w:val="000000" w:themeColor="text1"/>
        </w:rPr>
        <w:t xml:space="preserve"> intravenously</w:t>
      </w:r>
      <w:r w:rsidRPr="00B40A93">
        <w:rPr>
          <w:rFonts w:asciiTheme="minorHAnsi" w:hAnsiTheme="minorHAnsi" w:cstheme="minorHAnsi"/>
          <w:color w:val="000000" w:themeColor="text1"/>
        </w:rPr>
        <w:t xml:space="preserve"> for a median of 7 (4-19) days.</w:t>
      </w:r>
    </w:p>
    <w:p w14:paraId="1018D1C1" w14:textId="13CA4C9C"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Ten out of eleven cats were documented to be hyperglycaemic during hospitalisation, and 7/11 cats were documented to be hypoglycaemic. In those documented hypoglycaemic, all cats received dextrose supplementation for a mean of 3 (±2) days. The highest level of IV glucose supplementation documented was 0.45g/kg/hr for several hours (10% dextrose at a rate of 4.5 ml/kg/h). Sepsis was considered a contributory cause of hypoglycaemia in one case (cat No. 1).</w:t>
      </w:r>
      <w:r w:rsidR="00BC3898" w:rsidRPr="00B40A93">
        <w:rPr>
          <w:rFonts w:asciiTheme="minorHAnsi" w:hAnsiTheme="minorHAnsi" w:cstheme="minorHAnsi"/>
          <w:color w:val="000000" w:themeColor="text1"/>
        </w:rPr>
        <w:t xml:space="preserve"> There was no </w:t>
      </w:r>
      <w:r w:rsidR="008B0B8D" w:rsidRPr="00B40A93">
        <w:rPr>
          <w:rFonts w:asciiTheme="minorHAnsi" w:hAnsiTheme="minorHAnsi" w:cstheme="minorHAnsi"/>
          <w:color w:val="000000" w:themeColor="text1"/>
        </w:rPr>
        <w:t xml:space="preserve">pattern </w:t>
      </w:r>
      <w:r w:rsidR="00BC3898" w:rsidRPr="00B40A93">
        <w:rPr>
          <w:rFonts w:asciiTheme="minorHAnsi" w:hAnsiTheme="minorHAnsi" w:cstheme="minorHAnsi"/>
          <w:color w:val="000000" w:themeColor="text1"/>
        </w:rPr>
        <w:t>in the development or progression of hypo- or hyperglycaemia, and no cats received insulin therapy.</w:t>
      </w:r>
    </w:p>
    <w:p w14:paraId="23339548" w14:textId="4796F82F"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Ten cats received intravenous magnesium supplementation for a mean of 6 (± 3) days. All cats received</w:t>
      </w:r>
      <w:r w:rsidR="00E261A8" w:rsidRPr="00B40A93">
        <w:rPr>
          <w:rFonts w:asciiTheme="minorHAnsi" w:hAnsiTheme="minorHAnsi" w:cstheme="minorHAnsi"/>
          <w:color w:val="000000" w:themeColor="text1"/>
        </w:rPr>
        <w:t xml:space="preserve"> </w:t>
      </w:r>
      <w:r w:rsidRPr="00B40A93">
        <w:rPr>
          <w:rFonts w:asciiTheme="minorHAnsi" w:hAnsiTheme="minorHAnsi" w:cstheme="minorHAnsi"/>
          <w:color w:val="000000" w:themeColor="text1"/>
        </w:rPr>
        <w:t>thiamine supplementation</w:t>
      </w:r>
      <w:r w:rsidR="00E261A8" w:rsidRPr="00B40A93">
        <w:rPr>
          <w:rFonts w:asciiTheme="minorHAnsi" w:hAnsiTheme="minorHAnsi" w:cstheme="minorHAnsi"/>
          <w:color w:val="000000" w:themeColor="text1"/>
        </w:rPr>
        <w:t xml:space="preserve"> </w:t>
      </w:r>
      <w:r w:rsidR="00F21327" w:rsidRPr="00B40A93">
        <w:rPr>
          <w:rFonts w:asciiTheme="minorHAnsi" w:hAnsiTheme="minorHAnsi" w:cstheme="minorHAnsi"/>
          <w:color w:val="000000" w:themeColor="text1"/>
        </w:rPr>
        <w:t>(injectable in 9/11 cases, oral in the remaining 2)</w:t>
      </w:r>
      <w:r w:rsidRPr="00B40A93">
        <w:rPr>
          <w:rFonts w:asciiTheme="minorHAnsi" w:hAnsiTheme="minorHAnsi" w:cstheme="minorHAnsi"/>
          <w:color w:val="000000" w:themeColor="text1"/>
        </w:rPr>
        <w:t xml:space="preserve">. Thiamine supplementation ranged between 25 and 100 mg daily, with a mean length of supplementation of 7 (±4) days. Calcium gluconate was supplemented as a continuous rate infusion for </w:t>
      </w:r>
      <w:r w:rsidR="008B0B8D" w:rsidRPr="00B40A93">
        <w:rPr>
          <w:rFonts w:asciiTheme="minorHAnsi" w:hAnsiTheme="minorHAnsi" w:cstheme="minorHAnsi"/>
          <w:color w:val="000000" w:themeColor="text1"/>
        </w:rPr>
        <w:t xml:space="preserve">3 </w:t>
      </w:r>
      <w:r w:rsidRPr="00B40A93">
        <w:rPr>
          <w:rFonts w:asciiTheme="minorHAnsi" w:hAnsiTheme="minorHAnsi" w:cstheme="minorHAnsi"/>
          <w:color w:val="000000" w:themeColor="text1"/>
        </w:rPr>
        <w:t xml:space="preserve">and </w:t>
      </w:r>
      <w:r w:rsidR="008B0B8D" w:rsidRPr="00B40A93">
        <w:rPr>
          <w:rFonts w:asciiTheme="minorHAnsi" w:hAnsiTheme="minorHAnsi" w:cstheme="minorHAnsi"/>
          <w:color w:val="000000" w:themeColor="text1"/>
        </w:rPr>
        <w:t xml:space="preserve">9 </w:t>
      </w:r>
      <w:r w:rsidRPr="00B40A93">
        <w:rPr>
          <w:rFonts w:asciiTheme="minorHAnsi" w:hAnsiTheme="minorHAnsi" w:cstheme="minorHAnsi"/>
          <w:color w:val="000000" w:themeColor="text1"/>
        </w:rPr>
        <w:t>days in cats 9 and 11, respectively.</w:t>
      </w:r>
    </w:p>
    <w:p w14:paraId="0CF2BF87" w14:textId="77777777" w:rsidR="001E1CD9" w:rsidRPr="00B40A93" w:rsidRDefault="001E1CD9" w:rsidP="00BE380C">
      <w:pPr>
        <w:spacing w:line="480" w:lineRule="auto"/>
        <w:jc w:val="both"/>
        <w:rPr>
          <w:rFonts w:asciiTheme="minorHAnsi" w:hAnsiTheme="minorHAnsi" w:cstheme="minorHAnsi"/>
          <w:color w:val="000000" w:themeColor="text1"/>
        </w:rPr>
      </w:pPr>
    </w:p>
    <w:p w14:paraId="57AA65C0"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Cardiovascular, gastrointestinal and neurological clinical signs</w:t>
      </w:r>
    </w:p>
    <w:p w14:paraId="3F0E4A12" w14:textId="710DFDA1"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lastRenderedPageBreak/>
        <w:t>All cats showed clinical evidence of dysfunction of at least two of the three evaluated organ systems. (</w:t>
      </w:r>
      <w:r w:rsidRPr="00B40A93">
        <w:rPr>
          <w:rFonts w:asciiTheme="minorHAnsi" w:hAnsiTheme="minorHAnsi" w:cstheme="minorHAnsi"/>
          <w:b/>
          <w:bCs/>
          <w:color w:val="000000" w:themeColor="text1"/>
        </w:rPr>
        <w:t>Table 2</w:t>
      </w:r>
      <w:r w:rsidRPr="00B40A93">
        <w:rPr>
          <w:rFonts w:asciiTheme="minorHAnsi" w:hAnsiTheme="minorHAnsi" w:cstheme="minorHAnsi"/>
          <w:color w:val="000000" w:themeColor="text1"/>
        </w:rPr>
        <w:t>). Every cat developed cardiovascular abnormalities, the most frequent being hypotension (n=6). Every cat developed gastrointestinal abnormalities, the most frequent being inappetence after initial appetence (n=9). Six cats displayed neurological deficits prior to refeeding, most frequently vision loss (n=4). Eight of eleven cats displayed new or progressive neurological deficits after refeeding, including mentation changes (n=6) and cerebellar dysfunction (n=4)</w:t>
      </w:r>
      <w:r w:rsidR="0012012A" w:rsidRPr="00B40A93">
        <w:rPr>
          <w:rFonts w:asciiTheme="minorHAnsi" w:hAnsiTheme="minorHAnsi" w:cstheme="minorHAnsi"/>
          <w:color w:val="000000" w:themeColor="text1"/>
        </w:rPr>
        <w:t xml:space="preserve"> (</w:t>
      </w:r>
      <w:r w:rsidR="0012012A" w:rsidRPr="00B40A93">
        <w:rPr>
          <w:rFonts w:asciiTheme="minorHAnsi" w:hAnsiTheme="minorHAnsi" w:cstheme="minorHAnsi"/>
          <w:b/>
          <w:bCs/>
          <w:color w:val="000000" w:themeColor="text1"/>
        </w:rPr>
        <w:t>Table 2</w:t>
      </w:r>
      <w:r w:rsidR="0012012A"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In surviving cats, all neurological clinical signs had resolved or were resolving at discharge.</w:t>
      </w:r>
    </w:p>
    <w:p w14:paraId="223C6DC8" w14:textId="77777777" w:rsidR="001E1CD9" w:rsidRPr="00B40A93" w:rsidRDefault="001E1CD9" w:rsidP="00BE380C">
      <w:pPr>
        <w:spacing w:line="480" w:lineRule="auto"/>
        <w:jc w:val="both"/>
        <w:rPr>
          <w:rFonts w:asciiTheme="minorHAnsi" w:hAnsiTheme="minorHAnsi" w:cstheme="minorHAnsi"/>
          <w:color w:val="000000" w:themeColor="text1"/>
        </w:rPr>
      </w:pPr>
    </w:p>
    <w:p w14:paraId="034C51F3"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Anaemia and haematological findings</w:t>
      </w:r>
    </w:p>
    <w:p w14:paraId="21F084E9"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No cats were anaemic on presentation, with a median (range) PCV of 29 (26-44) %. All cats became anaemic with the lowest PCV documented a mean of 8 (±5) days following refeeding. Heinz bodies were detected in 5/9 cats for which an external haematology was available. Additional red blood cell abnormalities are described in </w:t>
      </w:r>
      <w:r w:rsidRPr="00B40A93">
        <w:rPr>
          <w:rFonts w:asciiTheme="minorHAnsi" w:hAnsiTheme="minorHAnsi" w:cstheme="minorHAnsi"/>
          <w:b/>
          <w:bCs/>
          <w:color w:val="000000" w:themeColor="text1"/>
        </w:rPr>
        <w:t>Table 2</w:t>
      </w:r>
      <w:r w:rsidRPr="00B40A93">
        <w:rPr>
          <w:rFonts w:asciiTheme="minorHAnsi" w:hAnsiTheme="minorHAnsi" w:cstheme="minorHAnsi"/>
          <w:color w:val="000000" w:themeColor="text1"/>
        </w:rPr>
        <w:t xml:space="preserve">. Seven cats required a blood transfusion a mean of 8 (±6) days after refeeding. Four cats received a type specific packed red blood cell transfusion, three cats received type specific whole blood, and one cat received a xenotransfusion in addition to a feline packed red blood cell transfusion. </w:t>
      </w:r>
    </w:p>
    <w:p w14:paraId="2327A9E1" w14:textId="77777777" w:rsidR="001E1CD9" w:rsidRPr="00B40A93" w:rsidRDefault="001E1CD9" w:rsidP="00BE380C">
      <w:pPr>
        <w:spacing w:line="480" w:lineRule="auto"/>
        <w:jc w:val="both"/>
        <w:rPr>
          <w:rFonts w:asciiTheme="minorHAnsi" w:hAnsiTheme="minorHAnsi" w:cstheme="minorHAnsi"/>
          <w:color w:val="000000" w:themeColor="text1"/>
        </w:rPr>
      </w:pPr>
    </w:p>
    <w:p w14:paraId="43ACCEF1"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Comorbidities</w:t>
      </w:r>
    </w:p>
    <w:p w14:paraId="578BC1DA" w14:textId="77777777" w:rsidR="009A56A8"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Table 2 details the comorbidities identified. Skin wounds were present in 5/11 cats. Nine of eleven cats had biochemical (increased ALT activity) evidence of a hepatopathy documented. However, four of these were highest on presentation and </w:t>
      </w:r>
      <w:r w:rsidRPr="00B40A93">
        <w:rPr>
          <w:rFonts w:asciiTheme="minorHAnsi" w:hAnsiTheme="minorHAnsi" w:cstheme="minorHAnsi"/>
          <w:color w:val="000000" w:themeColor="text1"/>
        </w:rPr>
        <w:lastRenderedPageBreak/>
        <w:t xml:space="preserve">five had increased since refeeding. One cat had hepatic lipidosis documented on fine needle aspirate cytology. Six out of 11 cats developed AKI (IRIS stage 1) </w:t>
      </w:r>
      <w:r w:rsidRPr="00B40A93">
        <w:rPr>
          <w:rFonts w:asciiTheme="minorHAnsi" w:hAnsiTheme="minorHAnsi" w:cstheme="minorHAnsi"/>
          <w:noProof/>
          <w:color w:val="000000" w:themeColor="text1"/>
          <w:vertAlign w:val="superscript"/>
        </w:rPr>
        <w:t>13</w:t>
      </w:r>
      <w:r w:rsidRPr="00B40A93">
        <w:rPr>
          <w:rFonts w:asciiTheme="minorHAnsi" w:hAnsiTheme="minorHAnsi" w:cstheme="minorHAnsi"/>
          <w:color w:val="000000" w:themeColor="text1"/>
        </w:rPr>
        <w:t xml:space="preserve"> in hospital.</w:t>
      </w:r>
    </w:p>
    <w:p w14:paraId="27989AEB" w14:textId="77777777" w:rsidR="005D0480" w:rsidRPr="00B40A93" w:rsidRDefault="005D0480" w:rsidP="00BE380C">
      <w:pPr>
        <w:spacing w:line="480" w:lineRule="auto"/>
        <w:jc w:val="both"/>
        <w:rPr>
          <w:rFonts w:asciiTheme="minorHAnsi" w:hAnsiTheme="minorHAnsi" w:cstheme="minorHAnsi"/>
          <w:color w:val="000000" w:themeColor="text1"/>
        </w:rPr>
      </w:pPr>
    </w:p>
    <w:p w14:paraId="247BF13B" w14:textId="77777777" w:rsidR="001E1CD9" w:rsidRPr="00B40A93" w:rsidRDefault="009A56A8" w:rsidP="00BE380C">
      <w:pPr>
        <w:spacing w:line="480" w:lineRule="auto"/>
        <w:jc w:val="both"/>
        <w:rPr>
          <w:rFonts w:asciiTheme="minorHAnsi" w:hAnsiTheme="minorHAnsi" w:cstheme="minorHAnsi"/>
          <w:strike/>
          <w:color w:val="000000" w:themeColor="text1"/>
        </w:rPr>
      </w:pPr>
      <w:r w:rsidRPr="00B40A93">
        <w:rPr>
          <w:rFonts w:asciiTheme="minorHAnsi" w:hAnsiTheme="minorHAnsi" w:cstheme="minorHAnsi"/>
          <w:color w:val="000000" w:themeColor="text1"/>
        </w:rPr>
        <w:t>Blood gas analyses were available for review in 9 cases. When acidaemia or alkalaemia were documented, the most common abnormality was a metabolic alkalosis with alkalaemia in four cats, developing twice on day 2, once on day 3 and once on day 9 after refeeding. Additional blood gas abnormalities identified by the traditional Henderson-</w:t>
      </w:r>
      <w:proofErr w:type="spellStart"/>
      <w:r w:rsidRPr="00B40A93">
        <w:rPr>
          <w:rFonts w:asciiTheme="minorHAnsi" w:hAnsiTheme="minorHAnsi" w:cstheme="minorHAnsi"/>
          <w:color w:val="000000" w:themeColor="text1"/>
        </w:rPr>
        <w:t>Hasselbach</w:t>
      </w:r>
      <w:proofErr w:type="spellEnd"/>
      <w:r w:rsidRPr="00B40A93">
        <w:rPr>
          <w:rFonts w:asciiTheme="minorHAnsi" w:hAnsiTheme="minorHAnsi" w:cstheme="minorHAnsi"/>
          <w:color w:val="000000" w:themeColor="text1"/>
        </w:rPr>
        <w:t xml:space="preserve"> based approach included respiratory acidosis with acidaemia in two cats, metabolic acidosis with acidaemia in two cats, a mixed-origin acidaemia in one cat, and respiratory alkalosis with alkalaemia in one cat.</w:t>
      </w:r>
      <w:r w:rsidR="001E1CD9" w:rsidRPr="00B40A93">
        <w:rPr>
          <w:rFonts w:asciiTheme="minorHAnsi" w:hAnsiTheme="minorHAnsi" w:cstheme="minorHAnsi"/>
          <w:color w:val="000000" w:themeColor="text1"/>
        </w:rPr>
        <w:t xml:space="preserve"> </w:t>
      </w:r>
    </w:p>
    <w:p w14:paraId="41E21F54" w14:textId="77777777" w:rsidR="001E1CD9" w:rsidRPr="00B40A93" w:rsidRDefault="001E1CD9" w:rsidP="00BE380C">
      <w:pPr>
        <w:spacing w:line="480" w:lineRule="auto"/>
        <w:jc w:val="both"/>
        <w:rPr>
          <w:rFonts w:asciiTheme="minorHAnsi" w:hAnsiTheme="minorHAnsi" w:cstheme="minorHAnsi"/>
          <w:color w:val="000000" w:themeColor="text1"/>
        </w:rPr>
      </w:pPr>
    </w:p>
    <w:p w14:paraId="1AD8AA84"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Nutrition</w:t>
      </w:r>
    </w:p>
    <w:p w14:paraId="05124AFF"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All cats ate voluntarily initially, with four cats eating entirely voluntarily throughout hospitalisation. Four cats received additional parenteral nutrition, and four cats were fed by nasogastric or oesophageal feeding tube. (</w:t>
      </w:r>
      <w:r w:rsidRPr="00B40A93">
        <w:rPr>
          <w:rFonts w:asciiTheme="minorHAnsi" w:hAnsiTheme="minorHAnsi" w:cstheme="minorHAnsi"/>
          <w:b/>
          <w:bCs/>
          <w:color w:val="000000" w:themeColor="text1"/>
        </w:rPr>
        <w:t>Table 1</w:t>
      </w:r>
      <w:r w:rsidRPr="00B40A93">
        <w:rPr>
          <w:rFonts w:asciiTheme="minorHAnsi" w:hAnsiTheme="minorHAnsi" w:cstheme="minorHAnsi"/>
          <w:color w:val="000000" w:themeColor="text1"/>
        </w:rPr>
        <w:t>). The median initial caloric target in hospital was 10 (5-40) %. Where delivery of 100% RER was achieved intentionally (n=9), it occurred 13 (±5) days after initial refeeding.</w:t>
      </w:r>
    </w:p>
    <w:p w14:paraId="29D3BF3A" w14:textId="77777777" w:rsidR="001E1CD9" w:rsidRPr="00B40A93" w:rsidRDefault="001E1CD9" w:rsidP="00BE380C">
      <w:pPr>
        <w:spacing w:line="480" w:lineRule="auto"/>
        <w:jc w:val="both"/>
        <w:rPr>
          <w:rFonts w:asciiTheme="minorHAnsi" w:hAnsiTheme="minorHAnsi" w:cstheme="minorHAnsi"/>
          <w:color w:val="000000" w:themeColor="text1"/>
        </w:rPr>
      </w:pPr>
    </w:p>
    <w:p w14:paraId="3B5BDC74"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Outcome</w:t>
      </w:r>
    </w:p>
    <w:p w14:paraId="4E251373"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color w:val="000000" w:themeColor="text1"/>
        </w:rPr>
        <w:t>Eight of 11 cats survived to discharge, one of which underwent CPA with successful return of spontaneous circulation. One cat died and two were euthanased (</w:t>
      </w:r>
      <w:r w:rsidRPr="00B40A93">
        <w:rPr>
          <w:rFonts w:asciiTheme="minorHAnsi" w:hAnsiTheme="minorHAnsi" w:cstheme="minorHAnsi"/>
          <w:b/>
          <w:bCs/>
          <w:color w:val="000000" w:themeColor="text1"/>
        </w:rPr>
        <w:t>Table 1</w:t>
      </w:r>
      <w:r w:rsidRPr="00B40A93">
        <w:rPr>
          <w:rFonts w:asciiTheme="minorHAnsi" w:hAnsiTheme="minorHAnsi" w:cstheme="minorHAnsi"/>
          <w:color w:val="000000" w:themeColor="text1"/>
        </w:rPr>
        <w:t xml:space="preserve">). Euthanasia was performed in both cases due to a protracted course of critical illness and financial considerations after 11 and 22 days in hospital. Surviving patients were hospitalised for a mean of 14 (±4) days. The presence of AKI (P=0.024) was associated </w:t>
      </w:r>
      <w:r w:rsidRPr="00B40A93">
        <w:rPr>
          <w:rFonts w:asciiTheme="minorHAnsi" w:hAnsiTheme="minorHAnsi" w:cstheme="minorHAnsi"/>
          <w:color w:val="000000" w:themeColor="text1"/>
        </w:rPr>
        <w:lastRenderedPageBreak/>
        <w:t xml:space="preserve">with non-survival, and maximum bilirubin concentration was significantly higher in non survivors (P=0.018). ALT concentration (0.497), </w:t>
      </w:r>
      <m:oMath>
        <m:r>
          <m:rPr>
            <m:sty m:val="p"/>
          </m:rPr>
          <w:rPr>
            <w:rFonts w:ascii="Cambria Math" w:hAnsi="Cambria Math" w:cstheme="minorHAnsi"/>
            <w:color w:val="000000" w:themeColor="text1"/>
          </w:rPr>
          <m:t>ΔPhos</m:t>
        </m:r>
      </m:oMath>
      <w:r w:rsidRPr="00B40A93">
        <w:rPr>
          <w:rFonts w:asciiTheme="minorHAnsi" w:hAnsiTheme="minorHAnsi" w:cstheme="minorHAnsi"/>
          <w:color w:val="000000" w:themeColor="text1"/>
        </w:rPr>
        <w:t xml:space="preserve"> (0.678) and </w:t>
      </w:r>
      <m:oMath>
        <m:r>
          <m:rPr>
            <m:sty m:val="p"/>
          </m:rPr>
          <w:rPr>
            <w:rFonts w:ascii="Cambria Math" w:hAnsi="Cambria Math" w:cstheme="minorHAnsi"/>
            <w:color w:val="000000" w:themeColor="text1"/>
          </w:rPr>
          <m:t>ΔNa</m:t>
        </m:r>
      </m:oMath>
      <w:r w:rsidRPr="00B40A93">
        <w:rPr>
          <w:rFonts w:asciiTheme="minorHAnsi" w:hAnsiTheme="minorHAnsi" w:cstheme="minorHAnsi"/>
          <w:color w:val="000000" w:themeColor="text1"/>
        </w:rPr>
        <w:t xml:space="preserve"> (P=0.055) had no association with outcome.</w:t>
      </w:r>
      <w:bookmarkStart w:id="6" w:name="_Toc26013869"/>
    </w:p>
    <w:p w14:paraId="7F67FD4A"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br w:type="page"/>
      </w:r>
    </w:p>
    <w:p w14:paraId="536CE9E8"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b/>
          <w:bCs/>
          <w:color w:val="000000" w:themeColor="text1"/>
        </w:rPr>
        <w:lastRenderedPageBreak/>
        <w:t>Discussion</w:t>
      </w:r>
      <w:bookmarkEnd w:id="6"/>
    </w:p>
    <w:p w14:paraId="14564406" w14:textId="77777777" w:rsidR="001E1CD9" w:rsidRPr="00B40A93" w:rsidRDefault="001E1CD9" w:rsidP="00BE380C">
      <w:pPr>
        <w:pStyle w:val="Heading2"/>
        <w:spacing w:line="480" w:lineRule="auto"/>
        <w:jc w:val="both"/>
        <w:rPr>
          <w:rFonts w:asciiTheme="minorHAnsi" w:hAnsiTheme="minorHAnsi" w:cstheme="minorHAnsi"/>
          <w:color w:val="000000" w:themeColor="text1"/>
          <w:sz w:val="24"/>
          <w:szCs w:val="24"/>
        </w:rPr>
      </w:pPr>
      <w:r w:rsidRPr="00B40A93">
        <w:rPr>
          <w:rFonts w:asciiTheme="minorHAnsi" w:hAnsiTheme="minorHAnsi" w:cstheme="minorHAnsi"/>
          <w:color w:val="000000" w:themeColor="text1"/>
          <w:sz w:val="24"/>
          <w:szCs w:val="24"/>
        </w:rPr>
        <w:t>This study documents the clinicopathological changes in chronically starved, missing cats that developed RS, and management of these cats in primary care and referral practice.</w:t>
      </w:r>
    </w:p>
    <w:p w14:paraId="4C7C4C62" w14:textId="77777777" w:rsidR="001E1CD9" w:rsidRPr="00B40A93" w:rsidRDefault="001E1CD9" w:rsidP="00BE380C">
      <w:pPr>
        <w:spacing w:line="480" w:lineRule="auto"/>
        <w:jc w:val="both"/>
        <w:rPr>
          <w:rFonts w:asciiTheme="minorHAnsi" w:hAnsiTheme="minorHAnsi" w:cstheme="minorHAnsi"/>
          <w:color w:val="000000" w:themeColor="text1"/>
        </w:rPr>
      </w:pPr>
    </w:p>
    <w:p w14:paraId="578B19E7"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Starvation and weight loss</w:t>
      </w:r>
    </w:p>
    <w:p w14:paraId="0E6D85A4" w14:textId="7D8984E6" w:rsidR="001E1CD9" w:rsidRPr="00B40A93" w:rsidRDefault="001E1CD9" w:rsidP="0016105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No case had any previous relevant medical history or underlying disease, being reported </w:t>
      </w:r>
      <w:r w:rsidR="0016105C" w:rsidRPr="00B40A93">
        <w:rPr>
          <w:rFonts w:asciiTheme="minorHAnsi" w:hAnsiTheme="minorHAnsi" w:cstheme="minorHAnsi"/>
          <w:color w:val="000000" w:themeColor="text1"/>
        </w:rPr>
        <w:t>in good health</w:t>
      </w:r>
      <w:r w:rsidRPr="00B40A93">
        <w:rPr>
          <w:rFonts w:asciiTheme="minorHAnsi" w:hAnsiTheme="minorHAnsi" w:cstheme="minorHAnsi"/>
          <w:color w:val="000000" w:themeColor="text1"/>
        </w:rPr>
        <w:t xml:space="preserve"> prior to going missing and having been presumptively starved. However, with regards cat no. 7 which was missing for 2 years, a more complete investigation would have been necessary to completely exclude, for example, an underlying enteropathy as a contributor to chronic malnourishment.</w:t>
      </w:r>
    </w:p>
    <w:p w14:paraId="1AACAC70" w14:textId="77777777" w:rsidR="001E1CD9" w:rsidRPr="00B40A93" w:rsidRDefault="001E1CD9" w:rsidP="0016105C">
      <w:pPr>
        <w:spacing w:line="480" w:lineRule="auto"/>
        <w:jc w:val="both"/>
        <w:rPr>
          <w:rFonts w:asciiTheme="minorHAnsi" w:hAnsiTheme="minorHAnsi" w:cstheme="minorHAnsi"/>
          <w:color w:val="000000" w:themeColor="text1"/>
        </w:rPr>
      </w:pPr>
    </w:p>
    <w:p w14:paraId="6D5FFF94" w14:textId="584B3C94" w:rsidR="001E1CD9" w:rsidRPr="00B40A93" w:rsidRDefault="000155E9" w:rsidP="0016105C">
      <w:pPr>
        <w:spacing w:line="480" w:lineRule="auto"/>
        <w:jc w:val="both"/>
        <w:textAlignment w:val="baseline"/>
        <w:rPr>
          <w:rFonts w:asciiTheme="minorHAnsi" w:hAnsiTheme="minorHAnsi" w:cstheme="minorHAnsi"/>
          <w:color w:val="000000" w:themeColor="text1"/>
          <w:sz w:val="21"/>
          <w:szCs w:val="21"/>
        </w:rPr>
      </w:pPr>
      <w:r w:rsidRPr="00B40A93">
        <w:rPr>
          <w:rFonts w:asciiTheme="minorHAnsi" w:hAnsiTheme="minorHAnsi" w:cstheme="minorHAnsi"/>
          <w:color w:val="000000" w:themeColor="text1"/>
        </w:rPr>
        <w:t>Broadly, p</w:t>
      </w:r>
      <w:r w:rsidR="001E1CD9" w:rsidRPr="00B40A93">
        <w:rPr>
          <w:rFonts w:asciiTheme="minorHAnsi" w:hAnsiTheme="minorHAnsi" w:cstheme="minorHAnsi"/>
          <w:color w:val="000000" w:themeColor="text1"/>
        </w:rPr>
        <w:t xml:space="preserve">rotein catabolism during starvation progresses through three phases: rapid initial depletion, a subsequent </w:t>
      </w:r>
      <w:r w:rsidR="0016105C" w:rsidRPr="00B40A93">
        <w:rPr>
          <w:rFonts w:asciiTheme="minorHAnsi" w:hAnsiTheme="minorHAnsi" w:cstheme="minorHAnsi"/>
          <w:color w:val="000000" w:themeColor="text1"/>
        </w:rPr>
        <w:t>more</w:t>
      </w:r>
      <w:r w:rsidR="001E1CD9" w:rsidRPr="00B40A93">
        <w:rPr>
          <w:rFonts w:asciiTheme="minorHAnsi" w:hAnsiTheme="minorHAnsi" w:cstheme="minorHAnsi"/>
          <w:color w:val="000000" w:themeColor="text1"/>
        </w:rPr>
        <w:t xml:space="preserve"> gradual phase during which lean muscle mass is preserved in favour of fat mobilisation and ketone body production, and a final, pre-terminal rapid depletion of body protein. </w:t>
      </w:r>
      <w:r w:rsidR="0051105E" w:rsidRPr="00B40A93">
        <w:rPr>
          <w:rFonts w:asciiTheme="minorHAnsi" w:hAnsiTheme="minorHAnsi" w:cstheme="minorHAnsi"/>
          <w:color w:val="000000" w:themeColor="text1"/>
        </w:rPr>
        <w:t xml:space="preserve">It is possible that protein catabolism in the cat </w:t>
      </w:r>
      <w:r w:rsidR="00A2476C" w:rsidRPr="00B40A93">
        <w:rPr>
          <w:rFonts w:asciiTheme="minorHAnsi" w:hAnsiTheme="minorHAnsi" w:cstheme="minorHAnsi"/>
          <w:color w:val="000000" w:themeColor="text1"/>
        </w:rPr>
        <w:t>persists at an</w:t>
      </w:r>
      <w:r w:rsidR="0051105E" w:rsidRPr="00B40A93">
        <w:rPr>
          <w:rFonts w:asciiTheme="minorHAnsi" w:hAnsiTheme="minorHAnsi" w:cstheme="minorHAnsi"/>
          <w:color w:val="000000" w:themeColor="text1"/>
        </w:rPr>
        <w:t xml:space="preserve"> accelerated</w:t>
      </w:r>
      <w:r w:rsidR="00A2476C" w:rsidRPr="00B40A93">
        <w:rPr>
          <w:rFonts w:asciiTheme="minorHAnsi" w:hAnsiTheme="minorHAnsi" w:cstheme="minorHAnsi"/>
          <w:color w:val="000000" w:themeColor="text1"/>
        </w:rPr>
        <w:t xml:space="preserve"> rate</w:t>
      </w:r>
      <w:r w:rsidR="0051105E" w:rsidRPr="00B40A93">
        <w:rPr>
          <w:rFonts w:asciiTheme="minorHAnsi" w:hAnsiTheme="minorHAnsi" w:cstheme="minorHAnsi"/>
          <w:color w:val="000000" w:themeColor="text1"/>
        </w:rPr>
        <w:t xml:space="preserve"> </w:t>
      </w:r>
      <w:r w:rsidR="00A2476C" w:rsidRPr="00B40A93">
        <w:rPr>
          <w:rFonts w:asciiTheme="minorHAnsi" w:hAnsiTheme="minorHAnsi" w:cstheme="minorHAnsi"/>
          <w:color w:val="000000" w:themeColor="text1"/>
        </w:rPr>
        <w:t>compared to other species</w:t>
      </w:r>
      <w:r w:rsidR="00C373C1" w:rsidRPr="00B40A93">
        <w:rPr>
          <w:rFonts w:asciiTheme="minorHAnsi" w:hAnsiTheme="minorHAnsi" w:cstheme="minorHAnsi"/>
          <w:color w:val="000000" w:themeColor="text1"/>
        </w:rPr>
        <w:t xml:space="preserve"> </w:t>
      </w:r>
      <w:r w:rsidR="00B145D7" w:rsidRPr="00B40A93">
        <w:rPr>
          <w:rFonts w:asciiTheme="minorHAnsi" w:hAnsiTheme="minorHAnsi" w:cstheme="minorHAnsi"/>
          <w:color w:val="000000" w:themeColor="text1"/>
          <w:vertAlign w:val="superscript"/>
        </w:rPr>
        <w:t>14</w:t>
      </w:r>
      <w:r w:rsidR="00A2476C" w:rsidRPr="00B40A93">
        <w:rPr>
          <w:rFonts w:asciiTheme="minorHAnsi" w:hAnsiTheme="minorHAnsi" w:cstheme="minorHAnsi"/>
          <w:color w:val="000000" w:themeColor="text1"/>
        </w:rPr>
        <w:t xml:space="preserve"> </w:t>
      </w:r>
      <w:r w:rsidR="00C351A3" w:rsidRPr="00B40A93">
        <w:rPr>
          <w:rFonts w:asciiTheme="minorHAnsi" w:hAnsiTheme="minorHAnsi" w:cstheme="minorHAnsi"/>
          <w:color w:val="000000" w:themeColor="text1"/>
        </w:rPr>
        <w:t>although this is disputed</w:t>
      </w:r>
      <w:r w:rsidR="0071724B" w:rsidRPr="00B40A93">
        <w:rPr>
          <w:rFonts w:asciiTheme="minorHAnsi" w:hAnsiTheme="minorHAnsi" w:cstheme="minorHAnsi"/>
          <w:color w:val="000000" w:themeColor="text1"/>
        </w:rPr>
        <w:t>.</w:t>
      </w:r>
      <w:r w:rsidR="005471FD" w:rsidRPr="00B40A93">
        <w:rPr>
          <w:rFonts w:asciiTheme="minorHAnsi" w:hAnsiTheme="minorHAnsi" w:cstheme="minorHAnsi"/>
          <w:color w:val="000000" w:themeColor="text1"/>
        </w:rPr>
        <w:t xml:space="preserve"> </w:t>
      </w:r>
      <w:r w:rsidR="00B145D7" w:rsidRPr="00B40A93">
        <w:rPr>
          <w:rFonts w:asciiTheme="minorHAnsi" w:hAnsiTheme="minorHAnsi" w:cstheme="minorHAnsi"/>
          <w:color w:val="000000" w:themeColor="text1"/>
          <w:vertAlign w:val="superscript"/>
        </w:rPr>
        <w:t>15</w:t>
      </w:r>
      <w:r w:rsidR="0051105E" w:rsidRPr="00B40A93">
        <w:rPr>
          <w:rFonts w:asciiTheme="minorHAnsi" w:hAnsiTheme="minorHAnsi" w:cstheme="minorHAnsi"/>
          <w:color w:val="000000" w:themeColor="text1"/>
        </w:rPr>
        <w:t xml:space="preserve"> </w:t>
      </w:r>
      <w:r w:rsidR="00A2476C" w:rsidRPr="00B40A93">
        <w:rPr>
          <w:rFonts w:asciiTheme="minorHAnsi" w:hAnsiTheme="minorHAnsi" w:cstheme="minorHAnsi"/>
          <w:color w:val="000000" w:themeColor="text1"/>
        </w:rPr>
        <w:t>Nonetheless, t</w:t>
      </w:r>
      <w:r w:rsidR="001E1CD9" w:rsidRPr="00B40A93">
        <w:rPr>
          <w:rFonts w:asciiTheme="minorHAnsi" w:hAnsiTheme="minorHAnsi" w:cstheme="minorHAnsi"/>
          <w:color w:val="000000" w:themeColor="text1"/>
        </w:rPr>
        <w:t>here appears to be a ‘point of no return’ after which a complete recovery is not possible, usually during or after the second wave of protein catabolism. Death is likely to occur when protein loss reaches 50% of normal</w:t>
      </w:r>
      <w:r w:rsidR="0071724B" w:rsidRPr="00B40A93">
        <w:rPr>
          <w:rFonts w:asciiTheme="minorHAnsi" w:hAnsiTheme="minorHAnsi" w:cstheme="minorHAnsi"/>
          <w:color w:val="000000" w:themeColor="text1"/>
        </w:rPr>
        <w:t>.</w:t>
      </w:r>
      <w:r w:rsidR="001E1CD9" w:rsidRPr="00B40A93">
        <w:rPr>
          <w:rFonts w:asciiTheme="minorHAnsi" w:hAnsiTheme="minorHAnsi" w:cstheme="minorHAnsi"/>
          <w:color w:val="000000" w:themeColor="text1"/>
        </w:rPr>
        <w:t xml:space="preserve"> </w:t>
      </w:r>
      <w:r w:rsidR="001E1CD9" w:rsidRPr="00B40A93">
        <w:rPr>
          <w:rFonts w:asciiTheme="minorHAnsi" w:hAnsiTheme="minorHAnsi" w:cstheme="minorHAnsi"/>
          <w:noProof/>
          <w:color w:val="000000" w:themeColor="text1"/>
          <w:vertAlign w:val="superscript"/>
        </w:rPr>
        <w:t>1</w:t>
      </w:r>
      <w:r w:rsidR="00D13983" w:rsidRPr="00B40A93">
        <w:rPr>
          <w:rFonts w:asciiTheme="minorHAnsi" w:hAnsiTheme="minorHAnsi" w:cstheme="minorHAnsi"/>
          <w:noProof/>
          <w:color w:val="000000" w:themeColor="text1"/>
          <w:vertAlign w:val="superscript"/>
        </w:rPr>
        <w:t>6</w:t>
      </w:r>
      <w:r w:rsidR="001E1CD9" w:rsidRPr="00B40A93">
        <w:rPr>
          <w:rFonts w:asciiTheme="minorHAnsi" w:hAnsiTheme="minorHAnsi" w:cstheme="minorHAnsi"/>
          <w:color w:val="000000" w:themeColor="text1"/>
        </w:rPr>
        <w:t xml:space="preserve"> Three of 11 cats in this study had lost over 50% of their body weight, two of which survived to discharge; it appears that cats can survive after 50% weight loss.</w:t>
      </w:r>
    </w:p>
    <w:p w14:paraId="16DCC821" w14:textId="77777777" w:rsidR="001E1CD9" w:rsidRPr="00B40A93" w:rsidRDefault="001E1CD9" w:rsidP="0016105C">
      <w:pPr>
        <w:pStyle w:val="Heading2"/>
        <w:spacing w:line="480" w:lineRule="auto"/>
        <w:jc w:val="both"/>
        <w:rPr>
          <w:rFonts w:asciiTheme="minorHAnsi" w:hAnsiTheme="minorHAnsi" w:cstheme="minorHAnsi"/>
          <w:color w:val="000000" w:themeColor="text1"/>
          <w:sz w:val="24"/>
          <w:szCs w:val="24"/>
        </w:rPr>
      </w:pPr>
    </w:p>
    <w:p w14:paraId="2EF65B1A" w14:textId="77777777" w:rsidR="001E1CD9" w:rsidRPr="00B40A93" w:rsidRDefault="001E1CD9" w:rsidP="0016105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Phosphorous</w:t>
      </w:r>
    </w:p>
    <w:p w14:paraId="3C11C85E" w14:textId="4BB7B5FE" w:rsidR="001E1CD9" w:rsidRPr="00B40A93" w:rsidRDefault="001E1CD9" w:rsidP="0016105C">
      <w:pPr>
        <w:autoSpaceDE w:val="0"/>
        <w:autoSpaceDN w:val="0"/>
        <w:adjustRightInd w:val="0"/>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lastRenderedPageBreak/>
        <w:t>Degree of malnutrition has been correlated with severity of hypophosphataemia in people. In this same study</w:t>
      </w:r>
      <w:r w:rsidRPr="00B40A93">
        <w:rPr>
          <w:rFonts w:asciiTheme="minorHAnsi" w:eastAsia="Calibri" w:hAnsiTheme="minorHAnsi" w:cstheme="minorHAnsi"/>
          <w:color w:val="000000" w:themeColor="text1"/>
        </w:rPr>
        <w:t xml:space="preserve"> </w:t>
      </w:r>
      <w:r w:rsidRPr="00B40A93">
        <w:rPr>
          <w:rFonts w:asciiTheme="minorHAnsi" w:hAnsiTheme="minorHAnsi" w:cstheme="minorHAnsi"/>
          <w:color w:val="000000" w:themeColor="text1"/>
        </w:rPr>
        <w:t>81% of the anorexia nervosa (AN) patients monitored during refeeding developed their phosphorous nadir within the first week, but for some the nadir occurred as late as 14 or 20 days into hospitalisation</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1</w:t>
      </w:r>
      <w:r w:rsidR="00D13983" w:rsidRPr="00B40A93">
        <w:rPr>
          <w:rFonts w:asciiTheme="minorHAnsi" w:hAnsiTheme="minorHAnsi" w:cstheme="minorHAnsi"/>
          <w:noProof/>
          <w:color w:val="000000" w:themeColor="text1"/>
          <w:vertAlign w:val="superscript"/>
        </w:rPr>
        <w:t>7</w:t>
      </w:r>
      <w:r w:rsidRPr="00B40A93">
        <w:rPr>
          <w:rFonts w:asciiTheme="minorHAnsi" w:hAnsiTheme="minorHAnsi" w:cstheme="minorHAnsi"/>
          <w:color w:val="000000" w:themeColor="text1"/>
        </w:rPr>
        <w:t xml:space="preserve"> A delta phosphorus decrease of </w:t>
      </w:r>
      <w:r w:rsidR="00BE380C"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30% or more in this current study was deemed significant based on previous use, and similar absolute or relative reductions utilised for diagnostic purposes</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1</w:t>
      </w:r>
      <w:r w:rsidR="00D13983" w:rsidRPr="00B40A93">
        <w:rPr>
          <w:rFonts w:asciiTheme="minorHAnsi" w:hAnsiTheme="minorHAnsi" w:cstheme="minorHAnsi"/>
          <w:noProof/>
          <w:color w:val="000000" w:themeColor="text1"/>
          <w:vertAlign w:val="superscript"/>
        </w:rPr>
        <w:t>8</w:t>
      </w:r>
      <w:r w:rsidRPr="00B40A93">
        <w:rPr>
          <w:rFonts w:asciiTheme="minorHAnsi" w:hAnsiTheme="minorHAnsi" w:cstheme="minorHAnsi"/>
          <w:noProof/>
          <w:color w:val="000000" w:themeColor="text1"/>
          <w:vertAlign w:val="superscript"/>
        </w:rPr>
        <w:t>, 1</w:t>
      </w:r>
      <w:r w:rsidR="00D13983" w:rsidRPr="00B40A93">
        <w:rPr>
          <w:rFonts w:asciiTheme="minorHAnsi" w:hAnsiTheme="minorHAnsi" w:cstheme="minorHAnsi"/>
          <w:noProof/>
          <w:color w:val="000000" w:themeColor="text1"/>
          <w:vertAlign w:val="superscript"/>
        </w:rPr>
        <w:t>9</w:t>
      </w:r>
      <w:r w:rsidRPr="00B40A93">
        <w:rPr>
          <w:rFonts w:asciiTheme="minorHAnsi" w:hAnsiTheme="minorHAnsi" w:cstheme="minorHAnsi"/>
          <w:color w:val="000000" w:themeColor="text1"/>
        </w:rPr>
        <w:t xml:space="preserve"> The timescale to lowest phosphorous after refeeding was 5 (1-13) days, suggesting that hypophosphataemia may develop acutely</w:t>
      </w:r>
      <w:r w:rsidR="00BE380C" w:rsidRPr="00B40A93">
        <w:rPr>
          <w:rFonts w:asciiTheme="minorHAnsi" w:hAnsiTheme="minorHAnsi" w:cstheme="minorHAnsi"/>
          <w:color w:val="000000" w:themeColor="text1"/>
        </w:rPr>
        <w:t xml:space="preserve"> or</w:t>
      </w:r>
      <w:r w:rsidRPr="00B40A93">
        <w:rPr>
          <w:rFonts w:asciiTheme="minorHAnsi" w:hAnsiTheme="minorHAnsi" w:cstheme="minorHAnsi"/>
          <w:color w:val="000000" w:themeColor="text1"/>
        </w:rPr>
        <w:t xml:space="preserve"> l</w:t>
      </w:r>
      <w:r w:rsidR="00BE380C" w:rsidRPr="00B40A93">
        <w:rPr>
          <w:rFonts w:asciiTheme="minorHAnsi" w:hAnsiTheme="minorHAnsi" w:cstheme="minorHAnsi"/>
          <w:color w:val="000000" w:themeColor="text1"/>
        </w:rPr>
        <w:t>ater in hospitalisation,</w:t>
      </w:r>
      <w:r w:rsidRPr="00B40A93">
        <w:rPr>
          <w:rFonts w:asciiTheme="minorHAnsi" w:hAnsiTheme="minorHAnsi" w:cstheme="minorHAnsi"/>
          <w:color w:val="000000" w:themeColor="text1"/>
        </w:rPr>
        <w:t xml:space="preserve"> </w:t>
      </w:r>
      <w:r w:rsidR="00BE380C" w:rsidRPr="00B40A93">
        <w:rPr>
          <w:rFonts w:asciiTheme="minorHAnsi" w:hAnsiTheme="minorHAnsi" w:cstheme="minorHAnsi"/>
          <w:color w:val="000000" w:themeColor="text1"/>
        </w:rPr>
        <w:t>as is</w:t>
      </w:r>
      <w:r w:rsidRPr="00B40A93">
        <w:rPr>
          <w:rFonts w:asciiTheme="minorHAnsi" w:hAnsiTheme="minorHAnsi" w:cstheme="minorHAnsi"/>
          <w:color w:val="000000" w:themeColor="text1"/>
        </w:rPr>
        <w:t xml:space="preserve"> recognised in people. However, it is also possible that renal phosphate loss secondary to intravenous fluid therapy contributed to </w:t>
      </w:r>
      <w:proofErr w:type="spellStart"/>
      <w:r w:rsidRPr="00B40A93">
        <w:rPr>
          <w:rFonts w:asciiTheme="minorHAnsi" w:hAnsiTheme="minorHAnsi" w:cstheme="minorHAnsi"/>
          <w:color w:val="000000" w:themeColor="text1"/>
        </w:rPr>
        <w:t>hypophosphataemia</w:t>
      </w:r>
      <w:proofErr w:type="spellEnd"/>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00D13983" w:rsidRPr="00B40A93">
        <w:rPr>
          <w:rFonts w:asciiTheme="minorHAnsi" w:hAnsiTheme="minorHAnsi" w:cstheme="minorHAnsi"/>
          <w:noProof/>
          <w:color w:val="000000" w:themeColor="text1"/>
          <w:vertAlign w:val="superscript"/>
        </w:rPr>
        <w:t>20</w:t>
      </w:r>
      <w:r w:rsidRPr="00B40A93">
        <w:rPr>
          <w:rFonts w:asciiTheme="minorHAnsi" w:hAnsiTheme="minorHAnsi" w:cstheme="minorHAnsi"/>
          <w:noProof/>
          <w:color w:val="000000" w:themeColor="text1"/>
          <w:vertAlign w:val="superscript"/>
        </w:rPr>
        <w:t xml:space="preserve">, </w:t>
      </w:r>
      <w:r w:rsidR="00D13983" w:rsidRPr="00B40A93">
        <w:rPr>
          <w:rFonts w:asciiTheme="minorHAnsi" w:hAnsiTheme="minorHAnsi" w:cstheme="minorHAnsi"/>
          <w:noProof/>
          <w:color w:val="000000" w:themeColor="text1"/>
          <w:vertAlign w:val="superscript"/>
        </w:rPr>
        <w:t>21</w:t>
      </w:r>
    </w:p>
    <w:p w14:paraId="11408269" w14:textId="77777777" w:rsidR="001E1CD9" w:rsidRPr="00B40A93" w:rsidRDefault="001E1CD9" w:rsidP="00BE380C">
      <w:pPr>
        <w:spacing w:line="480" w:lineRule="auto"/>
        <w:jc w:val="both"/>
        <w:rPr>
          <w:rFonts w:asciiTheme="minorHAnsi" w:hAnsiTheme="minorHAnsi" w:cstheme="minorHAnsi"/>
          <w:color w:val="000000" w:themeColor="text1"/>
        </w:rPr>
      </w:pPr>
    </w:p>
    <w:p w14:paraId="72D7BBD3"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Potassium</w:t>
      </w:r>
    </w:p>
    <w:p w14:paraId="594D8B02" w14:textId="61C45DE1"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Hypokalaemia observed in RS is attributable to transcellular movement superimposed on chronically reduced intake</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2</w:t>
      </w:r>
      <w:r w:rsidRPr="00B40A93">
        <w:rPr>
          <w:rFonts w:asciiTheme="minorHAnsi" w:hAnsiTheme="minorHAnsi" w:cstheme="minorHAnsi"/>
          <w:color w:val="000000" w:themeColor="text1"/>
        </w:rPr>
        <w:t xml:space="preserve"> Hypokalaemia may cause derangements in electrochemical membrane potentials, including delayed ventricular depolarisation, prolongation of action potentials and increased automaticity, potentiating the development and persistence of cardiac arrhythmias of both ventricular and supraventricular origin</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2</w:t>
      </w:r>
      <w:r w:rsidRPr="00B40A93">
        <w:rPr>
          <w:rFonts w:asciiTheme="minorHAnsi" w:hAnsiTheme="minorHAnsi" w:cstheme="minorHAnsi"/>
          <w:color w:val="000000" w:themeColor="text1"/>
        </w:rPr>
        <w:t xml:space="preserve"> All three non-survivors had specific arrhythmias documented in this study, perhaps suggesting an association with illness severity, or that with continuous ECG monitoring of more stable patients, arrhythmias may appear more prevalent in cats with RS.</w:t>
      </w:r>
    </w:p>
    <w:p w14:paraId="0EDAA139" w14:textId="77777777" w:rsidR="001E1CD9" w:rsidRPr="00B40A93" w:rsidRDefault="001E1CD9" w:rsidP="00BE380C">
      <w:pPr>
        <w:spacing w:line="480" w:lineRule="auto"/>
        <w:jc w:val="both"/>
        <w:rPr>
          <w:rFonts w:asciiTheme="minorHAnsi" w:hAnsiTheme="minorHAnsi" w:cstheme="minorHAnsi"/>
          <w:color w:val="000000" w:themeColor="text1"/>
        </w:rPr>
      </w:pPr>
    </w:p>
    <w:p w14:paraId="7467C4D8" w14:textId="3F33D6FF"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lastRenderedPageBreak/>
        <w:t>Cervical ventroflexion can be seen in hypokalaemic cats as a consequence of muscle weakness and the absence of a nuchal ligament. Forelimb hypermetria and a broad-based hindlimb stance are also possible</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2</w:t>
      </w:r>
      <w:r w:rsidRPr="00B40A93">
        <w:rPr>
          <w:rFonts w:asciiTheme="minorHAnsi" w:hAnsiTheme="minorHAnsi" w:cstheme="minorHAnsi"/>
          <w:color w:val="000000" w:themeColor="text1"/>
        </w:rPr>
        <w:t xml:space="preserve"> Three cats in this study displayed cervical ventroflexion despite normal or only marginally low plasma potassium concentration at the time (</w:t>
      </w:r>
      <w:r w:rsidRPr="00B40A93">
        <w:rPr>
          <w:rFonts w:asciiTheme="minorHAnsi" w:hAnsiTheme="minorHAnsi" w:cstheme="minorHAnsi"/>
          <w:b/>
          <w:bCs/>
          <w:color w:val="000000" w:themeColor="text1"/>
        </w:rPr>
        <w:t>Table 2</w:t>
      </w:r>
      <w:r w:rsidRPr="00B40A93">
        <w:rPr>
          <w:rFonts w:asciiTheme="minorHAnsi" w:hAnsiTheme="minorHAnsi" w:cstheme="minorHAnsi"/>
          <w:color w:val="000000" w:themeColor="text1"/>
        </w:rPr>
        <w:t xml:space="preserve">). This was potentially attributable to thiamine deficiency. </w:t>
      </w:r>
    </w:p>
    <w:p w14:paraId="4BF79B10" w14:textId="77777777" w:rsidR="001E1CD9" w:rsidRPr="00B40A93" w:rsidRDefault="001E1CD9" w:rsidP="00BE380C">
      <w:pPr>
        <w:spacing w:line="480" w:lineRule="auto"/>
        <w:jc w:val="both"/>
        <w:rPr>
          <w:rFonts w:asciiTheme="minorHAnsi" w:hAnsiTheme="minorHAnsi" w:cstheme="minorHAnsi"/>
          <w:color w:val="000000" w:themeColor="text1"/>
        </w:rPr>
      </w:pPr>
    </w:p>
    <w:p w14:paraId="750493BE"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Thiamine</w:t>
      </w:r>
    </w:p>
    <w:p w14:paraId="4BA4E58C" w14:textId="1FC5D729"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Thiamine is a key co-enzyme in the metabolism of carbohydrates and supply often becomes deficient after refeeding due to increased cellular demand. The inhibition of carbohydrate metabolism in a thiamine-depleted state can cause energy deficits, neuronal dysfunction and necrosis affecting multiple sites including the oculomotor, vestibular and lateral geniculate nuclei</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3</w:t>
      </w:r>
      <w:r w:rsidRPr="00B40A93">
        <w:rPr>
          <w:rFonts w:asciiTheme="minorHAnsi" w:hAnsiTheme="minorHAnsi" w:cstheme="minorHAnsi"/>
          <w:color w:val="000000" w:themeColor="text1"/>
        </w:rPr>
        <w:t xml:space="preserve"> Reported clinical signs include vestibular ataxia, mentation changes, cervical ventroflexion and mydriasis with absent menace responses, with potential progression to coma and death</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4</w:t>
      </w:r>
      <w:r w:rsidRPr="00B40A93">
        <w:rPr>
          <w:rFonts w:asciiTheme="minorHAnsi" w:hAnsiTheme="minorHAnsi" w:cstheme="minorHAnsi"/>
          <w:color w:val="000000" w:themeColor="text1"/>
        </w:rPr>
        <w:t xml:space="preserve"> This spectrum of neurological deficits was appreciated in the cats of this study (</w:t>
      </w:r>
      <w:r w:rsidRPr="00B40A93">
        <w:rPr>
          <w:rFonts w:asciiTheme="minorHAnsi" w:hAnsiTheme="minorHAnsi" w:cstheme="minorHAnsi"/>
          <w:b/>
          <w:bCs/>
          <w:color w:val="000000" w:themeColor="text1"/>
        </w:rPr>
        <w:t>Table 2</w:t>
      </w:r>
      <w:r w:rsidRPr="00B40A93">
        <w:rPr>
          <w:rFonts w:asciiTheme="minorHAnsi" w:hAnsiTheme="minorHAnsi" w:cstheme="minorHAnsi"/>
          <w:color w:val="000000" w:themeColor="text1"/>
        </w:rPr>
        <w:t>). One cat (Cat No. 7) displayed cervical ventroflexion prior to refeeding, and four cats had apparent vision loss, supporting the notion that starvation without refeeding may result in clinical signs of thiamine deficiency</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3</w:t>
      </w:r>
      <w:r w:rsidRPr="00B40A93">
        <w:rPr>
          <w:rFonts w:asciiTheme="minorHAnsi" w:hAnsiTheme="minorHAnsi" w:cstheme="minorHAnsi"/>
          <w:color w:val="000000" w:themeColor="text1"/>
        </w:rPr>
        <w:t xml:space="preserve"> However, signs are likely to worsen on refeeding without supplementation as suggested by the development of cervical ventroflexion, vestibular signs, or both in six cats.</w:t>
      </w:r>
    </w:p>
    <w:p w14:paraId="1006F9B7" w14:textId="3CE6B162" w:rsidR="001E1CD9" w:rsidRPr="00B40A93" w:rsidRDefault="001E1CD9" w:rsidP="00BE380C">
      <w:pPr>
        <w:autoSpaceDE w:val="0"/>
        <w:autoSpaceDN w:val="0"/>
        <w:adjustRightInd w:val="0"/>
        <w:spacing w:line="480" w:lineRule="auto"/>
        <w:jc w:val="both"/>
        <w:rPr>
          <w:rFonts w:asciiTheme="minorHAnsi" w:eastAsia="Calibri" w:hAnsiTheme="minorHAnsi" w:cstheme="minorHAnsi"/>
        </w:rPr>
      </w:pPr>
      <w:r w:rsidRPr="00B40A93">
        <w:rPr>
          <w:rFonts w:asciiTheme="minorHAnsi" w:hAnsiTheme="minorHAnsi" w:cstheme="minorHAnsi"/>
          <w:color w:val="000000" w:themeColor="text1"/>
        </w:rPr>
        <w:t xml:space="preserve">Absolute confirmation of thiamine deficiency is difficult, so a presumptive diagnosis is often made based on clinical signs and response to supplementation. In this study, all cats were supplemented with thiamine and this is also recommended in AN </w:t>
      </w:r>
      <w:proofErr w:type="gramStart"/>
      <w:r w:rsidRPr="00B40A93">
        <w:rPr>
          <w:rFonts w:asciiTheme="minorHAnsi" w:hAnsiTheme="minorHAnsi" w:cstheme="minorHAnsi"/>
          <w:color w:val="000000" w:themeColor="text1"/>
        </w:rPr>
        <w:t>patients</w:t>
      </w:r>
      <w:proofErr w:type="gramEnd"/>
      <w:r w:rsidRPr="00B40A93">
        <w:rPr>
          <w:rFonts w:asciiTheme="minorHAnsi" w:hAnsiTheme="minorHAnsi" w:cstheme="minorHAnsi"/>
          <w:color w:val="000000" w:themeColor="text1"/>
        </w:rPr>
        <w:t xml:space="preserve"> being refed</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5</w:t>
      </w:r>
    </w:p>
    <w:p w14:paraId="76A68A63" w14:textId="77777777" w:rsidR="001E1CD9" w:rsidRPr="00B40A93" w:rsidRDefault="001E1CD9" w:rsidP="00BE380C">
      <w:pPr>
        <w:spacing w:line="480" w:lineRule="auto"/>
        <w:jc w:val="both"/>
        <w:rPr>
          <w:rFonts w:asciiTheme="minorHAnsi" w:hAnsiTheme="minorHAnsi" w:cstheme="minorHAnsi"/>
          <w:color w:val="000000" w:themeColor="text1"/>
        </w:rPr>
      </w:pPr>
    </w:p>
    <w:p w14:paraId="6E17FEE9"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Glucose</w:t>
      </w:r>
    </w:p>
    <w:p w14:paraId="299B0FBB" w14:textId="1C54C2C8" w:rsidR="001E1CD9" w:rsidRPr="00B40A93" w:rsidRDefault="001E1CD9" w:rsidP="00BE380C">
      <w:pPr>
        <w:autoSpaceDE w:val="0"/>
        <w:autoSpaceDN w:val="0"/>
        <w:adjustRightInd w:val="0"/>
        <w:spacing w:line="480" w:lineRule="auto"/>
        <w:jc w:val="both"/>
        <w:rPr>
          <w:rFonts w:asciiTheme="minorHAnsi" w:eastAsia="Calibri" w:hAnsiTheme="minorHAnsi" w:cstheme="minorHAnsi"/>
          <w:color w:val="241F20"/>
        </w:rPr>
      </w:pPr>
      <w:r w:rsidRPr="00B40A93">
        <w:rPr>
          <w:rFonts w:asciiTheme="minorHAnsi" w:hAnsiTheme="minorHAnsi" w:cstheme="minorHAnsi"/>
          <w:color w:val="000000" w:themeColor="text1"/>
        </w:rPr>
        <w:t>Hyperglycaemia is often referred to but rarely documented in people with RS</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9, 12</w:t>
      </w:r>
      <w:r w:rsidRPr="00B40A93">
        <w:rPr>
          <w:rFonts w:asciiTheme="minorHAnsi" w:hAnsiTheme="minorHAnsi" w:cstheme="minorHAnsi"/>
          <w:color w:val="000000" w:themeColor="text1"/>
        </w:rPr>
        <w:t xml:space="preserve"> Hypophosphataemia has been linked to impaired glucose homeostasis in both hyperglycaemic and normoglycaemic states and this is thought to be a consequence of diminished tissue sensitivity to insulin</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6</w:t>
      </w:r>
      <w:r w:rsidRPr="00B40A93">
        <w:rPr>
          <w:rFonts w:asciiTheme="minorHAnsi" w:hAnsiTheme="minorHAnsi" w:cstheme="minorHAnsi"/>
          <w:color w:val="000000" w:themeColor="text1"/>
        </w:rPr>
        <w:t xml:space="preserve"> Carbohydrate provision and critical illness may perhaps put cats at greater risk of hyperglycaemia</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7</w:t>
      </w:r>
      <w:r w:rsidRPr="00B40A93">
        <w:rPr>
          <w:rFonts w:asciiTheme="minorHAnsi" w:hAnsiTheme="minorHAnsi" w:cstheme="minorHAnsi"/>
          <w:color w:val="000000" w:themeColor="text1"/>
        </w:rPr>
        <w:t xml:space="preserve"> but both hypoglycaemia and hypoglycaemia are reported </w:t>
      </w:r>
      <w:r w:rsidRPr="00B40A93">
        <w:rPr>
          <w:rFonts w:asciiTheme="minorHAnsi" w:hAnsiTheme="minorHAnsi" w:cstheme="minorHAnsi"/>
          <w:noProof/>
          <w:color w:val="000000" w:themeColor="text1"/>
          <w:vertAlign w:val="superscript"/>
        </w:rPr>
        <w:t>3, 6</w:t>
      </w:r>
      <w:r w:rsidRPr="00B40A93">
        <w:rPr>
          <w:rFonts w:asciiTheme="minorHAnsi" w:hAnsiTheme="minorHAnsi" w:cstheme="minorHAnsi"/>
          <w:color w:val="000000" w:themeColor="text1"/>
        </w:rPr>
        <w:t xml:space="preserve"> and both abnormalities were demonstrated in this study. In people, hypoglycaemia has been reported upon refeeding in 36-44% of AN </w:t>
      </w:r>
      <w:proofErr w:type="gramStart"/>
      <w:r w:rsidRPr="00B40A93">
        <w:rPr>
          <w:rFonts w:asciiTheme="minorHAnsi" w:hAnsiTheme="minorHAnsi" w:cstheme="minorHAnsi"/>
          <w:color w:val="000000" w:themeColor="text1"/>
        </w:rPr>
        <w:t>patients</w:t>
      </w:r>
      <w:proofErr w:type="gramEnd"/>
      <w:r w:rsidRPr="00B40A93">
        <w:rPr>
          <w:rFonts w:asciiTheme="minorHAnsi" w:hAnsiTheme="minorHAnsi" w:cstheme="minorHAnsi"/>
          <w:color w:val="000000" w:themeColor="text1"/>
        </w:rPr>
        <w:t>, with 12% observed to have severe, protracted hypoglycaemia lasting a median of eight days</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9</w:t>
      </w:r>
      <w:r w:rsidRPr="00B40A93">
        <w:rPr>
          <w:rFonts w:asciiTheme="minorHAnsi" w:hAnsiTheme="minorHAnsi" w:cstheme="minorHAnsi"/>
          <w:color w:val="000000" w:themeColor="text1"/>
        </w:rPr>
        <w:t xml:space="preserve"> Likely explanations for persistent hypoglycaemia include excessive insulin secretion, minimal capacity for glycogenolysis or sepsis. Considering the likely hyperinsulinaemia, dextrose restriction and avoidance of dextrose bolus therapy would seem prudent but in the author’s experience this is difficult, and escalation appears very much to perpetuate hypoglycaemia.</w:t>
      </w:r>
    </w:p>
    <w:p w14:paraId="3CB73FBE" w14:textId="77777777" w:rsidR="001E1CD9" w:rsidRPr="00B40A93" w:rsidRDefault="001E1CD9" w:rsidP="00BE380C">
      <w:pPr>
        <w:spacing w:line="480" w:lineRule="auto"/>
        <w:jc w:val="both"/>
        <w:rPr>
          <w:rFonts w:asciiTheme="minorHAnsi" w:hAnsiTheme="minorHAnsi" w:cstheme="minorHAnsi"/>
          <w:color w:val="000000" w:themeColor="text1"/>
        </w:rPr>
      </w:pPr>
    </w:p>
    <w:p w14:paraId="5D152873"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Magnesium</w:t>
      </w:r>
    </w:p>
    <w:p w14:paraId="0FBDA81C" w14:textId="3C2FC31D"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Magnesium deficits are often a consequence of reduced dietary intake with concurrent excessive gastrointestinal or renal losses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8</w:t>
      </w:r>
      <w:r w:rsidRPr="00B40A93">
        <w:rPr>
          <w:rFonts w:asciiTheme="minorHAnsi" w:hAnsiTheme="minorHAnsi" w:cstheme="minorHAnsi"/>
          <w:color w:val="000000" w:themeColor="text1"/>
        </w:rPr>
        <w:t xml:space="preserve"> but they are common in RS due to depleted reserves and a sudden increase in demand for magnesium.</w:t>
      </w:r>
    </w:p>
    <w:p w14:paraId="79E6F5F6" w14:textId="6EEDE3D5" w:rsidR="001E1CD9" w:rsidRPr="00B40A93" w:rsidRDefault="001E1CD9" w:rsidP="00BE380C">
      <w:pPr>
        <w:spacing w:line="480" w:lineRule="auto"/>
        <w:jc w:val="both"/>
        <w:rPr>
          <w:rFonts w:asciiTheme="minorHAnsi" w:hAnsiTheme="minorHAnsi" w:cstheme="minorHAnsi"/>
          <w:strike/>
          <w:color w:val="000000" w:themeColor="text1"/>
        </w:rPr>
      </w:pPr>
      <w:r w:rsidRPr="00B40A93">
        <w:rPr>
          <w:rFonts w:asciiTheme="minorHAnsi" w:hAnsiTheme="minorHAnsi" w:cstheme="minorHAnsi"/>
          <w:color w:val="000000" w:themeColor="text1"/>
        </w:rPr>
        <w:t>In veterinary species hypomagnesaemia can cause ventricular and supraventricular arrhythmias, seizures, and hypertension</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2</w:t>
      </w:r>
      <w:r w:rsidR="00CB4552" w:rsidRPr="00B40A93">
        <w:rPr>
          <w:rFonts w:asciiTheme="minorHAnsi" w:hAnsiTheme="minorHAnsi" w:cstheme="minorHAnsi"/>
          <w:noProof/>
          <w:color w:val="000000" w:themeColor="text1"/>
          <w:vertAlign w:val="superscript"/>
        </w:rPr>
        <w:t>9</w:t>
      </w:r>
      <w:r w:rsidRPr="00B40A93">
        <w:rPr>
          <w:rFonts w:asciiTheme="minorHAnsi" w:hAnsiTheme="minorHAnsi" w:cstheme="minorHAnsi"/>
          <w:color w:val="000000" w:themeColor="text1"/>
        </w:rPr>
        <w:t xml:space="preserve"> In people, severe magnesium deficiency can result in cardiac arrhythmias, anorexia, tremors, seizures, weakness and ataxia</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00CB4552" w:rsidRPr="00B40A93">
        <w:rPr>
          <w:rFonts w:asciiTheme="minorHAnsi" w:hAnsiTheme="minorHAnsi" w:cstheme="minorHAnsi"/>
          <w:noProof/>
          <w:color w:val="000000" w:themeColor="text1"/>
          <w:vertAlign w:val="superscript"/>
        </w:rPr>
        <w:t>30</w:t>
      </w:r>
      <w:r w:rsidRPr="00B40A93">
        <w:rPr>
          <w:rFonts w:asciiTheme="minorHAnsi" w:hAnsiTheme="minorHAnsi" w:cstheme="minorHAnsi"/>
          <w:color w:val="000000" w:themeColor="text1"/>
        </w:rPr>
        <w:t xml:space="preserve"> All of these clinical signs have been observed in the cats in this study, although their </w:t>
      </w:r>
      <w:r w:rsidRPr="00B40A93">
        <w:rPr>
          <w:rFonts w:asciiTheme="minorHAnsi" w:hAnsiTheme="minorHAnsi" w:cstheme="minorHAnsi"/>
          <w:color w:val="000000" w:themeColor="text1"/>
        </w:rPr>
        <w:lastRenderedPageBreak/>
        <w:t>aetiologies are likely multifactorial. Unfortunately, neither total nor ionised magnesium assays were commonly performed in the cats of this study, and interpretation is difficult due to a lack of reference intervals.</w:t>
      </w:r>
    </w:p>
    <w:p w14:paraId="2C76DC9F" w14:textId="77777777" w:rsidR="001E1CD9" w:rsidRPr="00B40A93" w:rsidRDefault="001E1CD9" w:rsidP="00BE380C">
      <w:pPr>
        <w:spacing w:line="480" w:lineRule="auto"/>
        <w:jc w:val="both"/>
        <w:rPr>
          <w:rFonts w:asciiTheme="minorHAnsi" w:hAnsiTheme="minorHAnsi" w:cstheme="minorHAnsi"/>
          <w:color w:val="000000" w:themeColor="text1"/>
        </w:rPr>
      </w:pPr>
    </w:p>
    <w:p w14:paraId="66FA9C25"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Organ dysfunction and comorbidities</w:t>
      </w:r>
    </w:p>
    <w:p w14:paraId="37453639"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In people there is ongoing debate over whether hepatic injury in refed patients is due to autophagy during the starvation phase or lipidosis during refeeding. In these cats, a biochemical hepatopathy was appreciable both on presentation and on refeeding (</w:t>
      </w:r>
      <w:r w:rsidRPr="00B40A93">
        <w:rPr>
          <w:rFonts w:asciiTheme="minorHAnsi" w:hAnsiTheme="minorHAnsi" w:cstheme="minorHAnsi"/>
          <w:b/>
          <w:bCs/>
          <w:color w:val="000000" w:themeColor="text1"/>
        </w:rPr>
        <w:t>Table 2</w:t>
      </w:r>
      <w:r w:rsidRPr="00B40A93">
        <w:rPr>
          <w:rFonts w:asciiTheme="minorHAnsi" w:hAnsiTheme="minorHAnsi" w:cstheme="minorHAnsi"/>
          <w:color w:val="000000" w:themeColor="text1"/>
        </w:rPr>
        <w:t>), supporting both aetiologies. One cat (cat No. 10) had hepatic lipidosis confirmed and this may well have been an unappreciated comorbidity in other cases.</w:t>
      </w:r>
    </w:p>
    <w:p w14:paraId="753DE911" w14:textId="77777777" w:rsidR="001E1CD9" w:rsidRPr="00B40A93" w:rsidRDefault="001E1CD9" w:rsidP="00BE380C">
      <w:pPr>
        <w:spacing w:line="480" w:lineRule="auto"/>
        <w:jc w:val="both"/>
        <w:rPr>
          <w:rFonts w:asciiTheme="minorHAnsi" w:hAnsiTheme="minorHAnsi" w:cstheme="minorHAnsi"/>
          <w:color w:val="000000" w:themeColor="text1"/>
        </w:rPr>
      </w:pPr>
    </w:p>
    <w:p w14:paraId="63233280"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The documentation of AKI in six cases is novel and underlines the importance of extremely careful attention to fluid balance and dyselectrolytaemias. The mechanism is unclear but could involve oxidative damage, ischaemia-reperfusion injury, cellular hypoxia and iatrogenic damage via </w:t>
      </w:r>
      <w:r w:rsidR="00B80EEB" w:rsidRPr="00B40A93">
        <w:rPr>
          <w:rFonts w:asciiTheme="minorHAnsi" w:hAnsiTheme="minorHAnsi" w:cstheme="minorHAnsi"/>
          <w:color w:val="000000" w:themeColor="text1"/>
        </w:rPr>
        <w:t xml:space="preserve">overzealous </w:t>
      </w:r>
      <w:r w:rsidRPr="00B40A93">
        <w:rPr>
          <w:rFonts w:asciiTheme="minorHAnsi" w:hAnsiTheme="minorHAnsi" w:cstheme="minorHAnsi"/>
          <w:color w:val="000000" w:themeColor="text1"/>
        </w:rPr>
        <w:t>fluid therapy</w:t>
      </w:r>
      <w:r w:rsidR="00B80EEB" w:rsidRPr="00B40A93">
        <w:rPr>
          <w:rFonts w:asciiTheme="minorHAnsi" w:hAnsiTheme="minorHAnsi" w:cstheme="minorHAnsi"/>
          <w:color w:val="000000" w:themeColor="text1"/>
        </w:rPr>
        <w:t xml:space="preserve"> or positive fluid balance</w:t>
      </w:r>
      <w:r w:rsidRPr="00B40A93">
        <w:rPr>
          <w:rFonts w:asciiTheme="minorHAnsi" w:hAnsiTheme="minorHAnsi" w:cstheme="minorHAnsi"/>
          <w:color w:val="000000" w:themeColor="text1"/>
        </w:rPr>
        <w:t>.</w:t>
      </w:r>
    </w:p>
    <w:p w14:paraId="5855461E" w14:textId="77777777" w:rsidR="001E1CD9" w:rsidRPr="00B40A93" w:rsidRDefault="001E1CD9" w:rsidP="00BE380C">
      <w:pPr>
        <w:pStyle w:val="Heading1"/>
        <w:spacing w:before="0" w:line="480" w:lineRule="auto"/>
        <w:jc w:val="both"/>
        <w:rPr>
          <w:rFonts w:asciiTheme="minorHAnsi" w:hAnsiTheme="minorHAnsi" w:cstheme="minorHAnsi"/>
          <w:color w:val="000000" w:themeColor="text1"/>
          <w:sz w:val="24"/>
          <w:szCs w:val="24"/>
        </w:rPr>
      </w:pPr>
    </w:p>
    <w:p w14:paraId="5A6FE322" w14:textId="7FE3537C" w:rsidR="001E1CD9" w:rsidRPr="00B40A93" w:rsidRDefault="001E1CD9" w:rsidP="00BE380C">
      <w:pPr>
        <w:pStyle w:val="Heading1"/>
        <w:spacing w:before="0" w:line="480" w:lineRule="auto"/>
        <w:jc w:val="both"/>
        <w:rPr>
          <w:rFonts w:asciiTheme="minorHAnsi" w:hAnsiTheme="minorHAnsi" w:cstheme="minorHAnsi"/>
          <w:color w:val="000000" w:themeColor="text1"/>
          <w:sz w:val="24"/>
          <w:szCs w:val="24"/>
        </w:rPr>
      </w:pPr>
      <w:r w:rsidRPr="00B40A93">
        <w:rPr>
          <w:rFonts w:asciiTheme="minorHAnsi" w:hAnsiTheme="minorHAnsi" w:cstheme="minorHAnsi"/>
          <w:color w:val="000000" w:themeColor="text1"/>
          <w:sz w:val="24"/>
          <w:szCs w:val="24"/>
        </w:rPr>
        <w:t xml:space="preserve">Broadly, the neurological deficits observed were likely attributable to a combination of metabolic aetiologies including thiamine deficiency, hypophosphataemia-associated ATP depletion, hypokalaemia and cellular hypoxia. Their resolving nature is also consistent with this, but vascular events cannot be completely excluded. Interestingly, four cats developed evidence of cerebellar dysfunction, including cerebellar ataxia and intention tremors, after refeeding. This does not appear to have been reported previously but may be consistent with </w:t>
      </w:r>
      <w:r w:rsidRPr="00B40A93">
        <w:rPr>
          <w:rFonts w:asciiTheme="minorHAnsi" w:hAnsiTheme="minorHAnsi" w:cstheme="minorHAnsi"/>
          <w:color w:val="000000" w:themeColor="text1"/>
          <w:sz w:val="24"/>
          <w:szCs w:val="24"/>
          <w:lang w:val="en"/>
        </w:rPr>
        <w:t>Wernicke’s encephalopathy in people with thiamine deficiency</w:t>
      </w:r>
      <w:r w:rsidR="0071724B" w:rsidRPr="00B40A93">
        <w:rPr>
          <w:rFonts w:asciiTheme="minorHAnsi" w:hAnsiTheme="minorHAnsi" w:cstheme="minorHAnsi"/>
          <w:color w:val="000000" w:themeColor="text1"/>
          <w:sz w:val="24"/>
          <w:szCs w:val="24"/>
          <w:lang w:val="en"/>
        </w:rPr>
        <w:t>.</w:t>
      </w:r>
      <w:r w:rsidRPr="00B40A93">
        <w:rPr>
          <w:rFonts w:asciiTheme="minorHAnsi" w:hAnsiTheme="minorHAnsi" w:cstheme="minorHAnsi"/>
          <w:color w:val="000000" w:themeColor="text1"/>
          <w:sz w:val="24"/>
          <w:szCs w:val="24"/>
          <w:lang w:val="en"/>
        </w:rPr>
        <w:t xml:space="preserve"> </w:t>
      </w:r>
      <w:r w:rsidR="00CB4552" w:rsidRPr="00B40A93">
        <w:rPr>
          <w:rFonts w:asciiTheme="minorHAnsi" w:hAnsiTheme="minorHAnsi" w:cstheme="minorHAnsi"/>
          <w:noProof/>
          <w:color w:val="000000" w:themeColor="text1"/>
          <w:sz w:val="24"/>
          <w:szCs w:val="24"/>
          <w:vertAlign w:val="superscript"/>
          <w:lang w:val="en"/>
        </w:rPr>
        <w:t>31</w:t>
      </w:r>
    </w:p>
    <w:p w14:paraId="11698152" w14:textId="77777777" w:rsidR="001E1CD9" w:rsidRPr="00B40A93" w:rsidRDefault="001E1CD9" w:rsidP="00BE380C">
      <w:pPr>
        <w:spacing w:line="480" w:lineRule="auto"/>
        <w:jc w:val="both"/>
        <w:rPr>
          <w:rFonts w:asciiTheme="minorHAnsi" w:hAnsiTheme="minorHAnsi" w:cstheme="minorHAnsi"/>
          <w:color w:val="000000" w:themeColor="text1"/>
        </w:rPr>
      </w:pPr>
    </w:p>
    <w:p w14:paraId="1792E4D5" w14:textId="0920E55F"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The evidence of oxidative damage to RBCs, progressive hepatocellular injury and an association between hyperbilirubinaemia and a poor outcome warrant further mechanistic investigations but may support the use of antioxidant medications in such patients. It should also be noted that haemolysis of administered transfusions confounds the interpretation of hyperbilirubinaemia, particularly in cat No. 7 which received a </w:t>
      </w:r>
      <w:proofErr w:type="spellStart"/>
      <w:r w:rsidRPr="00B40A93">
        <w:rPr>
          <w:rFonts w:asciiTheme="minorHAnsi" w:hAnsiTheme="minorHAnsi" w:cstheme="minorHAnsi"/>
          <w:color w:val="000000" w:themeColor="text1"/>
        </w:rPr>
        <w:t>xenotransfusion</w:t>
      </w:r>
      <w:proofErr w:type="spellEnd"/>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3</w:t>
      </w:r>
      <w:r w:rsidR="00CB4552" w:rsidRPr="00B40A93">
        <w:rPr>
          <w:rFonts w:asciiTheme="minorHAnsi" w:hAnsiTheme="minorHAnsi" w:cstheme="minorHAnsi"/>
          <w:noProof/>
          <w:color w:val="000000" w:themeColor="text1"/>
          <w:vertAlign w:val="superscript"/>
        </w:rPr>
        <w:t>2</w:t>
      </w:r>
      <w:r w:rsidRPr="00B40A93">
        <w:rPr>
          <w:rFonts w:asciiTheme="minorHAnsi" w:hAnsiTheme="minorHAnsi" w:cstheme="minorHAnsi"/>
          <w:color w:val="000000" w:themeColor="text1"/>
        </w:rPr>
        <w:t xml:space="preserve"> </w:t>
      </w:r>
    </w:p>
    <w:p w14:paraId="79618223" w14:textId="77777777" w:rsidR="005D0480" w:rsidRPr="00B40A93" w:rsidRDefault="005D0480" w:rsidP="00BE380C">
      <w:pPr>
        <w:spacing w:line="480" w:lineRule="auto"/>
        <w:jc w:val="both"/>
        <w:rPr>
          <w:rFonts w:asciiTheme="minorHAnsi" w:hAnsiTheme="minorHAnsi" w:cstheme="minorHAnsi"/>
          <w:color w:val="000000" w:themeColor="text1"/>
        </w:rPr>
      </w:pPr>
    </w:p>
    <w:p w14:paraId="2CCA72D9" w14:textId="77777777" w:rsidR="005D0480" w:rsidRPr="00B40A93" w:rsidRDefault="005D0480" w:rsidP="005D0480">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Acid-Base</w:t>
      </w:r>
    </w:p>
    <w:p w14:paraId="6DA4CBAA" w14:textId="51154AD6" w:rsidR="005D0480" w:rsidRPr="00B40A93" w:rsidRDefault="005D0480" w:rsidP="00BE380C">
      <w:pPr>
        <w:spacing w:line="480" w:lineRule="auto"/>
        <w:jc w:val="both"/>
        <w:rPr>
          <w:rFonts w:asciiTheme="minorHAnsi" w:hAnsiTheme="minorHAnsi" w:cstheme="minorHAnsi"/>
          <w:strike/>
          <w:color w:val="000000" w:themeColor="text1"/>
        </w:rPr>
      </w:pPr>
      <w:r w:rsidRPr="00B40A93">
        <w:rPr>
          <w:rFonts w:asciiTheme="minorHAnsi" w:hAnsiTheme="minorHAnsi" w:cstheme="minorHAnsi"/>
          <w:color w:val="000000" w:themeColor="text1"/>
        </w:rPr>
        <w:t xml:space="preserve">This study also documents the presence of a presumptive refeeding alkalosis in 4 cats. Both metabolic alkaloses and </w:t>
      </w:r>
      <w:proofErr w:type="spellStart"/>
      <w:r w:rsidRPr="00B40A93">
        <w:rPr>
          <w:rFonts w:asciiTheme="minorHAnsi" w:hAnsiTheme="minorHAnsi" w:cstheme="minorHAnsi"/>
          <w:color w:val="000000" w:themeColor="text1"/>
        </w:rPr>
        <w:t>acidoses</w:t>
      </w:r>
      <w:proofErr w:type="spellEnd"/>
      <w:r w:rsidRPr="00B40A93">
        <w:rPr>
          <w:rFonts w:asciiTheme="minorHAnsi" w:hAnsiTheme="minorHAnsi" w:cstheme="minorHAnsi"/>
          <w:color w:val="000000" w:themeColor="text1"/>
        </w:rPr>
        <w:t>, as well as respiratory alkaloses are described in people with RS</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1</w:t>
      </w:r>
      <w:r w:rsidRPr="00B40A93">
        <w:rPr>
          <w:rFonts w:asciiTheme="minorHAnsi" w:hAnsiTheme="minorHAnsi" w:cstheme="minorHAnsi"/>
          <w:color w:val="000000" w:themeColor="text1"/>
        </w:rPr>
        <w:t xml:space="preserve"> but to date, no veterinary evidence appears to exist.</w:t>
      </w:r>
    </w:p>
    <w:p w14:paraId="66263AFB" w14:textId="77777777" w:rsidR="001E1CD9" w:rsidRPr="00B40A93" w:rsidRDefault="001E1CD9" w:rsidP="00BE380C">
      <w:pPr>
        <w:spacing w:line="480" w:lineRule="auto"/>
        <w:jc w:val="both"/>
        <w:rPr>
          <w:rFonts w:asciiTheme="minorHAnsi" w:hAnsiTheme="minorHAnsi" w:cstheme="minorHAnsi"/>
          <w:color w:val="000000" w:themeColor="text1"/>
        </w:rPr>
      </w:pPr>
    </w:p>
    <w:p w14:paraId="63B1A3B2"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Anaemia</w:t>
      </w:r>
    </w:p>
    <w:p w14:paraId="30E1CED0" w14:textId="0EADB27F"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lastRenderedPageBreak/>
        <w:t>Haemolytic anaemia is possible in RS as a consequence of decreased intraerythrocytic ATP concentrations due to phosphorus depletion. Glycolysis is the only method of erythrocytic ATP generation, multiple steps of which are stimulated by phosphorus</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31</w:t>
      </w:r>
      <w:r w:rsidRPr="00B40A93">
        <w:rPr>
          <w:rFonts w:asciiTheme="minorHAnsi" w:hAnsiTheme="minorHAnsi" w:cstheme="minorHAnsi"/>
          <w:color w:val="000000" w:themeColor="text1"/>
        </w:rPr>
        <w:t xml:space="preserve"> ATP depletion causes increased cellular fragility, shorter erythrocyte lifespan and subsequent haemolysis, although clinical evidence of this is not common</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3</w:t>
      </w:r>
      <w:r w:rsidR="00CB4552" w:rsidRPr="00B40A93">
        <w:rPr>
          <w:rFonts w:asciiTheme="minorHAnsi" w:hAnsiTheme="minorHAnsi" w:cstheme="minorHAnsi"/>
          <w:noProof/>
          <w:color w:val="000000" w:themeColor="text1"/>
          <w:vertAlign w:val="superscript"/>
        </w:rPr>
        <w:t>4</w:t>
      </w:r>
      <w:r w:rsidRPr="00B40A93">
        <w:rPr>
          <w:rFonts w:asciiTheme="minorHAnsi" w:hAnsiTheme="minorHAnsi" w:cstheme="minorHAnsi"/>
          <w:noProof/>
          <w:color w:val="000000" w:themeColor="text1"/>
          <w:vertAlign w:val="superscript"/>
        </w:rPr>
        <w:t>, 3</w:t>
      </w:r>
      <w:r w:rsidR="00CB4552" w:rsidRPr="00B40A93">
        <w:rPr>
          <w:rFonts w:asciiTheme="minorHAnsi" w:hAnsiTheme="minorHAnsi" w:cstheme="minorHAnsi"/>
          <w:noProof/>
          <w:color w:val="000000" w:themeColor="text1"/>
          <w:vertAlign w:val="superscript"/>
        </w:rPr>
        <w:t>5</w:t>
      </w:r>
      <w:r w:rsidRPr="00B40A93">
        <w:rPr>
          <w:rFonts w:asciiTheme="minorHAnsi" w:hAnsiTheme="minorHAnsi" w:cstheme="minorHAnsi"/>
          <w:color w:val="000000" w:themeColor="text1"/>
        </w:rPr>
        <w:t xml:space="preserve"> A previous study of hypophosphataemic cats with associated haemolytic anaemia noted decreases in PCV within 24 to 48 hours of hypophosphataemia first being documented</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3</w:t>
      </w:r>
      <w:r w:rsidR="00CB4552" w:rsidRPr="00B40A93">
        <w:rPr>
          <w:rFonts w:asciiTheme="minorHAnsi" w:hAnsiTheme="minorHAnsi" w:cstheme="minorHAnsi"/>
          <w:noProof/>
          <w:color w:val="000000" w:themeColor="text1"/>
          <w:vertAlign w:val="superscript"/>
        </w:rPr>
        <w:t>6</w:t>
      </w:r>
      <w:r w:rsidRPr="00B40A93">
        <w:rPr>
          <w:rFonts w:asciiTheme="minorHAnsi" w:hAnsiTheme="minorHAnsi" w:cstheme="minorHAnsi"/>
          <w:color w:val="000000" w:themeColor="text1"/>
        </w:rPr>
        <w:t xml:space="preserve"> Cats are thought to be particularly prone to severe hypophosphataemia-associated haemolysis, in conjunction with having haemoglobin that is particularly vulnerable to oxidation, denaturation and subsequent Heinz body formation</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3</w:t>
      </w:r>
      <w:r w:rsidR="00CB4552" w:rsidRPr="00B40A93">
        <w:rPr>
          <w:rFonts w:asciiTheme="minorHAnsi" w:hAnsiTheme="minorHAnsi" w:cstheme="minorHAnsi"/>
          <w:noProof/>
          <w:color w:val="000000" w:themeColor="text1"/>
          <w:vertAlign w:val="superscript"/>
        </w:rPr>
        <w:t>7</w:t>
      </w:r>
      <w:r w:rsidRPr="00B40A93">
        <w:rPr>
          <w:rFonts w:asciiTheme="minorHAnsi" w:hAnsiTheme="minorHAnsi" w:cstheme="minorHAnsi"/>
          <w:color w:val="000000" w:themeColor="text1"/>
        </w:rPr>
        <w:t xml:space="preserve"> Once formed, Heinz bodies may contribute to erythrocyte fragility and perpetuate haemolysis.</w:t>
      </w:r>
    </w:p>
    <w:p w14:paraId="61C7D1A9" w14:textId="4509E2B4" w:rsidR="001E1CD9" w:rsidRPr="00B40A93" w:rsidRDefault="001E1CD9" w:rsidP="00BE380C">
      <w:pPr>
        <w:pStyle w:val="Heading1"/>
        <w:spacing w:line="480" w:lineRule="auto"/>
        <w:jc w:val="both"/>
        <w:rPr>
          <w:rFonts w:asciiTheme="minorHAnsi" w:hAnsiTheme="minorHAnsi" w:cstheme="minorHAnsi"/>
          <w:color w:val="000000" w:themeColor="text1"/>
          <w:sz w:val="24"/>
          <w:szCs w:val="24"/>
        </w:rPr>
      </w:pPr>
      <w:r w:rsidRPr="00B40A93">
        <w:rPr>
          <w:rFonts w:asciiTheme="minorHAnsi" w:hAnsiTheme="minorHAnsi" w:cstheme="minorHAnsi"/>
          <w:color w:val="000000" w:themeColor="text1"/>
          <w:sz w:val="24"/>
          <w:szCs w:val="24"/>
        </w:rPr>
        <w:t>Development of anaemia in the cats of this study is likely multifactorial and not solely attributable to hypophosphataemic haemolytic crises. The timing of lowest phosphorous did not coincide with the lowest PCV documented. Two cats had haemolytic serum reported; one cat (No. 3) had developed immune mediated haemolytic anaemia in hospital and the other (No. 6) had the lowest phosphorous of the study recorded at 0.56mmol/L at the time (</w:t>
      </w:r>
      <w:r w:rsidRPr="00B40A93">
        <w:rPr>
          <w:rFonts w:asciiTheme="minorHAnsi" w:hAnsiTheme="minorHAnsi" w:cstheme="minorHAnsi"/>
          <w:b/>
          <w:bCs/>
          <w:color w:val="000000" w:themeColor="text1"/>
          <w:sz w:val="24"/>
          <w:szCs w:val="24"/>
        </w:rPr>
        <w:t>Table 1</w:t>
      </w:r>
      <w:r w:rsidRPr="00B40A93">
        <w:rPr>
          <w:rFonts w:asciiTheme="minorHAnsi" w:hAnsiTheme="minorHAnsi" w:cstheme="minorHAnsi"/>
          <w:color w:val="000000" w:themeColor="text1"/>
          <w:sz w:val="24"/>
          <w:szCs w:val="24"/>
        </w:rPr>
        <w:t xml:space="preserve">). The </w:t>
      </w:r>
      <w:r w:rsidR="00D31F91" w:rsidRPr="00B40A93">
        <w:rPr>
          <w:rFonts w:asciiTheme="minorHAnsi" w:hAnsiTheme="minorHAnsi" w:cstheme="minorHAnsi"/>
          <w:color w:val="000000" w:themeColor="text1"/>
          <w:sz w:val="24"/>
          <w:szCs w:val="24"/>
        </w:rPr>
        <w:t>immune mediated haemolytic anaemia</w:t>
      </w:r>
      <w:r w:rsidRPr="00B40A93">
        <w:rPr>
          <w:rFonts w:asciiTheme="minorHAnsi" w:hAnsiTheme="minorHAnsi" w:cstheme="minorHAnsi"/>
          <w:color w:val="000000" w:themeColor="text1"/>
          <w:sz w:val="24"/>
          <w:szCs w:val="24"/>
        </w:rPr>
        <w:t xml:space="preserve"> was considered </w:t>
      </w:r>
      <w:r w:rsidR="00CB4552" w:rsidRPr="00B40A93">
        <w:rPr>
          <w:rFonts w:asciiTheme="minorHAnsi" w:hAnsiTheme="minorHAnsi" w:cstheme="minorHAnsi"/>
          <w:color w:val="000000" w:themeColor="text1"/>
          <w:sz w:val="24"/>
          <w:szCs w:val="24"/>
        </w:rPr>
        <w:t>primary,</w:t>
      </w:r>
      <w:r w:rsidRPr="00B40A93">
        <w:rPr>
          <w:rFonts w:asciiTheme="minorHAnsi" w:hAnsiTheme="minorHAnsi" w:cstheme="minorHAnsi"/>
          <w:color w:val="000000" w:themeColor="text1"/>
          <w:sz w:val="24"/>
          <w:szCs w:val="24"/>
        </w:rPr>
        <w:t xml:space="preserve"> but a drug-induced secondary process could not be excluded. It is likely that oxidative damage evidenced by Heinz bodies in 5 cats is also a factor, while fluid resuscitation and hospital acquired anaemia are also possibilities</w:t>
      </w:r>
      <w:r w:rsidR="0071724B" w:rsidRPr="00B40A93">
        <w:rPr>
          <w:rFonts w:asciiTheme="minorHAnsi" w:hAnsiTheme="minorHAnsi" w:cstheme="minorHAnsi"/>
          <w:color w:val="000000" w:themeColor="text1"/>
          <w:sz w:val="24"/>
          <w:szCs w:val="24"/>
        </w:rPr>
        <w:t>.</w:t>
      </w:r>
      <w:r w:rsidRPr="00B40A93">
        <w:rPr>
          <w:rFonts w:asciiTheme="minorHAnsi" w:hAnsiTheme="minorHAnsi" w:cstheme="minorHAnsi"/>
          <w:color w:val="000000" w:themeColor="text1"/>
          <w:sz w:val="24"/>
          <w:szCs w:val="24"/>
        </w:rPr>
        <w:t xml:space="preserve"> </w:t>
      </w:r>
      <w:r w:rsidRPr="00B40A93">
        <w:rPr>
          <w:rFonts w:asciiTheme="minorHAnsi" w:hAnsiTheme="minorHAnsi" w:cstheme="minorHAnsi"/>
          <w:noProof/>
          <w:color w:val="000000" w:themeColor="text1"/>
          <w:sz w:val="24"/>
          <w:szCs w:val="24"/>
          <w:vertAlign w:val="superscript"/>
        </w:rPr>
        <w:t>3</w:t>
      </w:r>
      <w:r w:rsidR="00CB4552" w:rsidRPr="00B40A93">
        <w:rPr>
          <w:rFonts w:asciiTheme="minorHAnsi" w:hAnsiTheme="minorHAnsi" w:cstheme="minorHAnsi"/>
          <w:noProof/>
          <w:color w:val="000000" w:themeColor="text1"/>
          <w:sz w:val="24"/>
          <w:szCs w:val="24"/>
          <w:vertAlign w:val="superscript"/>
        </w:rPr>
        <w:t>8</w:t>
      </w:r>
    </w:p>
    <w:p w14:paraId="49C320E7" w14:textId="77777777" w:rsidR="001E1CD9" w:rsidRPr="00B40A93" w:rsidRDefault="001E1CD9" w:rsidP="00BE380C">
      <w:pPr>
        <w:spacing w:line="480" w:lineRule="auto"/>
        <w:jc w:val="both"/>
        <w:rPr>
          <w:rFonts w:asciiTheme="minorHAnsi" w:hAnsiTheme="minorHAnsi" w:cstheme="minorHAnsi"/>
          <w:color w:val="000000" w:themeColor="text1"/>
        </w:rPr>
      </w:pPr>
    </w:p>
    <w:p w14:paraId="5DD215F5" w14:textId="6C110AEB"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lastRenderedPageBreak/>
        <w:t>Alimentation associated hypophosphataemia is reported in cats</w:t>
      </w:r>
      <w:r w:rsidR="0071724B" w:rsidRPr="00B40A93">
        <w:rPr>
          <w:rFonts w:asciiTheme="minorHAnsi" w:hAnsiTheme="minorHAnsi" w:cstheme="minorHAnsi"/>
          <w:color w:val="000000" w:themeColor="text1"/>
        </w:rPr>
        <w:t>,</w:t>
      </w:r>
      <w:r w:rsidRPr="00B40A93">
        <w:rPr>
          <w:rFonts w:asciiTheme="minorHAnsi" w:hAnsiTheme="minorHAnsi" w:cstheme="minorHAnsi"/>
          <w:color w:val="000000" w:themeColor="text1"/>
        </w:rPr>
        <w:t xml:space="preserve"> </w:t>
      </w:r>
      <w:r w:rsidRPr="00B40A93">
        <w:rPr>
          <w:rFonts w:asciiTheme="minorHAnsi" w:hAnsiTheme="minorHAnsi" w:cstheme="minorHAnsi"/>
          <w:noProof/>
          <w:color w:val="000000" w:themeColor="text1"/>
          <w:vertAlign w:val="superscript"/>
        </w:rPr>
        <w:t>3</w:t>
      </w:r>
      <w:r w:rsidR="00CB4552" w:rsidRPr="00B40A93">
        <w:rPr>
          <w:rFonts w:asciiTheme="minorHAnsi" w:hAnsiTheme="minorHAnsi" w:cstheme="minorHAnsi"/>
          <w:noProof/>
          <w:color w:val="000000" w:themeColor="text1"/>
          <w:vertAlign w:val="superscript"/>
        </w:rPr>
        <w:t>9</w:t>
      </w:r>
      <w:r w:rsidRPr="00B40A93">
        <w:rPr>
          <w:rFonts w:asciiTheme="minorHAnsi" w:hAnsiTheme="minorHAnsi" w:cstheme="minorHAnsi"/>
          <w:color w:val="000000" w:themeColor="text1"/>
        </w:rPr>
        <w:t xml:space="preserve"> while refeeding associated alkalosis and hypokalaemia are also anecdotally seen in patients that are refed after shorter periods of starvation, suggesting a spectrum of disease that is continuous with the cats in this study, and which includes a mild disease phenotype without organ dysfunction.</w:t>
      </w:r>
      <w:bookmarkStart w:id="7" w:name="_Toc26013879"/>
    </w:p>
    <w:p w14:paraId="5FA14240" w14:textId="77777777" w:rsidR="001E1CD9" w:rsidRPr="00B40A93" w:rsidRDefault="001E1CD9" w:rsidP="00BE380C">
      <w:pPr>
        <w:spacing w:line="480" w:lineRule="auto"/>
        <w:jc w:val="both"/>
        <w:rPr>
          <w:rFonts w:asciiTheme="minorHAnsi" w:hAnsiTheme="minorHAnsi" w:cstheme="minorHAnsi"/>
          <w:color w:val="000000" w:themeColor="text1"/>
        </w:rPr>
      </w:pPr>
    </w:p>
    <w:p w14:paraId="487780D1" w14:textId="77777777" w:rsidR="001E1CD9" w:rsidRPr="00B40A93" w:rsidRDefault="001E1CD9" w:rsidP="00BE380C">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Study limitations.</w:t>
      </w:r>
    </w:p>
    <w:p w14:paraId="2B95BD86"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This study is limited by its retrospective nature in several ways. The length of illness and reliance on thorough medical record keeping in patients with varying illness severity reveals differences in levels of monitoring and documentation with the potential for under-reporting. It is possible that more cats developed hepatic lipidosis than was recognised and this would be a key area to explore in future studies. Although subjective, the availability of muscle condition scoring may have permitted stratification according to the degree of malnutrition and should be recorded for that purpose in populations such as this.</w:t>
      </w:r>
    </w:p>
    <w:p w14:paraId="2A94913A" w14:textId="77777777" w:rsidR="001E1CD9" w:rsidRPr="00B40A93" w:rsidRDefault="001E1CD9" w:rsidP="00BE380C">
      <w:pPr>
        <w:spacing w:line="480" w:lineRule="auto"/>
        <w:jc w:val="both"/>
        <w:rPr>
          <w:rFonts w:asciiTheme="minorHAnsi" w:hAnsiTheme="minorHAnsi" w:cstheme="minorHAnsi"/>
          <w:color w:val="000000" w:themeColor="text1"/>
        </w:rPr>
      </w:pPr>
    </w:p>
    <w:p w14:paraId="209425DB" w14:textId="77777777" w:rsidR="001E1CD9" w:rsidRPr="00B40A93" w:rsidRDefault="001E1CD9" w:rsidP="00BE380C">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It is not possible to completely exclude an effect of comorbidities on clinical findings associated with RS in this study. For example, five cats had skin wounds as evidence of trauma, three of which developed an AKI. Nonetheless, the fact that missing, starved cats with RS often have concurrent evidence of trauma is an important finding which differentiates RS in cats from RS in people with AN.</w:t>
      </w:r>
    </w:p>
    <w:p w14:paraId="6E7CF67B" w14:textId="77777777" w:rsidR="001E1CD9" w:rsidRPr="00B40A93" w:rsidRDefault="001E1CD9" w:rsidP="00BE380C">
      <w:pPr>
        <w:spacing w:line="480" w:lineRule="auto"/>
        <w:jc w:val="both"/>
        <w:rPr>
          <w:rFonts w:asciiTheme="minorHAnsi" w:hAnsiTheme="minorHAnsi" w:cstheme="minorHAnsi"/>
          <w:color w:val="000000" w:themeColor="text1"/>
        </w:rPr>
      </w:pPr>
    </w:p>
    <w:p w14:paraId="4B08C82A" w14:textId="77777777" w:rsidR="001E1CD9" w:rsidRPr="00B40A93" w:rsidRDefault="001E1CD9" w:rsidP="00FB598F">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 xml:space="preserve">It can be difficult to accurately characterise neurological clinical signs retrospectively, especially if complete, specialist neurological exams had not been performed or </w:t>
      </w:r>
      <w:r w:rsidRPr="00B40A93">
        <w:rPr>
          <w:rFonts w:asciiTheme="minorHAnsi" w:hAnsiTheme="minorHAnsi" w:cstheme="minorHAnsi"/>
          <w:color w:val="000000" w:themeColor="text1"/>
        </w:rPr>
        <w:lastRenderedPageBreak/>
        <w:t>repeated. It may have been possible to more precisely attribute clinical signs to deficiencies if these were consistently and sequentially performed, or may be possible in future analyses. This would be key to interrogating the starvation-associated and the refeeding-associated neurological signs.</w:t>
      </w:r>
    </w:p>
    <w:p w14:paraId="2AF3DA49" w14:textId="77777777" w:rsidR="001E1CD9" w:rsidRPr="00B40A93" w:rsidRDefault="001E1CD9" w:rsidP="00FB598F">
      <w:pPr>
        <w:spacing w:line="480" w:lineRule="auto"/>
        <w:jc w:val="both"/>
        <w:rPr>
          <w:rFonts w:asciiTheme="minorHAnsi" w:hAnsiTheme="minorHAnsi" w:cstheme="minorHAnsi"/>
          <w:color w:val="000000" w:themeColor="text1"/>
        </w:rPr>
      </w:pPr>
    </w:p>
    <w:p w14:paraId="6809F2FE" w14:textId="77777777" w:rsidR="001E1CD9" w:rsidRPr="00B40A93" w:rsidRDefault="001E1CD9" w:rsidP="00FB598F">
      <w:pPr>
        <w:spacing w:line="480" w:lineRule="auto"/>
        <w:jc w:val="both"/>
        <w:rPr>
          <w:rFonts w:asciiTheme="minorHAnsi" w:hAnsiTheme="minorHAnsi" w:cstheme="minorHAnsi"/>
          <w:b/>
          <w:bCs/>
          <w:color w:val="000000" w:themeColor="text1"/>
        </w:rPr>
      </w:pPr>
      <w:r w:rsidRPr="00B40A93">
        <w:rPr>
          <w:rFonts w:asciiTheme="minorHAnsi" w:hAnsiTheme="minorHAnsi" w:cstheme="minorHAnsi"/>
          <w:b/>
          <w:bCs/>
          <w:color w:val="000000" w:themeColor="text1"/>
        </w:rPr>
        <w:t>Conclusion</w:t>
      </w:r>
      <w:bookmarkEnd w:id="7"/>
    </w:p>
    <w:p w14:paraId="60BBD742" w14:textId="77777777" w:rsidR="001E1CD9" w:rsidRPr="00B40A93" w:rsidRDefault="001E1CD9" w:rsidP="00FB598F">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Refeeding syndrome is an uncommon condition necessitating prolonged intensive care, although cats appear to have a reasonable prognosis when aggressively managed. The observed clinical signs can provide an evidence base for diagnostic criteria in feline RS. As expected, cardiovascular, gastrointestinal and neurological clinical signs appear common in cats with RS, and a requirement for blood transfusion is common.</w:t>
      </w:r>
    </w:p>
    <w:p w14:paraId="213DE8C7" w14:textId="77777777" w:rsidR="001E1CD9" w:rsidRPr="00B40A93" w:rsidRDefault="001E1CD9" w:rsidP="00FB598F">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t>Despite the multifaceted, spectral nature of this disease, the defining clinicopathological changes in cats with RS appear to be hypokalaemia, hypophosphataemia and abnormal glucose homeostasis. Further work to stratify starved cats according to risk of RS is required, as well as efforts to predict the severity of the syndrome itself.</w:t>
      </w:r>
    </w:p>
    <w:p w14:paraId="5F17E00D" w14:textId="77777777" w:rsidR="001E1CD9" w:rsidRPr="00B40A93" w:rsidRDefault="001E1CD9" w:rsidP="00FB598F">
      <w:pPr>
        <w:spacing w:line="480" w:lineRule="auto"/>
        <w:jc w:val="both"/>
        <w:rPr>
          <w:rFonts w:asciiTheme="minorHAnsi" w:hAnsiTheme="minorHAnsi" w:cstheme="minorHAnsi"/>
          <w:b/>
          <w:bCs/>
          <w:color w:val="000000" w:themeColor="text1"/>
        </w:rPr>
      </w:pPr>
    </w:p>
    <w:p w14:paraId="31FB30AF" w14:textId="77777777" w:rsidR="001E1CD9" w:rsidRPr="00B40A93" w:rsidRDefault="001E1CD9" w:rsidP="00FB598F">
      <w:pPr>
        <w:spacing w:line="480" w:lineRule="auto"/>
        <w:jc w:val="both"/>
        <w:rPr>
          <w:rFonts w:asciiTheme="minorHAnsi" w:hAnsiTheme="minorHAnsi" w:cstheme="minorHAnsi"/>
          <w:b/>
          <w:bCs/>
          <w:color w:val="000000" w:themeColor="text1"/>
          <w:shd w:val="clear" w:color="auto" w:fill="FFFFFF"/>
        </w:rPr>
      </w:pPr>
      <w:r w:rsidRPr="00B40A93">
        <w:rPr>
          <w:rFonts w:asciiTheme="minorHAnsi" w:hAnsiTheme="minorHAnsi" w:cstheme="minorHAnsi"/>
          <w:b/>
          <w:bCs/>
          <w:color w:val="000000" w:themeColor="text1"/>
          <w:shd w:val="clear" w:color="auto" w:fill="FFFFFF"/>
        </w:rPr>
        <w:t>Conflicts of Interest</w:t>
      </w:r>
    </w:p>
    <w:p w14:paraId="0C877AE0" w14:textId="77777777" w:rsidR="001E1CD9" w:rsidRPr="00B40A93" w:rsidRDefault="001E1CD9" w:rsidP="00FB598F">
      <w:pPr>
        <w:spacing w:before="100" w:beforeAutospacing="1" w:after="100" w:afterAutospacing="1" w:line="480" w:lineRule="auto"/>
        <w:rPr>
          <w:rFonts w:asciiTheme="minorHAnsi" w:hAnsiTheme="minorHAnsi" w:cstheme="minorHAnsi"/>
        </w:rPr>
      </w:pPr>
      <w:r w:rsidRPr="00B40A93">
        <w:rPr>
          <w:rFonts w:asciiTheme="minorHAnsi" w:hAnsiTheme="minorHAnsi" w:cstheme="minorHAnsi"/>
        </w:rPr>
        <w:t xml:space="preserve">The authors declared no potential conflicts of interest with respect to the research, authorship, and/or publication of this article </w:t>
      </w:r>
    </w:p>
    <w:p w14:paraId="448199EC" w14:textId="77777777" w:rsidR="001E1CD9" w:rsidRPr="00B40A93" w:rsidRDefault="001E1CD9" w:rsidP="00FB598F">
      <w:pPr>
        <w:spacing w:line="480" w:lineRule="auto"/>
        <w:jc w:val="both"/>
        <w:rPr>
          <w:rFonts w:asciiTheme="minorHAnsi" w:hAnsiTheme="minorHAnsi" w:cstheme="minorHAnsi"/>
          <w:b/>
          <w:bCs/>
          <w:color w:val="000000" w:themeColor="text1"/>
          <w:shd w:val="clear" w:color="auto" w:fill="FFFFFF"/>
        </w:rPr>
      </w:pPr>
      <w:r w:rsidRPr="00B40A93">
        <w:rPr>
          <w:rFonts w:asciiTheme="minorHAnsi" w:hAnsiTheme="minorHAnsi" w:cstheme="minorHAnsi"/>
          <w:b/>
          <w:bCs/>
          <w:color w:val="000000" w:themeColor="text1"/>
          <w:shd w:val="clear" w:color="auto" w:fill="FFFFFF"/>
        </w:rPr>
        <w:t>Funding</w:t>
      </w:r>
    </w:p>
    <w:p w14:paraId="3AFAD591" w14:textId="77777777" w:rsidR="001E1CD9" w:rsidRPr="00B40A93" w:rsidRDefault="001E1CD9" w:rsidP="00FB598F">
      <w:pPr>
        <w:spacing w:before="100" w:beforeAutospacing="1" w:after="100" w:afterAutospacing="1" w:line="480" w:lineRule="auto"/>
        <w:rPr>
          <w:rFonts w:asciiTheme="minorHAnsi" w:hAnsiTheme="minorHAnsi" w:cstheme="minorHAnsi"/>
        </w:rPr>
      </w:pPr>
      <w:r w:rsidRPr="00B40A93">
        <w:rPr>
          <w:rFonts w:asciiTheme="minorHAnsi" w:hAnsiTheme="minorHAnsi" w:cstheme="minorHAnsi"/>
        </w:rPr>
        <w:lastRenderedPageBreak/>
        <w:t xml:space="preserve">The authors received no financial support for the research, authorship, and/or publication of this article </w:t>
      </w:r>
    </w:p>
    <w:p w14:paraId="43DFE58E" w14:textId="77777777" w:rsidR="001E1CD9" w:rsidRPr="00B40A93" w:rsidRDefault="001E1CD9" w:rsidP="00FB598F">
      <w:pPr>
        <w:spacing w:line="480" w:lineRule="auto"/>
        <w:jc w:val="both"/>
        <w:rPr>
          <w:rFonts w:asciiTheme="minorHAnsi" w:hAnsiTheme="minorHAnsi" w:cstheme="minorHAnsi"/>
          <w:b/>
          <w:bCs/>
          <w:color w:val="000000" w:themeColor="text1"/>
          <w:shd w:val="clear" w:color="auto" w:fill="FFFFFF"/>
        </w:rPr>
      </w:pPr>
      <w:r w:rsidRPr="00B40A93">
        <w:rPr>
          <w:rFonts w:asciiTheme="minorHAnsi" w:hAnsiTheme="minorHAnsi" w:cstheme="minorHAnsi"/>
          <w:b/>
          <w:bCs/>
          <w:color w:val="000000" w:themeColor="text1"/>
          <w:shd w:val="clear" w:color="auto" w:fill="FFFFFF"/>
        </w:rPr>
        <w:t>Ethical Approval</w:t>
      </w:r>
    </w:p>
    <w:p w14:paraId="7F76562B" w14:textId="77777777" w:rsidR="001E1CD9" w:rsidRPr="00B40A93" w:rsidRDefault="001E1CD9" w:rsidP="00FB598F">
      <w:pPr>
        <w:spacing w:before="100" w:beforeAutospacing="1" w:after="100" w:afterAutospacing="1" w:line="480" w:lineRule="auto"/>
        <w:rPr>
          <w:rFonts w:asciiTheme="minorHAnsi" w:hAnsiTheme="minorHAnsi" w:cstheme="minorHAnsi"/>
        </w:rPr>
      </w:pPr>
      <w:r w:rsidRPr="00B40A93">
        <w:rPr>
          <w:rFonts w:asciiTheme="minorHAnsi" w:hAnsiTheme="minorHAnsi" w:cstheme="minorHAnsi"/>
        </w:rPr>
        <w:t xml:space="preserve">This work involved the use of non-experimental animals only (including owned </w:t>
      </w:r>
    </w:p>
    <w:p w14:paraId="79D4AACD" w14:textId="77777777" w:rsidR="001E1CD9" w:rsidRPr="00B40A93" w:rsidRDefault="001E1CD9" w:rsidP="00FB598F">
      <w:pPr>
        <w:spacing w:before="100" w:beforeAutospacing="1" w:after="100" w:afterAutospacing="1" w:line="480" w:lineRule="auto"/>
        <w:rPr>
          <w:rFonts w:asciiTheme="minorHAnsi" w:hAnsiTheme="minorHAnsi" w:cstheme="minorHAnsi"/>
        </w:rPr>
      </w:pPr>
      <w:r w:rsidRPr="00B40A93">
        <w:rPr>
          <w:rFonts w:asciiTheme="minorHAnsi" w:hAnsiTheme="minorHAnsi" w:cstheme="minorHAnsi"/>
        </w:rPr>
        <w:t xml:space="preserve">or unowned animals and data from prospective or retrospective studies). </w:t>
      </w:r>
    </w:p>
    <w:p w14:paraId="6EA96BFD" w14:textId="77777777" w:rsidR="001E1CD9" w:rsidRPr="00B40A93" w:rsidRDefault="001E1CD9" w:rsidP="002E4B2C">
      <w:pPr>
        <w:spacing w:before="100" w:beforeAutospacing="1" w:after="100" w:afterAutospacing="1" w:line="480" w:lineRule="auto"/>
        <w:rPr>
          <w:rFonts w:asciiTheme="minorHAnsi" w:hAnsiTheme="minorHAnsi" w:cstheme="minorHAnsi"/>
        </w:rPr>
      </w:pPr>
      <w:r w:rsidRPr="00B40A93">
        <w:rPr>
          <w:rFonts w:asciiTheme="minorHAnsi" w:hAnsiTheme="minorHAnsi" w:cstheme="minorHAnsi"/>
        </w:rPr>
        <w:t xml:space="preserve">Established internationally recognised high standards (‘best practice’) of individual </w:t>
      </w:r>
    </w:p>
    <w:p w14:paraId="74A0A9F0" w14:textId="77777777" w:rsidR="001E1CD9" w:rsidRPr="00B40A93" w:rsidRDefault="001E1CD9" w:rsidP="002E4B2C">
      <w:pPr>
        <w:spacing w:before="100" w:beforeAutospacing="1" w:after="100" w:afterAutospacing="1" w:line="480" w:lineRule="auto"/>
        <w:rPr>
          <w:rFonts w:asciiTheme="minorHAnsi" w:hAnsiTheme="minorHAnsi" w:cstheme="minorHAnsi"/>
        </w:rPr>
      </w:pPr>
      <w:r w:rsidRPr="00B40A93">
        <w:rPr>
          <w:rFonts w:asciiTheme="minorHAnsi" w:hAnsiTheme="minorHAnsi" w:cstheme="minorHAnsi"/>
        </w:rPr>
        <w:t xml:space="preserve">veterinary clinical patient care </w:t>
      </w:r>
      <w:proofErr w:type="gramStart"/>
      <w:r w:rsidRPr="00B40A93">
        <w:rPr>
          <w:rFonts w:asciiTheme="minorHAnsi" w:hAnsiTheme="minorHAnsi" w:cstheme="minorHAnsi"/>
        </w:rPr>
        <w:t>were</w:t>
      </w:r>
      <w:proofErr w:type="gramEnd"/>
      <w:r w:rsidRPr="00B40A93">
        <w:rPr>
          <w:rFonts w:asciiTheme="minorHAnsi" w:hAnsiTheme="minorHAnsi" w:cstheme="minorHAnsi"/>
        </w:rPr>
        <w:t xml:space="preserve"> followed. Ethical approval from a committee </w:t>
      </w:r>
    </w:p>
    <w:p w14:paraId="52A46515" w14:textId="77777777" w:rsidR="001E1CD9" w:rsidRPr="00B40A93" w:rsidRDefault="001E1CD9" w:rsidP="002E4B2C">
      <w:pPr>
        <w:spacing w:before="100" w:beforeAutospacing="1" w:after="100" w:afterAutospacing="1" w:line="480" w:lineRule="auto"/>
        <w:rPr>
          <w:rFonts w:asciiTheme="minorHAnsi" w:hAnsiTheme="minorHAnsi" w:cstheme="minorHAnsi"/>
        </w:rPr>
      </w:pPr>
      <w:r w:rsidRPr="00B40A93">
        <w:rPr>
          <w:rFonts w:asciiTheme="minorHAnsi" w:hAnsiTheme="minorHAnsi" w:cstheme="minorHAnsi"/>
        </w:rPr>
        <w:t xml:space="preserve">was therefore not necessarily required </w:t>
      </w:r>
    </w:p>
    <w:p w14:paraId="07C6AB14" w14:textId="77777777" w:rsidR="001E1CD9" w:rsidRPr="00B40A93" w:rsidRDefault="001E1CD9" w:rsidP="002E4B2C">
      <w:pPr>
        <w:spacing w:line="480" w:lineRule="auto"/>
        <w:jc w:val="both"/>
        <w:rPr>
          <w:rFonts w:asciiTheme="minorHAnsi" w:hAnsiTheme="minorHAnsi" w:cstheme="minorHAnsi"/>
          <w:b/>
          <w:bCs/>
          <w:color w:val="000000" w:themeColor="text1"/>
          <w:shd w:val="clear" w:color="auto" w:fill="FFFFFF"/>
        </w:rPr>
      </w:pPr>
      <w:r w:rsidRPr="00B40A93">
        <w:rPr>
          <w:rFonts w:asciiTheme="minorHAnsi" w:eastAsia="Calibri" w:hAnsiTheme="minorHAnsi" w:cstheme="minorHAnsi"/>
          <w:color w:val="000000"/>
        </w:rPr>
        <w:t>URN number: SR2019-0049</w:t>
      </w:r>
    </w:p>
    <w:p w14:paraId="6B9DC693" w14:textId="77777777" w:rsidR="001E1CD9" w:rsidRPr="00B40A93" w:rsidRDefault="001E1CD9" w:rsidP="002E4B2C">
      <w:pPr>
        <w:spacing w:line="480" w:lineRule="auto"/>
        <w:jc w:val="both"/>
        <w:rPr>
          <w:rFonts w:asciiTheme="minorHAnsi" w:hAnsiTheme="minorHAnsi" w:cstheme="minorHAnsi"/>
          <w:b/>
          <w:bCs/>
          <w:color w:val="000000" w:themeColor="text1"/>
          <w:shd w:val="clear" w:color="auto" w:fill="FFFFFF"/>
        </w:rPr>
      </w:pPr>
      <w:r w:rsidRPr="00B40A93">
        <w:rPr>
          <w:rFonts w:asciiTheme="minorHAnsi" w:hAnsiTheme="minorHAnsi" w:cstheme="minorHAnsi"/>
          <w:b/>
          <w:bCs/>
          <w:color w:val="000000" w:themeColor="text1"/>
          <w:shd w:val="clear" w:color="auto" w:fill="FFFFFF"/>
        </w:rPr>
        <w:t>Informed Consent</w:t>
      </w:r>
    </w:p>
    <w:p w14:paraId="1ED7EAF8" w14:textId="77777777" w:rsidR="001E1CD9" w:rsidRPr="00B40A93" w:rsidRDefault="001E1CD9" w:rsidP="002E4B2C">
      <w:pPr>
        <w:spacing w:before="100" w:beforeAutospacing="1" w:after="100" w:afterAutospacing="1" w:line="480" w:lineRule="auto"/>
        <w:rPr>
          <w:rFonts w:asciiTheme="minorHAnsi" w:hAnsiTheme="minorHAnsi" w:cstheme="minorHAnsi"/>
        </w:rPr>
      </w:pPr>
      <w:r w:rsidRPr="00B40A93">
        <w:rPr>
          <w:rFonts w:asciiTheme="minorHAnsi" w:hAnsiTheme="minorHAnsi" w:cstheme="minorHAnsi"/>
        </w:rPr>
        <w:t xml:space="preserve">This work did not involve the use of animals and therefore informed consent was </w:t>
      </w:r>
    </w:p>
    <w:p w14:paraId="5C5DDF6B" w14:textId="77777777" w:rsidR="001E1CD9" w:rsidRPr="00B40A93" w:rsidRDefault="001E1CD9" w:rsidP="002E4B2C">
      <w:pPr>
        <w:spacing w:before="100" w:beforeAutospacing="1" w:after="100" w:afterAutospacing="1" w:line="480" w:lineRule="auto"/>
        <w:rPr>
          <w:rFonts w:asciiTheme="minorHAnsi" w:hAnsiTheme="minorHAnsi" w:cstheme="minorHAnsi"/>
        </w:rPr>
      </w:pPr>
      <w:r w:rsidRPr="00B40A93">
        <w:rPr>
          <w:rFonts w:asciiTheme="minorHAnsi" w:hAnsiTheme="minorHAnsi" w:cstheme="minorHAnsi"/>
        </w:rPr>
        <w:t xml:space="preserve">not required. No animals or humans are identifiable within this publication, and therefore additional informed consent for publication was not required. </w:t>
      </w:r>
    </w:p>
    <w:p w14:paraId="1850F5F9" w14:textId="77777777" w:rsidR="001E1CD9" w:rsidRPr="00B40A93" w:rsidRDefault="001E1CD9" w:rsidP="00BE380C">
      <w:pPr>
        <w:spacing w:line="480" w:lineRule="auto"/>
        <w:jc w:val="both"/>
        <w:rPr>
          <w:rFonts w:asciiTheme="minorHAnsi" w:hAnsiTheme="minorHAnsi" w:cstheme="minorHAnsi"/>
          <w:b/>
          <w:bCs/>
          <w:color w:val="000000" w:themeColor="text1"/>
          <w:shd w:val="clear" w:color="auto" w:fill="FFFFFF"/>
        </w:rPr>
      </w:pPr>
    </w:p>
    <w:p w14:paraId="74F90CB9" w14:textId="77777777" w:rsidR="001E1CD9" w:rsidRPr="00B40A93" w:rsidRDefault="001E1CD9">
      <w:pPr>
        <w:spacing w:line="480" w:lineRule="auto"/>
        <w:jc w:val="both"/>
        <w:rPr>
          <w:rFonts w:asciiTheme="minorHAnsi" w:hAnsiTheme="minorHAnsi" w:cstheme="minorHAnsi"/>
          <w:b/>
          <w:bCs/>
          <w:color w:val="000000" w:themeColor="text1"/>
        </w:rPr>
      </w:pPr>
    </w:p>
    <w:p w14:paraId="116A090D" w14:textId="77777777" w:rsidR="001E1CD9" w:rsidRPr="00B40A93" w:rsidRDefault="001E1CD9">
      <w:pPr>
        <w:spacing w:line="480" w:lineRule="auto"/>
        <w:jc w:val="both"/>
        <w:rPr>
          <w:rFonts w:asciiTheme="minorHAnsi" w:hAnsiTheme="minorHAnsi" w:cstheme="minorHAnsi"/>
          <w:color w:val="000000" w:themeColor="text1"/>
        </w:rPr>
      </w:pPr>
      <w:r w:rsidRPr="00B40A93">
        <w:rPr>
          <w:rFonts w:asciiTheme="minorHAnsi" w:hAnsiTheme="minorHAnsi" w:cstheme="minorHAnsi"/>
          <w:color w:val="000000" w:themeColor="text1"/>
        </w:rPr>
        <w:br w:type="page"/>
      </w:r>
    </w:p>
    <w:p w14:paraId="2BE9E44E" w14:textId="77777777" w:rsidR="001E1CD9" w:rsidRPr="00B40A93" w:rsidRDefault="001E1CD9" w:rsidP="00FB598F">
      <w:pPr>
        <w:pStyle w:val="Heading1"/>
        <w:spacing w:line="480" w:lineRule="auto"/>
        <w:jc w:val="both"/>
        <w:rPr>
          <w:rFonts w:asciiTheme="minorHAnsi" w:hAnsiTheme="minorHAnsi" w:cstheme="minorHAnsi"/>
          <w:color w:val="000000" w:themeColor="text1"/>
          <w:sz w:val="20"/>
          <w:szCs w:val="20"/>
        </w:rPr>
      </w:pPr>
      <w:bookmarkStart w:id="8" w:name="_Toc26013881"/>
      <w:r w:rsidRPr="00B40A93">
        <w:rPr>
          <w:rFonts w:asciiTheme="minorHAnsi" w:hAnsiTheme="minorHAnsi" w:cstheme="minorHAnsi"/>
          <w:b/>
          <w:bCs/>
          <w:color w:val="000000" w:themeColor="text1"/>
          <w:sz w:val="24"/>
          <w:szCs w:val="24"/>
        </w:rPr>
        <w:lastRenderedPageBreak/>
        <w:t>References</w:t>
      </w:r>
      <w:bookmarkEnd w:id="8"/>
      <w:r w:rsidRPr="00B40A93">
        <w:rPr>
          <w:rFonts w:asciiTheme="minorHAnsi" w:hAnsiTheme="minorHAnsi" w:cstheme="minorHAnsi"/>
          <w:color w:val="000000" w:themeColor="text1"/>
        </w:rPr>
        <w:t xml:space="preserve"> </w:t>
      </w:r>
      <w:r w:rsidRPr="00B40A93">
        <w:rPr>
          <w:rFonts w:asciiTheme="minorHAnsi" w:hAnsiTheme="minorHAnsi" w:cstheme="minorHAnsi"/>
          <w:color w:val="000000" w:themeColor="text1"/>
          <w:sz w:val="20"/>
          <w:szCs w:val="20"/>
        </w:rPr>
        <w:t xml:space="preserve"> </w:t>
      </w:r>
    </w:p>
    <w:p w14:paraId="46E86119" w14:textId="77777777" w:rsidR="001E1CD9" w:rsidRPr="00B40A93" w:rsidRDefault="001E1CD9" w:rsidP="00BE380C">
      <w:pPr>
        <w:pStyle w:val="EndNoteBibliography"/>
        <w:rPr>
          <w:noProof/>
        </w:rPr>
      </w:pPr>
      <w:r w:rsidRPr="00B40A93">
        <w:rPr>
          <w:noProof/>
        </w:rPr>
        <w:t>1.</w:t>
      </w:r>
      <w:r w:rsidRPr="00B40A93">
        <w:rPr>
          <w:noProof/>
        </w:rPr>
        <w:tab/>
        <w:t xml:space="preserve">Boateng AA, Sriram K, Meguid MM, et al. Refeeding syndrome: treatment considerations based on collective analysis of literature case reports. </w:t>
      </w:r>
      <w:r w:rsidRPr="00B40A93">
        <w:rPr>
          <w:i/>
          <w:noProof/>
        </w:rPr>
        <w:t>Nutrition</w:t>
      </w:r>
      <w:r w:rsidRPr="00B40A93">
        <w:rPr>
          <w:noProof/>
        </w:rPr>
        <w:t xml:space="preserve"> 2010; 26: 156-167. 2010/02/04. DOI: 10.1016/j.nut.2009.11.017.</w:t>
      </w:r>
    </w:p>
    <w:p w14:paraId="5BE1D0F9" w14:textId="77777777" w:rsidR="001E1CD9" w:rsidRPr="00B40A93" w:rsidRDefault="001E1CD9" w:rsidP="00BE380C">
      <w:pPr>
        <w:pStyle w:val="EndNoteBibliography"/>
        <w:rPr>
          <w:noProof/>
        </w:rPr>
      </w:pPr>
      <w:r w:rsidRPr="00B40A93">
        <w:rPr>
          <w:noProof/>
        </w:rPr>
        <w:t>2.</w:t>
      </w:r>
      <w:r w:rsidRPr="00B40A93">
        <w:rPr>
          <w:noProof/>
        </w:rPr>
        <w:tab/>
        <w:t xml:space="preserve">da Silva JSV, Seres DS, Sabino K, et al. ASPEN Consensus Recommendations for Refeeding Syndrome. </w:t>
      </w:r>
      <w:r w:rsidRPr="00B40A93">
        <w:rPr>
          <w:i/>
          <w:noProof/>
        </w:rPr>
        <w:t>Nutr Clin Pract</w:t>
      </w:r>
      <w:r w:rsidRPr="00B40A93">
        <w:rPr>
          <w:noProof/>
        </w:rPr>
        <w:t xml:space="preserve"> 2020; 35: 178-195. 2020/03/03. DOI: 10.1002/ncp.10474.</w:t>
      </w:r>
    </w:p>
    <w:p w14:paraId="011AD8F2" w14:textId="77777777" w:rsidR="001E1CD9" w:rsidRPr="00B40A93" w:rsidRDefault="001E1CD9" w:rsidP="00BE380C">
      <w:pPr>
        <w:pStyle w:val="EndNoteBibliography"/>
        <w:rPr>
          <w:noProof/>
        </w:rPr>
      </w:pPr>
      <w:r w:rsidRPr="00B40A93">
        <w:rPr>
          <w:noProof/>
        </w:rPr>
        <w:t>3.</w:t>
      </w:r>
      <w:r w:rsidRPr="00B40A93">
        <w:rPr>
          <w:noProof/>
        </w:rPr>
        <w:tab/>
        <w:t xml:space="preserve">Armitage-Chan EA, O’Toole T and Chan DL. Management of Prolonged Food Deprivation, Hypothermia and Refeeding Syndrome in a Cat. </w:t>
      </w:r>
      <w:r w:rsidRPr="00B40A93">
        <w:rPr>
          <w:i/>
          <w:noProof/>
        </w:rPr>
        <w:t>Journal of Veterinary Emergency and Critical Care</w:t>
      </w:r>
      <w:r w:rsidRPr="00B40A93">
        <w:rPr>
          <w:noProof/>
        </w:rPr>
        <w:t xml:space="preserve"> 2006; 16: S34-S41.</w:t>
      </w:r>
    </w:p>
    <w:p w14:paraId="7E017262" w14:textId="77777777" w:rsidR="001E1CD9" w:rsidRPr="00B40A93" w:rsidRDefault="001E1CD9" w:rsidP="00BE380C">
      <w:pPr>
        <w:pStyle w:val="EndNoteBibliography"/>
        <w:rPr>
          <w:noProof/>
        </w:rPr>
      </w:pPr>
      <w:r w:rsidRPr="00B40A93">
        <w:rPr>
          <w:noProof/>
        </w:rPr>
        <w:t>4.</w:t>
      </w:r>
      <w:r w:rsidRPr="00B40A93">
        <w:rPr>
          <w:noProof/>
        </w:rPr>
        <w:tab/>
        <w:t xml:space="preserve">Luethy D, Stefanovski D and Sweeney RW. Refeeding syndrome in small ruminants receiving parenteral nutrition. </w:t>
      </w:r>
      <w:r w:rsidRPr="00B40A93">
        <w:rPr>
          <w:i/>
          <w:noProof/>
        </w:rPr>
        <w:t>J Vet Intern Med</w:t>
      </w:r>
      <w:r w:rsidRPr="00B40A93">
        <w:rPr>
          <w:noProof/>
        </w:rPr>
        <w:t xml:space="preserve"> 2020 2020/06/27. DOI: 10.1111/jvim.15840.</w:t>
      </w:r>
    </w:p>
    <w:p w14:paraId="188E1BD5" w14:textId="77777777" w:rsidR="001E1CD9" w:rsidRPr="00B40A93" w:rsidRDefault="001E1CD9" w:rsidP="00BE380C">
      <w:pPr>
        <w:pStyle w:val="EndNoteBibliography"/>
        <w:rPr>
          <w:noProof/>
        </w:rPr>
      </w:pPr>
      <w:r w:rsidRPr="00B40A93">
        <w:rPr>
          <w:noProof/>
        </w:rPr>
        <w:t>5.</w:t>
      </w:r>
      <w:r w:rsidRPr="00B40A93">
        <w:rPr>
          <w:noProof/>
        </w:rPr>
        <w:tab/>
        <w:t xml:space="preserve">Witham CL and Stull CL. Metabolic responses of chronically starved horses to refeeding with three isoenergetic diets. </w:t>
      </w:r>
      <w:r w:rsidRPr="00B40A93">
        <w:rPr>
          <w:i/>
          <w:noProof/>
        </w:rPr>
        <w:t>J Am Vet Med Assoc</w:t>
      </w:r>
      <w:r w:rsidRPr="00B40A93">
        <w:rPr>
          <w:noProof/>
        </w:rPr>
        <w:t xml:space="preserve"> 1998; 212: 691-696. 1998/04/03.</w:t>
      </w:r>
    </w:p>
    <w:p w14:paraId="1ECE6D8F" w14:textId="77777777" w:rsidR="001E1CD9" w:rsidRPr="00B40A93" w:rsidRDefault="001E1CD9" w:rsidP="00BE380C">
      <w:pPr>
        <w:pStyle w:val="EndNoteBibliography"/>
        <w:rPr>
          <w:noProof/>
        </w:rPr>
      </w:pPr>
      <w:r w:rsidRPr="00B40A93">
        <w:rPr>
          <w:noProof/>
        </w:rPr>
        <w:t>6.</w:t>
      </w:r>
      <w:r w:rsidRPr="00B40A93">
        <w:rPr>
          <w:noProof/>
        </w:rPr>
        <w:tab/>
        <w:t xml:space="preserve">DeAvilla MD and Leech EB. Hypoglycemia associated with refeeding syndrome in a cat. </w:t>
      </w:r>
      <w:r w:rsidRPr="00B40A93">
        <w:rPr>
          <w:i/>
          <w:noProof/>
        </w:rPr>
        <w:t>J Vet Emerg Crit Care (San Antonio)</w:t>
      </w:r>
      <w:r w:rsidRPr="00B40A93">
        <w:rPr>
          <w:noProof/>
        </w:rPr>
        <w:t xml:space="preserve"> 2016; 26: 798-803. 2016/11/05. DOI: 10.1111/vec.12456.</w:t>
      </w:r>
    </w:p>
    <w:p w14:paraId="704DBCBF" w14:textId="77777777" w:rsidR="001E1CD9" w:rsidRPr="00B40A93" w:rsidRDefault="001E1CD9" w:rsidP="00BE380C">
      <w:pPr>
        <w:pStyle w:val="EndNoteBibliography"/>
        <w:rPr>
          <w:noProof/>
        </w:rPr>
      </w:pPr>
      <w:r w:rsidRPr="00B40A93">
        <w:rPr>
          <w:noProof/>
        </w:rPr>
        <w:t>7.</w:t>
      </w:r>
      <w:r w:rsidRPr="00B40A93">
        <w:rPr>
          <w:noProof/>
        </w:rPr>
        <w:tab/>
        <w:t xml:space="preserve">Chan DL. Refeeding Syndrome in Small Animals. In: Chan DL (ed) </w:t>
      </w:r>
      <w:r w:rsidRPr="00B40A93">
        <w:rPr>
          <w:i/>
          <w:noProof/>
        </w:rPr>
        <w:t>Nutritional Management of Hospitalized Small Animals</w:t>
      </w:r>
      <w:r w:rsidRPr="00B40A93">
        <w:rPr>
          <w:noProof/>
        </w:rPr>
        <w:t>. Chichester: John Wiley &amp; Sons, 2015, pp.159-164.</w:t>
      </w:r>
    </w:p>
    <w:p w14:paraId="714ED542" w14:textId="77777777" w:rsidR="001E1CD9" w:rsidRPr="00B40A93" w:rsidRDefault="001E1CD9" w:rsidP="00BE380C">
      <w:pPr>
        <w:pStyle w:val="EndNoteBibliography"/>
        <w:rPr>
          <w:noProof/>
        </w:rPr>
      </w:pPr>
      <w:r w:rsidRPr="00B40A93">
        <w:rPr>
          <w:noProof/>
        </w:rPr>
        <w:t>8.</w:t>
      </w:r>
      <w:r w:rsidRPr="00B40A93">
        <w:rPr>
          <w:noProof/>
        </w:rPr>
        <w:tab/>
        <w:t xml:space="preserve">Abdou E and Hazell AS. Thiamine deficiency: an update of pathophysiologic mechanisms and future therapeutic considerations. </w:t>
      </w:r>
      <w:r w:rsidRPr="00B40A93">
        <w:rPr>
          <w:i/>
          <w:noProof/>
        </w:rPr>
        <w:t>Neurochem Res</w:t>
      </w:r>
      <w:r w:rsidRPr="00B40A93">
        <w:rPr>
          <w:noProof/>
        </w:rPr>
        <w:t xml:space="preserve"> 2015; 40: 353-361. 2014/10/10. DOI: 10.1007/s11064-014-1430-z.</w:t>
      </w:r>
    </w:p>
    <w:p w14:paraId="78583823" w14:textId="77777777" w:rsidR="001E1CD9" w:rsidRPr="00B40A93" w:rsidRDefault="001E1CD9" w:rsidP="00BE380C">
      <w:pPr>
        <w:pStyle w:val="EndNoteBibliography"/>
        <w:rPr>
          <w:noProof/>
        </w:rPr>
      </w:pPr>
      <w:r w:rsidRPr="00B40A93">
        <w:rPr>
          <w:noProof/>
        </w:rPr>
        <w:t>9.</w:t>
      </w:r>
      <w:r w:rsidRPr="00B40A93">
        <w:rPr>
          <w:noProof/>
        </w:rPr>
        <w:tab/>
        <w:t xml:space="preserve">Gaudiani JL, Sabel AL, Mascolo M, et al. Severe anorexia nervosa: outcomes from a medical stabilization unit. </w:t>
      </w:r>
      <w:r w:rsidRPr="00B40A93">
        <w:rPr>
          <w:i/>
          <w:noProof/>
        </w:rPr>
        <w:t>Int J Eat Disord</w:t>
      </w:r>
      <w:r w:rsidRPr="00B40A93">
        <w:rPr>
          <w:noProof/>
        </w:rPr>
        <w:t xml:space="preserve"> 2012; 45: 85-92. 2011/12/16. DOI: 10.1002/eat.20889.</w:t>
      </w:r>
    </w:p>
    <w:p w14:paraId="6B6E9DF5" w14:textId="77777777" w:rsidR="001E1CD9" w:rsidRPr="00B40A93" w:rsidRDefault="001E1CD9" w:rsidP="00BE380C">
      <w:pPr>
        <w:pStyle w:val="EndNoteBibliography"/>
        <w:rPr>
          <w:noProof/>
        </w:rPr>
      </w:pPr>
      <w:r w:rsidRPr="00B40A93">
        <w:rPr>
          <w:noProof/>
        </w:rPr>
        <w:t>10.</w:t>
      </w:r>
      <w:r w:rsidRPr="00B40A93">
        <w:rPr>
          <w:noProof/>
        </w:rPr>
        <w:tab/>
        <w:t xml:space="preserve">Hofer M, Pozzi A, Joray M, et al. Safe refeeding management of anorexia nervosa inpatients: an evidence-based protocol. </w:t>
      </w:r>
      <w:r w:rsidRPr="00B40A93">
        <w:rPr>
          <w:i/>
          <w:noProof/>
        </w:rPr>
        <w:t>Nutrition</w:t>
      </w:r>
      <w:r w:rsidRPr="00B40A93">
        <w:rPr>
          <w:noProof/>
        </w:rPr>
        <w:t xml:space="preserve"> 2014; 30: 524-530. 2014/04/05. DOI: 10.1016/j.nut.2013.09.019.</w:t>
      </w:r>
    </w:p>
    <w:p w14:paraId="0DAEBAF7" w14:textId="77777777" w:rsidR="001E1CD9" w:rsidRPr="00B40A93" w:rsidRDefault="001E1CD9" w:rsidP="00BE380C">
      <w:pPr>
        <w:pStyle w:val="EndNoteBibliography"/>
        <w:rPr>
          <w:noProof/>
        </w:rPr>
      </w:pPr>
      <w:r w:rsidRPr="00B40A93">
        <w:rPr>
          <w:noProof/>
        </w:rPr>
        <w:t>11.</w:t>
      </w:r>
      <w:r w:rsidRPr="00B40A93">
        <w:rPr>
          <w:noProof/>
        </w:rPr>
        <w:tab/>
        <w:t xml:space="preserve">Crook MA, Hally V and Panteli JV. The importance of the refeeding syndrome. </w:t>
      </w:r>
      <w:r w:rsidRPr="00B40A93">
        <w:rPr>
          <w:i/>
          <w:noProof/>
        </w:rPr>
        <w:t>Nutrition</w:t>
      </w:r>
      <w:r w:rsidRPr="00B40A93">
        <w:rPr>
          <w:noProof/>
        </w:rPr>
        <w:t xml:space="preserve"> 2001; 17: 632-637. 2001/07/13. DOI: 10.1016/s0899-9007(01)00542-1.</w:t>
      </w:r>
    </w:p>
    <w:p w14:paraId="03474C0F" w14:textId="77777777" w:rsidR="001E1CD9" w:rsidRPr="00B40A93" w:rsidRDefault="001E1CD9" w:rsidP="00BE380C">
      <w:pPr>
        <w:pStyle w:val="EndNoteBibliography"/>
        <w:rPr>
          <w:noProof/>
        </w:rPr>
      </w:pPr>
      <w:r w:rsidRPr="00B40A93">
        <w:rPr>
          <w:noProof/>
        </w:rPr>
        <w:t>12.</w:t>
      </w:r>
      <w:r w:rsidRPr="00B40A93">
        <w:rPr>
          <w:noProof/>
        </w:rPr>
        <w:tab/>
        <w:t xml:space="preserve">Skipper A. Refeeding syndrome or refeeding hypophosphatemia: a systematic review of cases. </w:t>
      </w:r>
      <w:r w:rsidRPr="00B40A93">
        <w:rPr>
          <w:i/>
          <w:noProof/>
        </w:rPr>
        <w:t>Nutr Clin Pract</w:t>
      </w:r>
      <w:r w:rsidRPr="00B40A93">
        <w:rPr>
          <w:noProof/>
        </w:rPr>
        <w:t xml:space="preserve"> 2012; 27: 34-40. 2012/02/07. DOI: 10.1177/0884533611427916.</w:t>
      </w:r>
    </w:p>
    <w:p w14:paraId="613D8302" w14:textId="28DD40D9" w:rsidR="001E1CD9" w:rsidRPr="00B40A93" w:rsidRDefault="001E1CD9" w:rsidP="00BE380C">
      <w:pPr>
        <w:pStyle w:val="EndNoteBibliography"/>
        <w:rPr>
          <w:noProof/>
        </w:rPr>
      </w:pPr>
      <w:r w:rsidRPr="00B40A93">
        <w:rPr>
          <w:noProof/>
        </w:rPr>
        <w:t>13.</w:t>
      </w:r>
      <w:r w:rsidRPr="00B40A93">
        <w:rPr>
          <w:noProof/>
        </w:rPr>
        <w:tab/>
        <w:t>International Renal Interest Society</w:t>
      </w:r>
      <w:r w:rsidR="00FB598F" w:rsidRPr="00B40A93">
        <w:rPr>
          <w:noProof/>
        </w:rPr>
        <w:t xml:space="preserve"> (IRIS)</w:t>
      </w:r>
      <w:r w:rsidRPr="00B40A93">
        <w:rPr>
          <w:noProof/>
        </w:rPr>
        <w:t>. Grading of Acute Kidney Injury, http://www.iris-kidney.com/guidelines/grading.html (accessed 21st July 2020).</w:t>
      </w:r>
    </w:p>
    <w:p w14:paraId="44BE2615" w14:textId="77777777" w:rsidR="00B145D7" w:rsidRPr="00B40A93" w:rsidRDefault="00B145D7" w:rsidP="00B145D7">
      <w:pPr>
        <w:pStyle w:val="EndNoteBibliography"/>
        <w:rPr>
          <w:color w:val="000000" w:themeColor="text1"/>
        </w:rPr>
      </w:pPr>
      <w:r w:rsidRPr="00B40A93">
        <w:rPr>
          <w:noProof/>
        </w:rPr>
        <w:t xml:space="preserve">14. </w:t>
      </w:r>
      <w:r w:rsidRPr="00B40A93">
        <w:rPr>
          <w:color w:val="000000" w:themeColor="text1"/>
        </w:rPr>
        <w:t xml:space="preserve">Rogers QR, </w:t>
      </w:r>
      <w:r w:rsidRPr="00B40A93">
        <w:rPr>
          <w:color w:val="000000" w:themeColor="text1"/>
          <w:bdr w:val="none" w:sz="0" w:space="0" w:color="auto" w:frame="1"/>
        </w:rPr>
        <w:t>Morris JG</w:t>
      </w:r>
      <w:r w:rsidRPr="00B40A93">
        <w:rPr>
          <w:color w:val="000000" w:themeColor="text1"/>
        </w:rPr>
        <w:t xml:space="preserve"> and </w:t>
      </w:r>
      <w:r w:rsidRPr="00B40A93">
        <w:rPr>
          <w:color w:val="000000" w:themeColor="text1"/>
          <w:bdr w:val="none" w:sz="0" w:space="0" w:color="auto" w:frame="1"/>
        </w:rPr>
        <w:t>Freedland RA</w:t>
      </w:r>
      <w:r w:rsidRPr="00B40A93">
        <w:rPr>
          <w:color w:val="000000" w:themeColor="text1"/>
        </w:rPr>
        <w:t>.</w:t>
      </w:r>
      <w:r w:rsidRPr="00B40A93">
        <w:rPr>
          <w:color w:val="000000" w:themeColor="text1"/>
          <w:shd w:val="clear" w:color="auto" w:fill="FFFFFF"/>
        </w:rPr>
        <w:t xml:space="preserve"> </w:t>
      </w:r>
      <w:r w:rsidRPr="00B40A93">
        <w:rPr>
          <w:color w:val="000000" w:themeColor="text1"/>
        </w:rPr>
        <w:t>Lack of hepatic enzymatic adaptation to low and high levels of dietary protein in the adult cat</w:t>
      </w:r>
      <w:r w:rsidRPr="00B40A93">
        <w:rPr>
          <w:color w:val="000000" w:themeColor="text1"/>
          <w:shd w:val="clear" w:color="auto" w:fill="FFFFFF"/>
        </w:rPr>
        <w:t>. </w:t>
      </w:r>
      <w:r w:rsidRPr="00B40A93">
        <w:rPr>
          <w:i/>
          <w:iCs/>
          <w:color w:val="000000" w:themeColor="text1"/>
        </w:rPr>
        <w:t>Enzyme 1977</w:t>
      </w:r>
      <w:r w:rsidRPr="00B40A93">
        <w:rPr>
          <w:color w:val="000000" w:themeColor="text1"/>
        </w:rPr>
        <w:t xml:space="preserve"> 22</w:t>
      </w:r>
      <w:r w:rsidRPr="00B40A93">
        <w:rPr>
          <w:color w:val="000000" w:themeColor="text1"/>
          <w:shd w:val="clear" w:color="auto" w:fill="FFFFFF"/>
        </w:rPr>
        <w:t>:</w:t>
      </w:r>
      <w:r w:rsidRPr="00B40A93">
        <w:rPr>
          <w:color w:val="000000" w:themeColor="text1"/>
        </w:rPr>
        <w:t>348</w:t>
      </w:r>
      <w:r w:rsidRPr="00B40A93">
        <w:rPr>
          <w:color w:val="000000" w:themeColor="text1"/>
          <w:shd w:val="clear" w:color="auto" w:fill="FFFFFF"/>
        </w:rPr>
        <w:t>–</w:t>
      </w:r>
      <w:r w:rsidRPr="00B40A93">
        <w:rPr>
          <w:color w:val="000000" w:themeColor="text1"/>
        </w:rPr>
        <w:t>356</w:t>
      </w:r>
    </w:p>
    <w:p w14:paraId="4B0D8259" w14:textId="71DFA9EE" w:rsidR="00B145D7" w:rsidRPr="00B40A93" w:rsidRDefault="00B145D7" w:rsidP="00B145D7">
      <w:pPr>
        <w:rPr>
          <w:color w:val="000000" w:themeColor="text1"/>
        </w:rPr>
      </w:pPr>
      <w:r w:rsidRPr="00B40A93">
        <w:rPr>
          <w:noProof/>
        </w:rPr>
        <w:t xml:space="preserve">15. </w:t>
      </w:r>
      <w:r w:rsidRPr="00B40A93">
        <w:rPr>
          <w:color w:val="000000" w:themeColor="text1"/>
        </w:rPr>
        <w:t>Russell K, Murgatroyd PR and Batt RM. Net Protein Oxidation Is Adapted to Dietary Protein Intake in Domestic Cats (</w:t>
      </w:r>
      <w:r w:rsidRPr="00B40A93">
        <w:rPr>
          <w:rStyle w:val="Emphasis"/>
          <w:rFonts w:eastAsiaTheme="majorEastAsia"/>
          <w:color w:val="000000" w:themeColor="text1"/>
          <w:bdr w:val="none" w:sz="0" w:space="0" w:color="auto" w:frame="1"/>
        </w:rPr>
        <w:t xml:space="preserve">Felis </w:t>
      </w:r>
      <w:proofErr w:type="spellStart"/>
      <w:r w:rsidRPr="00B40A93">
        <w:rPr>
          <w:rStyle w:val="Emphasis"/>
          <w:rFonts w:eastAsiaTheme="majorEastAsia"/>
          <w:color w:val="000000" w:themeColor="text1"/>
          <w:bdr w:val="none" w:sz="0" w:space="0" w:color="auto" w:frame="1"/>
        </w:rPr>
        <w:t>silvestris</w:t>
      </w:r>
      <w:proofErr w:type="spellEnd"/>
      <w:r w:rsidRPr="00B40A93">
        <w:rPr>
          <w:rStyle w:val="Emphasis"/>
          <w:rFonts w:eastAsiaTheme="majorEastAsia"/>
          <w:color w:val="000000" w:themeColor="text1"/>
          <w:bdr w:val="none" w:sz="0" w:space="0" w:color="auto" w:frame="1"/>
        </w:rPr>
        <w:t xml:space="preserve"> </w:t>
      </w:r>
      <w:proofErr w:type="spellStart"/>
      <w:r w:rsidRPr="00B40A93">
        <w:rPr>
          <w:rStyle w:val="Emphasis"/>
          <w:rFonts w:eastAsiaTheme="majorEastAsia"/>
          <w:color w:val="000000" w:themeColor="text1"/>
          <w:bdr w:val="none" w:sz="0" w:space="0" w:color="auto" w:frame="1"/>
        </w:rPr>
        <w:t>catus</w:t>
      </w:r>
      <w:proofErr w:type="spellEnd"/>
      <w:r w:rsidRPr="00B40A93">
        <w:rPr>
          <w:color w:val="000000" w:themeColor="text1"/>
        </w:rPr>
        <w:t>)</w:t>
      </w:r>
      <w:r w:rsidRPr="00B40A93">
        <w:rPr>
          <w:rStyle w:val="apple-converted-space"/>
          <w:color w:val="000000" w:themeColor="text1"/>
        </w:rPr>
        <w:t xml:space="preserve">. </w:t>
      </w:r>
      <w:r w:rsidRPr="00B40A93">
        <w:rPr>
          <w:rStyle w:val="Emphasis"/>
          <w:rFonts w:eastAsiaTheme="majorEastAsia"/>
          <w:color w:val="000000" w:themeColor="text1"/>
          <w:bdr w:val="none" w:sz="0" w:space="0" w:color="auto" w:frame="1"/>
        </w:rPr>
        <w:t>The Journal of Nutrition 2002</w:t>
      </w:r>
      <w:r w:rsidRPr="00B40A93">
        <w:rPr>
          <w:color w:val="000000" w:themeColor="text1"/>
          <w:shd w:val="clear" w:color="auto" w:fill="FFFFFF"/>
        </w:rPr>
        <w:t>; 132: 456-460</w:t>
      </w:r>
    </w:p>
    <w:p w14:paraId="0FD7E057" w14:textId="3B15F1B0" w:rsidR="001E1CD9" w:rsidRPr="00B40A93" w:rsidRDefault="001E1CD9" w:rsidP="00BE380C">
      <w:pPr>
        <w:pStyle w:val="EndNoteBibliography"/>
        <w:rPr>
          <w:noProof/>
        </w:rPr>
      </w:pPr>
      <w:r w:rsidRPr="00B40A93">
        <w:rPr>
          <w:noProof/>
        </w:rPr>
        <w:t>1</w:t>
      </w:r>
      <w:r w:rsidR="00CB4552" w:rsidRPr="00B40A93">
        <w:rPr>
          <w:noProof/>
        </w:rPr>
        <w:t>6</w:t>
      </w:r>
      <w:r w:rsidRPr="00B40A93">
        <w:rPr>
          <w:noProof/>
        </w:rPr>
        <w:t>.</w:t>
      </w:r>
      <w:r w:rsidRPr="00B40A93">
        <w:rPr>
          <w:noProof/>
        </w:rPr>
        <w:tab/>
        <w:t xml:space="preserve">Guyton AC and Hall JE. </w:t>
      </w:r>
      <w:r w:rsidRPr="00B40A93">
        <w:rPr>
          <w:i/>
          <w:noProof/>
        </w:rPr>
        <w:t>Textbook of Medical Physiology</w:t>
      </w:r>
      <w:r w:rsidRPr="00B40A93">
        <w:rPr>
          <w:noProof/>
        </w:rPr>
        <w:t>. 12th ed. Philadelphia: Elsevier Saunders, 2012.</w:t>
      </w:r>
    </w:p>
    <w:p w14:paraId="67C61057" w14:textId="7CC03EA6" w:rsidR="001E1CD9" w:rsidRPr="00B40A93" w:rsidRDefault="001E1CD9" w:rsidP="00BE380C">
      <w:pPr>
        <w:pStyle w:val="EndNoteBibliography"/>
        <w:rPr>
          <w:noProof/>
        </w:rPr>
      </w:pPr>
      <w:r w:rsidRPr="00B40A93">
        <w:rPr>
          <w:noProof/>
        </w:rPr>
        <w:t>1</w:t>
      </w:r>
      <w:r w:rsidR="00CB4552" w:rsidRPr="00B40A93">
        <w:rPr>
          <w:noProof/>
        </w:rPr>
        <w:t>7</w:t>
      </w:r>
      <w:r w:rsidRPr="00B40A93">
        <w:rPr>
          <w:noProof/>
        </w:rPr>
        <w:t>.</w:t>
      </w:r>
      <w:r w:rsidRPr="00B40A93">
        <w:rPr>
          <w:noProof/>
        </w:rPr>
        <w:tab/>
        <w:t xml:space="preserve">Ornstein RM, Golden NH, Jacobson MS, et al. Hypophosphatemia during nutritional rehabilitation in anorexia nervosa: implications for refeeding and monitoring. </w:t>
      </w:r>
      <w:r w:rsidRPr="00B40A93">
        <w:rPr>
          <w:i/>
          <w:noProof/>
        </w:rPr>
        <w:t>J Adolesc Health</w:t>
      </w:r>
      <w:r w:rsidRPr="00B40A93">
        <w:rPr>
          <w:noProof/>
        </w:rPr>
        <w:t xml:space="preserve"> 2003; 32: 83-88. 2003/01/01. DOI: 10.1016/s1054-139x(02)00456-1.</w:t>
      </w:r>
    </w:p>
    <w:p w14:paraId="346DD64A" w14:textId="47F6E425" w:rsidR="001E1CD9" w:rsidRPr="00B40A93" w:rsidRDefault="001E1CD9" w:rsidP="00BE380C">
      <w:pPr>
        <w:pStyle w:val="EndNoteBibliography"/>
        <w:rPr>
          <w:noProof/>
        </w:rPr>
      </w:pPr>
      <w:r w:rsidRPr="00B40A93">
        <w:rPr>
          <w:noProof/>
        </w:rPr>
        <w:lastRenderedPageBreak/>
        <w:t>1</w:t>
      </w:r>
      <w:r w:rsidR="00CB4552" w:rsidRPr="00B40A93">
        <w:rPr>
          <w:noProof/>
        </w:rPr>
        <w:t>8</w:t>
      </w:r>
      <w:r w:rsidRPr="00B40A93">
        <w:rPr>
          <w:noProof/>
        </w:rPr>
        <w:t>.</w:t>
      </w:r>
      <w:r w:rsidRPr="00B40A93">
        <w:rPr>
          <w:noProof/>
        </w:rPr>
        <w:tab/>
        <w:t xml:space="preserve">Friedli N, Stanga Z, Sobotka L, et al. Revisiting the refeeding syndrome: Results of a systematic review. </w:t>
      </w:r>
      <w:r w:rsidRPr="00B40A93">
        <w:rPr>
          <w:i/>
          <w:noProof/>
        </w:rPr>
        <w:t>Nutrition</w:t>
      </w:r>
      <w:r w:rsidRPr="00B40A93">
        <w:rPr>
          <w:noProof/>
        </w:rPr>
        <w:t xml:space="preserve"> 2017; 35: 151-160. 2017/01/15. DOI: 10.1016/j.nut.2016.05.016.</w:t>
      </w:r>
    </w:p>
    <w:p w14:paraId="74C291F2" w14:textId="32544995" w:rsidR="001E1CD9" w:rsidRPr="00B40A93" w:rsidRDefault="001E1CD9" w:rsidP="00BE380C">
      <w:pPr>
        <w:pStyle w:val="EndNoteBibliography"/>
        <w:rPr>
          <w:noProof/>
        </w:rPr>
      </w:pPr>
      <w:r w:rsidRPr="00B40A93">
        <w:rPr>
          <w:noProof/>
        </w:rPr>
        <w:t>1</w:t>
      </w:r>
      <w:r w:rsidR="00CB4552" w:rsidRPr="00B40A93">
        <w:rPr>
          <w:noProof/>
        </w:rPr>
        <w:t>9</w:t>
      </w:r>
      <w:r w:rsidRPr="00B40A93">
        <w:rPr>
          <w:noProof/>
        </w:rPr>
        <w:t>.</w:t>
      </w:r>
      <w:r w:rsidRPr="00B40A93">
        <w:rPr>
          <w:noProof/>
        </w:rPr>
        <w:tab/>
        <w:t xml:space="preserve">Goyale A, Ashley SL, Taylor DR, et al. Predicting refeeding hypophosphataemia: insulin growth factor 1 (IGF-1) as a diagnostic biochemical marker for clinical practice. </w:t>
      </w:r>
      <w:r w:rsidRPr="00B40A93">
        <w:rPr>
          <w:i/>
          <w:noProof/>
        </w:rPr>
        <w:t>Ann Clin Biochem</w:t>
      </w:r>
      <w:r w:rsidRPr="00B40A93">
        <w:rPr>
          <w:noProof/>
        </w:rPr>
        <w:t xml:space="preserve"> 2015; 52: 82-87. 2014/03/13. DOI: 10.1177/0004563214523739.</w:t>
      </w:r>
    </w:p>
    <w:p w14:paraId="6765F28A" w14:textId="1F670DD4" w:rsidR="001E1CD9" w:rsidRPr="00B40A93" w:rsidRDefault="00CB4552" w:rsidP="00BE380C">
      <w:pPr>
        <w:pStyle w:val="EndNoteBibliography"/>
        <w:rPr>
          <w:noProof/>
        </w:rPr>
      </w:pPr>
      <w:r w:rsidRPr="00B40A93">
        <w:rPr>
          <w:noProof/>
        </w:rPr>
        <w:t>20</w:t>
      </w:r>
      <w:r w:rsidR="001E1CD9" w:rsidRPr="00B40A93">
        <w:rPr>
          <w:noProof/>
        </w:rPr>
        <w:t>.</w:t>
      </w:r>
      <w:r w:rsidR="001E1CD9" w:rsidRPr="00B40A93">
        <w:rPr>
          <w:noProof/>
        </w:rPr>
        <w:tab/>
        <w:t xml:space="preserve">Knochel JP. The pathophysiology and clinical characteristics of severe hypophosphatemia. </w:t>
      </w:r>
      <w:r w:rsidR="001E1CD9" w:rsidRPr="00B40A93">
        <w:rPr>
          <w:i/>
          <w:noProof/>
        </w:rPr>
        <w:t>Arch Intern Med</w:t>
      </w:r>
      <w:r w:rsidR="001E1CD9" w:rsidRPr="00B40A93">
        <w:rPr>
          <w:noProof/>
        </w:rPr>
        <w:t xml:space="preserve"> 1977; 137: 203-220. 1977/02/01.</w:t>
      </w:r>
    </w:p>
    <w:p w14:paraId="4D167B43" w14:textId="49F42BD2" w:rsidR="001E1CD9" w:rsidRPr="00B40A93" w:rsidRDefault="00CB4552" w:rsidP="00BE380C">
      <w:pPr>
        <w:pStyle w:val="EndNoteBibliography"/>
        <w:rPr>
          <w:noProof/>
        </w:rPr>
      </w:pPr>
      <w:r w:rsidRPr="00B40A93">
        <w:rPr>
          <w:noProof/>
        </w:rPr>
        <w:t>21</w:t>
      </w:r>
      <w:r w:rsidR="001E1CD9" w:rsidRPr="00B40A93">
        <w:rPr>
          <w:noProof/>
        </w:rPr>
        <w:t>.</w:t>
      </w:r>
      <w:r w:rsidR="001E1CD9" w:rsidRPr="00B40A93">
        <w:rPr>
          <w:noProof/>
        </w:rPr>
        <w:tab/>
        <w:t xml:space="preserve">Forrester SD and Moreland KJ. Hypophosphatemia. Causes and clinical consequences. </w:t>
      </w:r>
      <w:r w:rsidR="001E1CD9" w:rsidRPr="00B40A93">
        <w:rPr>
          <w:i/>
          <w:noProof/>
        </w:rPr>
        <w:t>J Vet Intern Med</w:t>
      </w:r>
      <w:r w:rsidR="001E1CD9" w:rsidRPr="00B40A93">
        <w:rPr>
          <w:noProof/>
        </w:rPr>
        <w:t xml:space="preserve"> 1989; 3: 149-159. 1989/07/01. DOI: 10.1111/j.1939-1676.1989.tb03091.x.</w:t>
      </w:r>
    </w:p>
    <w:p w14:paraId="72839F17" w14:textId="2AAF79A6" w:rsidR="001E1CD9" w:rsidRPr="00B40A93" w:rsidRDefault="001E1CD9" w:rsidP="00BE380C">
      <w:pPr>
        <w:pStyle w:val="EndNoteBibliography"/>
        <w:rPr>
          <w:noProof/>
        </w:rPr>
      </w:pPr>
      <w:r w:rsidRPr="00B40A93">
        <w:rPr>
          <w:noProof/>
        </w:rPr>
        <w:t>2</w:t>
      </w:r>
      <w:r w:rsidR="00CB4552" w:rsidRPr="00B40A93">
        <w:rPr>
          <w:noProof/>
        </w:rPr>
        <w:t>2</w:t>
      </w:r>
      <w:r w:rsidRPr="00B40A93">
        <w:rPr>
          <w:noProof/>
        </w:rPr>
        <w:t>.</w:t>
      </w:r>
      <w:r w:rsidRPr="00B40A93">
        <w:rPr>
          <w:noProof/>
        </w:rPr>
        <w:tab/>
        <w:t xml:space="preserve">Dibartola SP and De Morais HA. Disorders of Potassium: Hypokalemia and Hyperkalemia. In: DiBartola SP (ed) </w:t>
      </w:r>
      <w:r w:rsidRPr="00B40A93">
        <w:rPr>
          <w:i/>
          <w:noProof/>
        </w:rPr>
        <w:t>Fluid, Electrolyte, and Acid-Base Disorders in Small Animal Practice</w:t>
      </w:r>
      <w:r w:rsidRPr="00B40A93">
        <w:rPr>
          <w:noProof/>
        </w:rPr>
        <w:t>. 4th ed. St Louis: Elsevier Saunders, 2012, pp.92-119.</w:t>
      </w:r>
    </w:p>
    <w:p w14:paraId="3E7B28D2" w14:textId="7C7AF727" w:rsidR="001E1CD9" w:rsidRPr="00B40A93" w:rsidRDefault="001E1CD9" w:rsidP="00BE380C">
      <w:pPr>
        <w:pStyle w:val="EndNoteBibliography"/>
        <w:rPr>
          <w:noProof/>
        </w:rPr>
      </w:pPr>
      <w:r w:rsidRPr="00B40A93">
        <w:rPr>
          <w:noProof/>
        </w:rPr>
        <w:t>2</w:t>
      </w:r>
      <w:r w:rsidR="00CB4552" w:rsidRPr="00B40A93">
        <w:rPr>
          <w:noProof/>
        </w:rPr>
        <w:t>3</w:t>
      </w:r>
      <w:r w:rsidRPr="00B40A93">
        <w:rPr>
          <w:noProof/>
        </w:rPr>
        <w:t>.</w:t>
      </w:r>
      <w:r w:rsidRPr="00B40A93">
        <w:rPr>
          <w:noProof/>
        </w:rPr>
        <w:tab/>
        <w:t xml:space="preserve">de Lahunta A, Glass E and Kent M. </w:t>
      </w:r>
      <w:r w:rsidRPr="00B40A93">
        <w:rPr>
          <w:i/>
          <w:noProof/>
        </w:rPr>
        <w:t>Veterinary Neuroanatomy and clinical neurology</w:t>
      </w:r>
      <w:r w:rsidRPr="00B40A93">
        <w:rPr>
          <w:noProof/>
        </w:rPr>
        <w:t>. 4th ed. St Louis: Elsevier Saunders, 2015.</w:t>
      </w:r>
    </w:p>
    <w:p w14:paraId="15D9D6AF" w14:textId="31A36C1F" w:rsidR="001E1CD9" w:rsidRPr="00B40A93" w:rsidRDefault="001E1CD9" w:rsidP="00BE380C">
      <w:pPr>
        <w:pStyle w:val="EndNoteBibliography"/>
        <w:rPr>
          <w:noProof/>
        </w:rPr>
      </w:pPr>
      <w:r w:rsidRPr="00B40A93">
        <w:rPr>
          <w:noProof/>
        </w:rPr>
        <w:t>2</w:t>
      </w:r>
      <w:r w:rsidR="00CB4552" w:rsidRPr="00B40A93">
        <w:rPr>
          <w:noProof/>
        </w:rPr>
        <w:t>4</w:t>
      </w:r>
      <w:r w:rsidRPr="00B40A93">
        <w:rPr>
          <w:noProof/>
        </w:rPr>
        <w:t>.</w:t>
      </w:r>
      <w:r w:rsidRPr="00B40A93">
        <w:rPr>
          <w:noProof/>
        </w:rPr>
        <w:tab/>
        <w:t xml:space="preserve">Dewey CW. Encephalopathies: Disorders of the brain. In: Dewey CW, da Costa, R.C. (ed) </w:t>
      </w:r>
      <w:r w:rsidRPr="00B40A93">
        <w:rPr>
          <w:i/>
          <w:noProof/>
        </w:rPr>
        <w:t>Practical guide to canine and feline neurology</w:t>
      </w:r>
      <w:r w:rsidRPr="00B40A93">
        <w:rPr>
          <w:noProof/>
        </w:rPr>
        <w:t>. 3rd ed.: Wiley Blackwell, 2016, pp.141-236.</w:t>
      </w:r>
    </w:p>
    <w:p w14:paraId="610DBB9B" w14:textId="45E2E48A" w:rsidR="001E1CD9" w:rsidRPr="00B40A93" w:rsidRDefault="001E1CD9" w:rsidP="00BE380C">
      <w:pPr>
        <w:pStyle w:val="EndNoteBibliography"/>
        <w:rPr>
          <w:noProof/>
        </w:rPr>
      </w:pPr>
      <w:r w:rsidRPr="00B40A93">
        <w:rPr>
          <w:noProof/>
        </w:rPr>
        <w:t>2</w:t>
      </w:r>
      <w:r w:rsidR="00CB4552" w:rsidRPr="00B40A93">
        <w:rPr>
          <w:noProof/>
        </w:rPr>
        <w:t>5</w:t>
      </w:r>
      <w:r w:rsidRPr="00B40A93">
        <w:rPr>
          <w:noProof/>
        </w:rPr>
        <w:t>.</w:t>
      </w:r>
      <w:r w:rsidRPr="00B40A93">
        <w:rPr>
          <w:noProof/>
        </w:rPr>
        <w:tab/>
        <w:t xml:space="preserve">Friedli N, Stanga Z, Culkin A, et al. Management and prevention of refeeding syndrome in medical inpatients: An evidence-based and consensus-supported algorithm. </w:t>
      </w:r>
      <w:r w:rsidRPr="00B40A93">
        <w:rPr>
          <w:i/>
          <w:noProof/>
        </w:rPr>
        <w:t>Nutrition</w:t>
      </w:r>
      <w:r w:rsidRPr="00B40A93">
        <w:rPr>
          <w:noProof/>
        </w:rPr>
        <w:t xml:space="preserve"> 2018; 47: 13-20. 2018/02/13. DOI: 10.1016/j.nut.2017.09.007.</w:t>
      </w:r>
    </w:p>
    <w:p w14:paraId="66E326D0" w14:textId="1C10CCA1" w:rsidR="001E1CD9" w:rsidRPr="00B40A93" w:rsidRDefault="001E1CD9" w:rsidP="00BE380C">
      <w:pPr>
        <w:pStyle w:val="EndNoteBibliography"/>
        <w:rPr>
          <w:noProof/>
        </w:rPr>
      </w:pPr>
      <w:r w:rsidRPr="00B40A93">
        <w:rPr>
          <w:noProof/>
        </w:rPr>
        <w:t>2</w:t>
      </w:r>
      <w:r w:rsidR="00CB4552" w:rsidRPr="00B40A93">
        <w:rPr>
          <w:noProof/>
        </w:rPr>
        <w:t>6</w:t>
      </w:r>
      <w:r w:rsidRPr="00B40A93">
        <w:rPr>
          <w:noProof/>
        </w:rPr>
        <w:t>.</w:t>
      </w:r>
      <w:r w:rsidRPr="00B40A93">
        <w:rPr>
          <w:noProof/>
        </w:rPr>
        <w:tab/>
        <w:t xml:space="preserve">DeFronzo RA and Lang R. Hypophosphatemia and glucose intolerance: evidence for tissue insensitivity to insulin. </w:t>
      </w:r>
      <w:r w:rsidRPr="00B40A93">
        <w:rPr>
          <w:i/>
          <w:noProof/>
        </w:rPr>
        <w:t>N Engl J Med</w:t>
      </w:r>
      <w:r w:rsidRPr="00B40A93">
        <w:rPr>
          <w:noProof/>
        </w:rPr>
        <w:t xml:space="preserve"> 1980; 303: 1259-1263. 1980/11/27. DOI: 10.1056/NEJM198011273032203.</w:t>
      </w:r>
    </w:p>
    <w:p w14:paraId="3354DCEB" w14:textId="0E2CFCCE" w:rsidR="001E1CD9" w:rsidRPr="00B40A93" w:rsidRDefault="001E1CD9" w:rsidP="00BE380C">
      <w:pPr>
        <w:pStyle w:val="EndNoteBibliography"/>
        <w:rPr>
          <w:noProof/>
        </w:rPr>
      </w:pPr>
      <w:r w:rsidRPr="00B40A93">
        <w:rPr>
          <w:noProof/>
        </w:rPr>
        <w:t>2</w:t>
      </w:r>
      <w:r w:rsidR="00CB4552" w:rsidRPr="00B40A93">
        <w:rPr>
          <w:noProof/>
        </w:rPr>
        <w:t>7</w:t>
      </w:r>
      <w:r w:rsidRPr="00B40A93">
        <w:rPr>
          <w:noProof/>
        </w:rPr>
        <w:t>.</w:t>
      </w:r>
      <w:r w:rsidRPr="00B40A93">
        <w:rPr>
          <w:noProof/>
        </w:rPr>
        <w:tab/>
        <w:t xml:space="preserve">Chan DL, Freeman LM, Rozanski EA, et al. Alterations in carbohydrate metabolism in critically ill cats. </w:t>
      </w:r>
      <w:r w:rsidRPr="00B40A93">
        <w:rPr>
          <w:i/>
          <w:noProof/>
        </w:rPr>
        <w:t>Journal of Veterinary Emergency and Critical Care</w:t>
      </w:r>
      <w:r w:rsidRPr="00B40A93">
        <w:rPr>
          <w:noProof/>
        </w:rPr>
        <w:t xml:space="preserve"> 2006; 16: S7-S13. DOI: 10.1111/j.1476-4431.2005.00150.x.</w:t>
      </w:r>
    </w:p>
    <w:p w14:paraId="59ABF7AA" w14:textId="21026021" w:rsidR="001E1CD9" w:rsidRPr="00B40A93" w:rsidRDefault="001E1CD9" w:rsidP="00BE380C">
      <w:pPr>
        <w:pStyle w:val="EndNoteBibliography"/>
        <w:rPr>
          <w:noProof/>
        </w:rPr>
      </w:pPr>
      <w:r w:rsidRPr="00B40A93">
        <w:rPr>
          <w:noProof/>
        </w:rPr>
        <w:t>2</w:t>
      </w:r>
      <w:r w:rsidR="00CB4552" w:rsidRPr="00B40A93">
        <w:rPr>
          <w:noProof/>
        </w:rPr>
        <w:t>8</w:t>
      </w:r>
      <w:r w:rsidRPr="00B40A93">
        <w:rPr>
          <w:noProof/>
        </w:rPr>
        <w:t>.</w:t>
      </w:r>
      <w:r w:rsidRPr="00B40A93">
        <w:rPr>
          <w:noProof/>
        </w:rPr>
        <w:tab/>
        <w:t xml:space="preserve">Bateman S. Disorders of Magnesium: Magnesium Deficit and Excess. In: DiBartola SP (ed) </w:t>
      </w:r>
      <w:r w:rsidRPr="00B40A93">
        <w:rPr>
          <w:i/>
          <w:noProof/>
        </w:rPr>
        <w:t>Fluid, Electrolyte, and Acid-Base Disorders in Small Animal Practice</w:t>
      </w:r>
      <w:r w:rsidRPr="00B40A93">
        <w:rPr>
          <w:noProof/>
        </w:rPr>
        <w:t>. 4th ed. St Louis: Elsevier Saunders, 2012, pp.212-229.</w:t>
      </w:r>
    </w:p>
    <w:p w14:paraId="35491BDC" w14:textId="725C46B5" w:rsidR="001E1CD9" w:rsidRPr="00B40A93" w:rsidRDefault="001E1CD9" w:rsidP="00BE380C">
      <w:pPr>
        <w:pStyle w:val="EndNoteBibliography"/>
        <w:rPr>
          <w:noProof/>
        </w:rPr>
      </w:pPr>
      <w:r w:rsidRPr="00B40A93">
        <w:rPr>
          <w:noProof/>
        </w:rPr>
        <w:t>2</w:t>
      </w:r>
      <w:r w:rsidR="00CB4552" w:rsidRPr="00B40A93">
        <w:rPr>
          <w:noProof/>
        </w:rPr>
        <w:t>9</w:t>
      </w:r>
      <w:r w:rsidRPr="00B40A93">
        <w:rPr>
          <w:noProof/>
        </w:rPr>
        <w:t>.</w:t>
      </w:r>
      <w:r w:rsidRPr="00B40A93">
        <w:rPr>
          <w:noProof/>
        </w:rPr>
        <w:tab/>
        <w:t xml:space="preserve">Humphrey S, Kirby R and Rudloff E. Magnesium physiology and clinical therapy in veterinary critical care. </w:t>
      </w:r>
      <w:r w:rsidRPr="00B40A93">
        <w:rPr>
          <w:i/>
          <w:noProof/>
        </w:rPr>
        <w:t>J Vet Emerg Crit Care (San Antonio)</w:t>
      </w:r>
      <w:r w:rsidRPr="00B40A93">
        <w:rPr>
          <w:noProof/>
        </w:rPr>
        <w:t xml:space="preserve"> 2015; 25: 210-225. 2014/11/28. DOI: 10.1111/vec.12253.</w:t>
      </w:r>
    </w:p>
    <w:p w14:paraId="50BE9E5D" w14:textId="63B8D1E0" w:rsidR="001E1CD9" w:rsidRPr="00B40A93" w:rsidRDefault="00CB4552" w:rsidP="00BE380C">
      <w:pPr>
        <w:pStyle w:val="EndNoteBibliography"/>
        <w:rPr>
          <w:noProof/>
        </w:rPr>
      </w:pPr>
      <w:r w:rsidRPr="00B40A93">
        <w:rPr>
          <w:noProof/>
        </w:rPr>
        <w:t>30</w:t>
      </w:r>
      <w:r w:rsidR="001E1CD9" w:rsidRPr="00B40A93">
        <w:rPr>
          <w:noProof/>
        </w:rPr>
        <w:t>.</w:t>
      </w:r>
      <w:r w:rsidR="001E1CD9" w:rsidRPr="00B40A93">
        <w:rPr>
          <w:noProof/>
        </w:rPr>
        <w:tab/>
        <w:t xml:space="preserve">Ebel H and Gunther T. Magnesium metabolism: a review. </w:t>
      </w:r>
      <w:r w:rsidR="001E1CD9" w:rsidRPr="00B40A93">
        <w:rPr>
          <w:i/>
          <w:noProof/>
        </w:rPr>
        <w:t>J Clin Chem Clin Biochem</w:t>
      </w:r>
      <w:r w:rsidR="001E1CD9" w:rsidRPr="00B40A93">
        <w:rPr>
          <w:noProof/>
        </w:rPr>
        <w:t xml:space="preserve"> 1980; 18: 257-270. 1980/05/01. DOI: 10.1515/cclm.1980.18.5.257.</w:t>
      </w:r>
    </w:p>
    <w:p w14:paraId="3BCE2EA7" w14:textId="2E79F3CE" w:rsidR="001E1CD9" w:rsidRPr="00B40A93" w:rsidRDefault="00CB4552" w:rsidP="00BE380C">
      <w:pPr>
        <w:pStyle w:val="EndNoteBibliography"/>
        <w:rPr>
          <w:noProof/>
        </w:rPr>
      </w:pPr>
      <w:r w:rsidRPr="00B40A93">
        <w:rPr>
          <w:noProof/>
        </w:rPr>
        <w:t>31</w:t>
      </w:r>
      <w:r w:rsidR="001E1CD9" w:rsidRPr="00B40A93">
        <w:rPr>
          <w:noProof/>
        </w:rPr>
        <w:t>.</w:t>
      </w:r>
      <w:r w:rsidR="001E1CD9" w:rsidRPr="00B40A93">
        <w:rPr>
          <w:noProof/>
        </w:rPr>
        <w:tab/>
        <w:t xml:space="preserve">Sechi G and Serra A. Wernicke's encephalopathy: new clinical settings and recent advances in diagnosis and management. </w:t>
      </w:r>
      <w:r w:rsidR="001E1CD9" w:rsidRPr="00B40A93">
        <w:rPr>
          <w:i/>
          <w:noProof/>
        </w:rPr>
        <w:t>Lancet Neurol</w:t>
      </w:r>
      <w:r w:rsidR="001E1CD9" w:rsidRPr="00B40A93">
        <w:rPr>
          <w:noProof/>
        </w:rPr>
        <w:t xml:space="preserve"> 2007; 6: 442-455. 2007/04/17. DOI: 10.1016/S1474-4422(07)70104-7.</w:t>
      </w:r>
    </w:p>
    <w:p w14:paraId="6FE0807A" w14:textId="63A9D514" w:rsidR="001E1CD9" w:rsidRPr="00B40A93" w:rsidRDefault="001E1CD9" w:rsidP="00BE380C">
      <w:pPr>
        <w:pStyle w:val="EndNoteBibliography"/>
        <w:rPr>
          <w:noProof/>
        </w:rPr>
      </w:pPr>
      <w:r w:rsidRPr="00B40A93">
        <w:rPr>
          <w:noProof/>
        </w:rPr>
        <w:t>3</w:t>
      </w:r>
      <w:r w:rsidR="00CB4552" w:rsidRPr="00B40A93">
        <w:rPr>
          <w:noProof/>
        </w:rPr>
        <w:t>2</w:t>
      </w:r>
      <w:r w:rsidRPr="00B40A93">
        <w:rPr>
          <w:noProof/>
        </w:rPr>
        <w:t>.</w:t>
      </w:r>
      <w:r w:rsidRPr="00B40A93">
        <w:rPr>
          <w:noProof/>
        </w:rPr>
        <w:tab/>
        <w:t xml:space="preserve">Le Gal A, Thomas EK and Humm KR. Xenotransfusion of canine blood to cats: a review of 49 cases and their outcome. </w:t>
      </w:r>
      <w:r w:rsidRPr="00B40A93">
        <w:rPr>
          <w:i/>
          <w:noProof/>
        </w:rPr>
        <w:t>J Small Anim Pract</w:t>
      </w:r>
      <w:r w:rsidRPr="00B40A93">
        <w:rPr>
          <w:noProof/>
        </w:rPr>
        <w:t xml:space="preserve"> 2020; 61: 156-162. 2019/12/24. DOI: 10.1111/jsap.13096.</w:t>
      </w:r>
    </w:p>
    <w:p w14:paraId="12ADB0EC" w14:textId="61D63CC8" w:rsidR="001E1CD9" w:rsidRPr="00B40A93" w:rsidRDefault="001E1CD9" w:rsidP="00BE380C">
      <w:pPr>
        <w:pStyle w:val="EndNoteBibliography"/>
        <w:rPr>
          <w:noProof/>
        </w:rPr>
      </w:pPr>
      <w:r w:rsidRPr="00B40A93">
        <w:rPr>
          <w:noProof/>
        </w:rPr>
        <w:t>3</w:t>
      </w:r>
      <w:r w:rsidR="00CB4552" w:rsidRPr="00B40A93">
        <w:rPr>
          <w:noProof/>
        </w:rPr>
        <w:t>3</w:t>
      </w:r>
      <w:r w:rsidRPr="00B40A93">
        <w:rPr>
          <w:noProof/>
        </w:rPr>
        <w:t>.</w:t>
      </w:r>
      <w:r w:rsidRPr="00B40A93">
        <w:rPr>
          <w:noProof/>
        </w:rPr>
        <w:tab/>
        <w:t xml:space="preserve">Rizzo SC and Eckel RE. Control of glycolysis in human erythrocytes by inorganic phosphate and sulfate. </w:t>
      </w:r>
      <w:r w:rsidRPr="00B40A93">
        <w:rPr>
          <w:i/>
          <w:noProof/>
        </w:rPr>
        <w:t>Am J Physiol</w:t>
      </w:r>
      <w:r w:rsidRPr="00B40A93">
        <w:rPr>
          <w:noProof/>
        </w:rPr>
        <w:t xml:space="preserve"> 1966; 211: 429-436. 1966/08/01. DOI: 10.1152/ajplegacy.1966.211.2.429.</w:t>
      </w:r>
    </w:p>
    <w:p w14:paraId="2C691717" w14:textId="207C7100" w:rsidR="001E1CD9" w:rsidRPr="00B40A93" w:rsidRDefault="001E1CD9" w:rsidP="00BE380C">
      <w:pPr>
        <w:pStyle w:val="EndNoteBibliography"/>
        <w:rPr>
          <w:noProof/>
        </w:rPr>
      </w:pPr>
      <w:r w:rsidRPr="00B40A93">
        <w:rPr>
          <w:noProof/>
        </w:rPr>
        <w:t>3</w:t>
      </w:r>
      <w:r w:rsidR="00CB4552" w:rsidRPr="00B40A93">
        <w:rPr>
          <w:noProof/>
        </w:rPr>
        <w:t>4</w:t>
      </w:r>
      <w:r w:rsidRPr="00B40A93">
        <w:rPr>
          <w:noProof/>
        </w:rPr>
        <w:t>.</w:t>
      </w:r>
      <w:r w:rsidRPr="00B40A93">
        <w:rPr>
          <w:noProof/>
        </w:rPr>
        <w:tab/>
        <w:t xml:space="preserve">Amanzadeh J and Reilly RF, Jr. Hypophosphatemia: an evidence-based approach to its clinical consequences and management. </w:t>
      </w:r>
      <w:r w:rsidRPr="00B40A93">
        <w:rPr>
          <w:i/>
          <w:noProof/>
        </w:rPr>
        <w:t>Nat Clin Pract Nephrol</w:t>
      </w:r>
      <w:r w:rsidRPr="00B40A93">
        <w:rPr>
          <w:noProof/>
        </w:rPr>
        <w:t xml:space="preserve"> 2006; 2: 136-148. 2006/08/26. DOI: 10.1038/ncpneph0124.</w:t>
      </w:r>
    </w:p>
    <w:p w14:paraId="56A7A086" w14:textId="089277A1" w:rsidR="001E1CD9" w:rsidRPr="00B40A93" w:rsidRDefault="001E1CD9" w:rsidP="00BE380C">
      <w:pPr>
        <w:pStyle w:val="EndNoteBibliography"/>
        <w:rPr>
          <w:noProof/>
        </w:rPr>
      </w:pPr>
      <w:r w:rsidRPr="00B40A93">
        <w:rPr>
          <w:noProof/>
        </w:rPr>
        <w:lastRenderedPageBreak/>
        <w:t>3</w:t>
      </w:r>
      <w:r w:rsidR="00CB4552" w:rsidRPr="00B40A93">
        <w:rPr>
          <w:noProof/>
        </w:rPr>
        <w:t>5</w:t>
      </w:r>
      <w:r w:rsidRPr="00B40A93">
        <w:rPr>
          <w:noProof/>
        </w:rPr>
        <w:t>.</w:t>
      </w:r>
      <w:r w:rsidRPr="00B40A93">
        <w:rPr>
          <w:noProof/>
        </w:rPr>
        <w:tab/>
        <w:t xml:space="preserve">Dibartola SP and Willard MD. Disorders of Phosphorus: Hypophosphatemia and Hyperphosphatemia. In: DiBartola SP (ed) </w:t>
      </w:r>
      <w:r w:rsidRPr="00B40A93">
        <w:rPr>
          <w:i/>
          <w:noProof/>
        </w:rPr>
        <w:t>Fluid, Electrolyte, and Acid-Base Disorders in Small Animal Practice</w:t>
      </w:r>
      <w:r w:rsidRPr="00B40A93">
        <w:rPr>
          <w:noProof/>
        </w:rPr>
        <w:t>. 4th ed. St Louis: Elsevier Saunders, 2012, pp.195-211.</w:t>
      </w:r>
    </w:p>
    <w:p w14:paraId="77C62658" w14:textId="4097C136" w:rsidR="001E1CD9" w:rsidRPr="00B40A93" w:rsidRDefault="001E1CD9" w:rsidP="00BE380C">
      <w:pPr>
        <w:pStyle w:val="EndNoteBibliography"/>
        <w:rPr>
          <w:noProof/>
        </w:rPr>
      </w:pPr>
      <w:r w:rsidRPr="00B40A93">
        <w:rPr>
          <w:noProof/>
        </w:rPr>
        <w:t>3</w:t>
      </w:r>
      <w:r w:rsidR="00CB4552" w:rsidRPr="00B40A93">
        <w:rPr>
          <w:noProof/>
        </w:rPr>
        <w:t>6</w:t>
      </w:r>
      <w:r w:rsidRPr="00B40A93">
        <w:rPr>
          <w:noProof/>
        </w:rPr>
        <w:t>.</w:t>
      </w:r>
      <w:r w:rsidRPr="00B40A93">
        <w:rPr>
          <w:noProof/>
        </w:rPr>
        <w:tab/>
        <w:t xml:space="preserve">Adams LG, Hardy RM, Weiss DJ, et al. Hypophosphatemia and hemolytic anemia associated with diabetes mellitus and hepatic lipidosis in cats. </w:t>
      </w:r>
      <w:r w:rsidRPr="00B40A93">
        <w:rPr>
          <w:i/>
          <w:noProof/>
        </w:rPr>
        <w:t>J Vet Intern Med</w:t>
      </w:r>
      <w:r w:rsidRPr="00B40A93">
        <w:rPr>
          <w:noProof/>
        </w:rPr>
        <w:t xml:space="preserve"> 1993; 7: 266-271. 1993/09/01. DOI: 10.1111/j.1939-1676.1993.tb01018.x.</w:t>
      </w:r>
    </w:p>
    <w:p w14:paraId="07B9ECDE" w14:textId="53C9893B" w:rsidR="001E1CD9" w:rsidRPr="00B40A93" w:rsidRDefault="001E1CD9" w:rsidP="00BE380C">
      <w:pPr>
        <w:pStyle w:val="EndNoteBibliography"/>
        <w:rPr>
          <w:noProof/>
        </w:rPr>
      </w:pPr>
      <w:r w:rsidRPr="00B40A93">
        <w:rPr>
          <w:noProof/>
        </w:rPr>
        <w:t>3</w:t>
      </w:r>
      <w:r w:rsidR="00CB4552" w:rsidRPr="00B40A93">
        <w:rPr>
          <w:noProof/>
        </w:rPr>
        <w:t>7</w:t>
      </w:r>
      <w:r w:rsidRPr="00B40A93">
        <w:rPr>
          <w:noProof/>
        </w:rPr>
        <w:t>.</w:t>
      </w:r>
      <w:r w:rsidRPr="00B40A93">
        <w:rPr>
          <w:noProof/>
        </w:rPr>
        <w:tab/>
        <w:t xml:space="preserve">Christopher MM, White JG and Eaton JW. Erythrocyte pathology and mechanisms of Heinz body-mediated hemolysis in cats. </w:t>
      </w:r>
      <w:r w:rsidRPr="00B40A93">
        <w:rPr>
          <w:i/>
          <w:noProof/>
        </w:rPr>
        <w:t>Vet Pathol</w:t>
      </w:r>
      <w:r w:rsidRPr="00B40A93">
        <w:rPr>
          <w:noProof/>
        </w:rPr>
        <w:t xml:space="preserve"> 1990; 27: 299-310. 1990/09/01. DOI: 10.1177/030098589002700501.</w:t>
      </w:r>
    </w:p>
    <w:p w14:paraId="02C0AD89" w14:textId="4F1C7856" w:rsidR="001E1CD9" w:rsidRPr="00B40A93" w:rsidRDefault="001E1CD9" w:rsidP="00BE380C">
      <w:pPr>
        <w:pStyle w:val="EndNoteBibliography"/>
        <w:rPr>
          <w:noProof/>
        </w:rPr>
      </w:pPr>
      <w:r w:rsidRPr="00B40A93">
        <w:rPr>
          <w:noProof/>
        </w:rPr>
        <w:t>3</w:t>
      </w:r>
      <w:r w:rsidR="00CB4552" w:rsidRPr="00B40A93">
        <w:rPr>
          <w:noProof/>
        </w:rPr>
        <w:t>8</w:t>
      </w:r>
      <w:r w:rsidRPr="00B40A93">
        <w:rPr>
          <w:noProof/>
        </w:rPr>
        <w:t>.</w:t>
      </w:r>
      <w:r w:rsidRPr="00B40A93">
        <w:rPr>
          <w:noProof/>
        </w:rPr>
        <w:tab/>
        <w:t xml:space="preserve">Lynch AM, Respess M, Boll AE, et al. Hospital-acquired Anemia in Critically Ill Dogs and Cats: A Multi-Institutional Study. </w:t>
      </w:r>
      <w:r w:rsidRPr="00B40A93">
        <w:rPr>
          <w:i/>
          <w:noProof/>
        </w:rPr>
        <w:t>J Vet Intern Med</w:t>
      </w:r>
      <w:r w:rsidRPr="00B40A93">
        <w:rPr>
          <w:noProof/>
        </w:rPr>
        <w:t xml:space="preserve"> 2016; 30: 141-146. 2015/11/19. DOI: 10.1111/jvim.13650.</w:t>
      </w:r>
    </w:p>
    <w:p w14:paraId="0A5329BF" w14:textId="4D42DE49" w:rsidR="00B145D7" w:rsidRDefault="001E1CD9" w:rsidP="00FB598F">
      <w:pPr>
        <w:pStyle w:val="EndNoteBibliography"/>
        <w:rPr>
          <w:noProof/>
        </w:rPr>
      </w:pPr>
      <w:r w:rsidRPr="00B40A93">
        <w:rPr>
          <w:noProof/>
        </w:rPr>
        <w:t>3</w:t>
      </w:r>
      <w:r w:rsidR="00CB4552" w:rsidRPr="00B40A93">
        <w:rPr>
          <w:noProof/>
        </w:rPr>
        <w:t>9</w:t>
      </w:r>
      <w:r w:rsidRPr="00B40A93">
        <w:rPr>
          <w:noProof/>
        </w:rPr>
        <w:t>.</w:t>
      </w:r>
      <w:r w:rsidRPr="00B40A93">
        <w:rPr>
          <w:noProof/>
        </w:rPr>
        <w:tab/>
        <w:t xml:space="preserve">Justin RB and Hohenhaus AE. Hypophosphatemia associated with enteral alimentation in cats. </w:t>
      </w:r>
      <w:r w:rsidRPr="00B40A93">
        <w:rPr>
          <w:i/>
          <w:noProof/>
        </w:rPr>
        <w:t>J Vet Intern Med</w:t>
      </w:r>
      <w:r w:rsidRPr="00B40A93">
        <w:rPr>
          <w:noProof/>
        </w:rPr>
        <w:t xml:space="preserve"> 1995; 9: 228-233. 1995/07/01. DOI: 10.1111/j.1939-1676.1995.tb01072.x.</w:t>
      </w:r>
    </w:p>
    <w:sectPr w:rsidR="00B145D7" w:rsidSect="00BE380C">
      <w:pgSz w:w="11906" w:h="16838"/>
      <w:pgMar w:top="1440" w:right="1440" w:bottom="1440" w:left="2160" w:header="709" w:footer="709" w:gutter="0"/>
      <w:lnNumType w:countBy="1" w:restart="continuous"/>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4372C" w14:textId="77777777" w:rsidR="00A70C36" w:rsidRDefault="00A70C36">
      <w:r>
        <w:separator/>
      </w:r>
    </w:p>
  </w:endnote>
  <w:endnote w:type="continuationSeparator" w:id="0">
    <w:p w14:paraId="3C4930DF" w14:textId="77777777" w:rsidR="00A70C36" w:rsidRDefault="00A7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427360"/>
      <w:docPartObj>
        <w:docPartGallery w:val="Page Numbers (Top of Page)"/>
        <w:docPartUnique/>
      </w:docPartObj>
    </w:sdtPr>
    <w:sdtEndPr/>
    <w:sdtContent>
      <w:p w14:paraId="67383CB5" w14:textId="77777777" w:rsidR="00E7189A" w:rsidRDefault="00E7189A">
        <w:pPr>
          <w:pStyle w:val="Footer"/>
          <w:jc w:val="center"/>
        </w:pPr>
        <w:r>
          <w:rPr>
            <w:rFonts w:ascii="Arial" w:hAnsi="Arial" w:cs="Arial"/>
          </w:rPr>
          <w:t xml:space="preserve">Page </w:t>
        </w:r>
        <w:r>
          <w:rPr>
            <w:rFonts w:ascii="Arial" w:hAnsi="Arial" w:cs="Arial"/>
            <w:b/>
            <w:bCs/>
          </w:rPr>
          <w:fldChar w:fldCharType="begin"/>
        </w:r>
        <w:r>
          <w:instrText>PAGE</w:instrText>
        </w:r>
        <w:r>
          <w:fldChar w:fldCharType="separate"/>
        </w:r>
        <w:r>
          <w:rPr>
            <w:noProof/>
          </w:rPr>
          <w:t>1</w:t>
        </w:r>
        <w:r>
          <w:fldChar w:fldCharType="end"/>
        </w:r>
        <w:r>
          <w:rPr>
            <w:rFonts w:ascii="Arial" w:hAnsi="Arial" w:cs="Arial"/>
          </w:rPr>
          <w:t xml:space="preserve"> of </w:t>
        </w:r>
        <w:r>
          <w:rPr>
            <w:rFonts w:ascii="Arial" w:hAnsi="Arial" w:cs="Arial"/>
            <w:b/>
            <w:bCs/>
          </w:rPr>
          <w:fldChar w:fldCharType="begin"/>
        </w:r>
        <w:r>
          <w:instrText>NUMPAGES</w:instrText>
        </w:r>
        <w:r>
          <w:fldChar w:fldCharType="separate"/>
        </w:r>
        <w:r>
          <w:rPr>
            <w:noProof/>
          </w:rPr>
          <w:t>1</w:t>
        </w:r>
        <w:r>
          <w:fldChar w:fldCharType="end"/>
        </w:r>
      </w:p>
    </w:sdtContent>
  </w:sdt>
  <w:p w14:paraId="737DE3C9" w14:textId="77777777" w:rsidR="00E7189A" w:rsidRDefault="00E7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EF107" w14:textId="77777777" w:rsidR="00A70C36" w:rsidRDefault="00A70C36">
      <w:r>
        <w:separator/>
      </w:r>
    </w:p>
  </w:footnote>
  <w:footnote w:type="continuationSeparator" w:id="0">
    <w:p w14:paraId="1BB955BA" w14:textId="77777777" w:rsidR="00A70C36" w:rsidRDefault="00A70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2ED86" w14:textId="77777777" w:rsidR="00E7189A" w:rsidRDefault="00E7189A">
    <w:pPr>
      <w:pStyle w:val="Header"/>
      <w:jc w:val="right"/>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86C"/>
    <w:multiLevelType w:val="hybridMultilevel"/>
    <w:tmpl w:val="3BBC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144A5"/>
    <w:multiLevelType w:val="hybridMultilevel"/>
    <w:tmpl w:val="6BC8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2170E"/>
    <w:multiLevelType w:val="hybridMultilevel"/>
    <w:tmpl w:val="C868E1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9069C"/>
    <w:multiLevelType w:val="multilevel"/>
    <w:tmpl w:val="72A496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820B5"/>
    <w:multiLevelType w:val="multilevel"/>
    <w:tmpl w:val="ECD6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5481"/>
    <w:multiLevelType w:val="hybridMultilevel"/>
    <w:tmpl w:val="65CC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C4616"/>
    <w:multiLevelType w:val="hybridMultilevel"/>
    <w:tmpl w:val="D65C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00C17"/>
    <w:multiLevelType w:val="hybridMultilevel"/>
    <w:tmpl w:val="1F100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53D51"/>
    <w:multiLevelType w:val="hybridMultilevel"/>
    <w:tmpl w:val="27DE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E4913"/>
    <w:multiLevelType w:val="hybridMultilevel"/>
    <w:tmpl w:val="2332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D770A"/>
    <w:multiLevelType w:val="hybridMultilevel"/>
    <w:tmpl w:val="3544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24293"/>
    <w:multiLevelType w:val="multilevel"/>
    <w:tmpl w:val="6C2440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456818"/>
    <w:multiLevelType w:val="hybridMultilevel"/>
    <w:tmpl w:val="8294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D1544"/>
    <w:multiLevelType w:val="hybridMultilevel"/>
    <w:tmpl w:val="21E8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730DE"/>
    <w:multiLevelType w:val="hybridMultilevel"/>
    <w:tmpl w:val="DE50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67790"/>
    <w:multiLevelType w:val="multilevel"/>
    <w:tmpl w:val="5E984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B41AB"/>
    <w:multiLevelType w:val="hybridMultilevel"/>
    <w:tmpl w:val="110C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F06D8"/>
    <w:multiLevelType w:val="hybridMultilevel"/>
    <w:tmpl w:val="685C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B2358"/>
    <w:multiLevelType w:val="hybridMultilevel"/>
    <w:tmpl w:val="46D6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E5EF0"/>
    <w:multiLevelType w:val="multilevel"/>
    <w:tmpl w:val="B828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77106"/>
    <w:multiLevelType w:val="hybridMultilevel"/>
    <w:tmpl w:val="6C08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26659"/>
    <w:multiLevelType w:val="multilevel"/>
    <w:tmpl w:val="6F2A1CF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0C4FB2"/>
    <w:multiLevelType w:val="hybridMultilevel"/>
    <w:tmpl w:val="60A0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265D6"/>
    <w:multiLevelType w:val="hybridMultilevel"/>
    <w:tmpl w:val="5FC4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125871"/>
    <w:multiLevelType w:val="hybridMultilevel"/>
    <w:tmpl w:val="6292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E842F1"/>
    <w:multiLevelType w:val="hybridMultilevel"/>
    <w:tmpl w:val="EDA436D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6292D"/>
    <w:multiLevelType w:val="hybridMultilevel"/>
    <w:tmpl w:val="E1621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A513A9"/>
    <w:multiLevelType w:val="hybridMultilevel"/>
    <w:tmpl w:val="B836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12861"/>
    <w:multiLevelType w:val="hybridMultilevel"/>
    <w:tmpl w:val="72C2F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A70CB"/>
    <w:multiLevelType w:val="hybridMultilevel"/>
    <w:tmpl w:val="B0F8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475F0"/>
    <w:multiLevelType w:val="multilevel"/>
    <w:tmpl w:val="79505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553C3"/>
    <w:multiLevelType w:val="hybridMultilevel"/>
    <w:tmpl w:val="405E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A77A8"/>
    <w:multiLevelType w:val="hybridMultilevel"/>
    <w:tmpl w:val="5C3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5"/>
  </w:num>
  <w:num w:numId="4">
    <w:abstractNumId w:val="26"/>
  </w:num>
  <w:num w:numId="5">
    <w:abstractNumId w:val="15"/>
  </w:num>
  <w:num w:numId="6">
    <w:abstractNumId w:val="4"/>
  </w:num>
  <w:num w:numId="7">
    <w:abstractNumId w:val="11"/>
  </w:num>
  <w:num w:numId="8">
    <w:abstractNumId w:val="19"/>
  </w:num>
  <w:num w:numId="9">
    <w:abstractNumId w:val="30"/>
  </w:num>
  <w:num w:numId="10">
    <w:abstractNumId w:val="31"/>
  </w:num>
  <w:num w:numId="11">
    <w:abstractNumId w:val="16"/>
  </w:num>
  <w:num w:numId="12">
    <w:abstractNumId w:val="17"/>
  </w:num>
  <w:num w:numId="13">
    <w:abstractNumId w:val="12"/>
  </w:num>
  <w:num w:numId="14">
    <w:abstractNumId w:val="18"/>
  </w:num>
  <w:num w:numId="15">
    <w:abstractNumId w:val="23"/>
  </w:num>
  <w:num w:numId="16">
    <w:abstractNumId w:val="6"/>
  </w:num>
  <w:num w:numId="17">
    <w:abstractNumId w:val="27"/>
  </w:num>
  <w:num w:numId="18">
    <w:abstractNumId w:val="1"/>
  </w:num>
  <w:num w:numId="19">
    <w:abstractNumId w:val="8"/>
  </w:num>
  <w:num w:numId="20">
    <w:abstractNumId w:val="20"/>
  </w:num>
  <w:num w:numId="21">
    <w:abstractNumId w:val="22"/>
  </w:num>
  <w:num w:numId="22">
    <w:abstractNumId w:val="14"/>
  </w:num>
  <w:num w:numId="23">
    <w:abstractNumId w:val="32"/>
  </w:num>
  <w:num w:numId="24">
    <w:abstractNumId w:val="21"/>
  </w:num>
  <w:num w:numId="25">
    <w:abstractNumId w:val="13"/>
  </w:num>
  <w:num w:numId="26">
    <w:abstractNumId w:val="9"/>
  </w:num>
  <w:num w:numId="27">
    <w:abstractNumId w:val="24"/>
  </w:num>
  <w:num w:numId="28">
    <w:abstractNumId w:val="7"/>
  </w:num>
  <w:num w:numId="29">
    <w:abstractNumId w:val="0"/>
  </w:num>
  <w:num w:numId="30">
    <w:abstractNumId w:val="10"/>
  </w:num>
  <w:num w:numId="31">
    <w:abstractNumId w:val="25"/>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E1CD9"/>
    <w:rsid w:val="000078CC"/>
    <w:rsid w:val="000155E9"/>
    <w:rsid w:val="000B13D0"/>
    <w:rsid w:val="000B1CC8"/>
    <w:rsid w:val="000B2057"/>
    <w:rsid w:val="000C40CD"/>
    <w:rsid w:val="000F640C"/>
    <w:rsid w:val="0012012A"/>
    <w:rsid w:val="0016105C"/>
    <w:rsid w:val="0019732F"/>
    <w:rsid w:val="001E1CD9"/>
    <w:rsid w:val="002744C2"/>
    <w:rsid w:val="002A1586"/>
    <w:rsid w:val="002A3C10"/>
    <w:rsid w:val="002A7235"/>
    <w:rsid w:val="002B141E"/>
    <w:rsid w:val="002D1698"/>
    <w:rsid w:val="002E4B2C"/>
    <w:rsid w:val="00300D2B"/>
    <w:rsid w:val="00325635"/>
    <w:rsid w:val="00337BB5"/>
    <w:rsid w:val="00361440"/>
    <w:rsid w:val="00364027"/>
    <w:rsid w:val="00367E8F"/>
    <w:rsid w:val="003916AC"/>
    <w:rsid w:val="003B65C6"/>
    <w:rsid w:val="003D0B89"/>
    <w:rsid w:val="003F182A"/>
    <w:rsid w:val="00423470"/>
    <w:rsid w:val="0046099F"/>
    <w:rsid w:val="004A2555"/>
    <w:rsid w:val="0051105E"/>
    <w:rsid w:val="00537ECC"/>
    <w:rsid w:val="005471FD"/>
    <w:rsid w:val="00576394"/>
    <w:rsid w:val="005B3CAA"/>
    <w:rsid w:val="005C2B87"/>
    <w:rsid w:val="005D0480"/>
    <w:rsid w:val="005F6D50"/>
    <w:rsid w:val="0065420E"/>
    <w:rsid w:val="0066374E"/>
    <w:rsid w:val="00675991"/>
    <w:rsid w:val="006B2B67"/>
    <w:rsid w:val="006E0FD4"/>
    <w:rsid w:val="0071724B"/>
    <w:rsid w:val="007315FF"/>
    <w:rsid w:val="00742AFD"/>
    <w:rsid w:val="0077626A"/>
    <w:rsid w:val="007D3283"/>
    <w:rsid w:val="00804A7B"/>
    <w:rsid w:val="008434BF"/>
    <w:rsid w:val="00847EB4"/>
    <w:rsid w:val="008B0B8D"/>
    <w:rsid w:val="008F3292"/>
    <w:rsid w:val="009A56A8"/>
    <w:rsid w:val="009F3A3A"/>
    <w:rsid w:val="00A24035"/>
    <w:rsid w:val="00A2476C"/>
    <w:rsid w:val="00A26F32"/>
    <w:rsid w:val="00A67C47"/>
    <w:rsid w:val="00A70C36"/>
    <w:rsid w:val="00B145D7"/>
    <w:rsid w:val="00B3468A"/>
    <w:rsid w:val="00B40A93"/>
    <w:rsid w:val="00B50901"/>
    <w:rsid w:val="00B51B51"/>
    <w:rsid w:val="00B67B08"/>
    <w:rsid w:val="00B80EEB"/>
    <w:rsid w:val="00BC3898"/>
    <w:rsid w:val="00BE380C"/>
    <w:rsid w:val="00C351A3"/>
    <w:rsid w:val="00C373C1"/>
    <w:rsid w:val="00CB4552"/>
    <w:rsid w:val="00CB4B08"/>
    <w:rsid w:val="00CC5350"/>
    <w:rsid w:val="00CE4507"/>
    <w:rsid w:val="00CE6536"/>
    <w:rsid w:val="00D13983"/>
    <w:rsid w:val="00D31F91"/>
    <w:rsid w:val="00DB1F27"/>
    <w:rsid w:val="00DD27F0"/>
    <w:rsid w:val="00DD2D56"/>
    <w:rsid w:val="00DE3541"/>
    <w:rsid w:val="00DE3FD5"/>
    <w:rsid w:val="00E261A8"/>
    <w:rsid w:val="00E42179"/>
    <w:rsid w:val="00E67F80"/>
    <w:rsid w:val="00E7189A"/>
    <w:rsid w:val="00E7256A"/>
    <w:rsid w:val="00E85CFF"/>
    <w:rsid w:val="00EA7125"/>
    <w:rsid w:val="00EB516C"/>
    <w:rsid w:val="00EE4E8D"/>
    <w:rsid w:val="00F111E8"/>
    <w:rsid w:val="00F13839"/>
    <w:rsid w:val="00F21327"/>
    <w:rsid w:val="00F52102"/>
    <w:rsid w:val="00FB5979"/>
    <w:rsid w:val="00FB5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FC3B64"/>
  <w15:chartTrackingRefBased/>
  <w15:docId w15:val="{8720F7F2-0F7E-4240-9F73-E8687AA8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9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E1CD9"/>
    <w:pPr>
      <w:keepNext/>
      <w:keepLines/>
      <w:suppressAutoHyphen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1CD9"/>
    <w:pPr>
      <w:keepNext/>
      <w:keepLines/>
      <w:suppressAutoHyphen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1CD9"/>
    <w:pPr>
      <w:keepNext/>
      <w:keepLines/>
      <w:suppressAutoHyphen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CD9"/>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1E1CD9"/>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1E1CD9"/>
    <w:rPr>
      <w:rFonts w:asciiTheme="majorHAnsi" w:eastAsiaTheme="majorEastAsia" w:hAnsiTheme="majorHAnsi" w:cstheme="majorBidi"/>
      <w:color w:val="1F3763" w:themeColor="accent1" w:themeShade="7F"/>
      <w:lang w:eastAsia="en-GB"/>
    </w:rPr>
  </w:style>
  <w:style w:type="character" w:customStyle="1" w:styleId="HeaderChar">
    <w:name w:val="Header Char"/>
    <w:link w:val="Header"/>
    <w:uiPriority w:val="99"/>
    <w:qFormat/>
    <w:rsid w:val="001E1CD9"/>
    <w:rPr>
      <w:rFonts w:ascii="Times New Roman" w:eastAsia="Times New Roman" w:hAnsi="Times New Roman" w:cs="Times New Roman"/>
      <w:lang w:eastAsia="en-GB"/>
    </w:rPr>
  </w:style>
  <w:style w:type="character" w:customStyle="1" w:styleId="FooterChar">
    <w:name w:val="Footer Char"/>
    <w:link w:val="Footer"/>
    <w:uiPriority w:val="99"/>
    <w:qFormat/>
    <w:rsid w:val="001E1CD9"/>
    <w:rPr>
      <w:rFonts w:ascii="Times New Roman" w:eastAsia="Times New Roman" w:hAnsi="Times New Roman" w:cs="Times New Roman"/>
      <w:lang w:eastAsia="en-GB"/>
    </w:rPr>
  </w:style>
  <w:style w:type="character" w:customStyle="1" w:styleId="BalloonTextChar">
    <w:name w:val="Balloon Text Char"/>
    <w:link w:val="BalloonText"/>
    <w:uiPriority w:val="99"/>
    <w:semiHidden/>
    <w:qFormat/>
    <w:rsid w:val="001E1CD9"/>
    <w:rPr>
      <w:rFonts w:ascii="Tahoma" w:eastAsia="Times New Roman" w:hAnsi="Tahoma" w:cs="Tahoma"/>
      <w:sz w:val="16"/>
      <w:szCs w:val="16"/>
      <w:lang w:eastAsia="en-GB"/>
    </w:rPr>
  </w:style>
  <w:style w:type="character" w:customStyle="1" w:styleId="ListLabel1">
    <w:name w:val="ListLabel 1"/>
    <w:qFormat/>
    <w:rsid w:val="001E1CD9"/>
    <w:rPr>
      <w:rFonts w:cs="Courier New"/>
    </w:rPr>
  </w:style>
  <w:style w:type="paragraph" w:customStyle="1" w:styleId="Heading">
    <w:name w:val="Heading"/>
    <w:basedOn w:val="Normal"/>
    <w:next w:val="TextBody"/>
    <w:qFormat/>
    <w:rsid w:val="001E1CD9"/>
    <w:pPr>
      <w:keepNext/>
      <w:suppressAutoHyphens/>
      <w:spacing w:before="240" w:after="120"/>
    </w:pPr>
    <w:rPr>
      <w:rFonts w:ascii="Liberation Sans" w:eastAsia="SimSun" w:hAnsi="Liberation Sans" w:cs="Lucida Sans"/>
      <w:sz w:val="28"/>
      <w:szCs w:val="28"/>
    </w:rPr>
  </w:style>
  <w:style w:type="paragraph" w:customStyle="1" w:styleId="TextBody">
    <w:name w:val="Text Body"/>
    <w:basedOn w:val="Normal"/>
    <w:rsid w:val="001E1CD9"/>
    <w:pPr>
      <w:suppressAutoHyphens/>
      <w:spacing w:after="140" w:line="288" w:lineRule="auto"/>
    </w:pPr>
  </w:style>
  <w:style w:type="paragraph" w:styleId="List">
    <w:name w:val="List"/>
    <w:basedOn w:val="TextBody"/>
    <w:rsid w:val="001E1CD9"/>
    <w:rPr>
      <w:rFonts w:cs="Lucida Sans"/>
    </w:rPr>
  </w:style>
  <w:style w:type="paragraph" w:styleId="Caption">
    <w:name w:val="caption"/>
    <w:basedOn w:val="Normal"/>
    <w:qFormat/>
    <w:rsid w:val="001E1CD9"/>
    <w:pPr>
      <w:suppressLineNumbers/>
      <w:suppressAutoHyphens/>
      <w:spacing w:before="120" w:after="120"/>
    </w:pPr>
    <w:rPr>
      <w:rFonts w:cs="Lucida Sans"/>
      <w:i/>
      <w:iCs/>
    </w:rPr>
  </w:style>
  <w:style w:type="paragraph" w:customStyle="1" w:styleId="Index">
    <w:name w:val="Index"/>
    <w:basedOn w:val="Normal"/>
    <w:qFormat/>
    <w:rsid w:val="001E1CD9"/>
    <w:pPr>
      <w:suppressLineNumbers/>
      <w:suppressAutoHyphens/>
    </w:pPr>
    <w:rPr>
      <w:rFonts w:cs="Lucida Sans"/>
    </w:rPr>
  </w:style>
  <w:style w:type="paragraph" w:styleId="Header">
    <w:name w:val="header"/>
    <w:basedOn w:val="Normal"/>
    <w:link w:val="HeaderChar"/>
    <w:uiPriority w:val="99"/>
    <w:rsid w:val="001E1CD9"/>
    <w:pPr>
      <w:tabs>
        <w:tab w:val="center" w:pos="4153"/>
        <w:tab w:val="right" w:pos="8306"/>
      </w:tabs>
      <w:suppressAutoHyphens/>
    </w:pPr>
  </w:style>
  <w:style w:type="character" w:customStyle="1" w:styleId="HeaderChar1">
    <w:name w:val="Header Char1"/>
    <w:basedOn w:val="DefaultParagraphFont"/>
    <w:uiPriority w:val="99"/>
    <w:semiHidden/>
    <w:rsid w:val="001E1CD9"/>
    <w:rPr>
      <w:rFonts w:ascii="Times New Roman" w:eastAsia="Times New Roman" w:hAnsi="Times New Roman" w:cs="Times New Roman"/>
      <w:lang w:eastAsia="en-GB"/>
    </w:rPr>
  </w:style>
  <w:style w:type="paragraph" w:styleId="Footer">
    <w:name w:val="footer"/>
    <w:basedOn w:val="Normal"/>
    <w:link w:val="FooterChar"/>
    <w:uiPriority w:val="99"/>
    <w:rsid w:val="001E1CD9"/>
    <w:pPr>
      <w:tabs>
        <w:tab w:val="center" w:pos="4153"/>
        <w:tab w:val="right" w:pos="8306"/>
      </w:tabs>
      <w:suppressAutoHyphens/>
    </w:pPr>
  </w:style>
  <w:style w:type="character" w:customStyle="1" w:styleId="FooterChar1">
    <w:name w:val="Footer Char1"/>
    <w:basedOn w:val="DefaultParagraphFont"/>
    <w:uiPriority w:val="99"/>
    <w:semiHidden/>
    <w:rsid w:val="001E1CD9"/>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qFormat/>
    <w:rsid w:val="001E1CD9"/>
    <w:pPr>
      <w:suppressAutoHyphens/>
    </w:pPr>
    <w:rPr>
      <w:rFonts w:ascii="Tahoma" w:hAnsi="Tahoma" w:cs="Tahoma"/>
      <w:sz w:val="16"/>
      <w:szCs w:val="16"/>
    </w:rPr>
  </w:style>
  <w:style w:type="character" w:customStyle="1" w:styleId="BalloonTextChar1">
    <w:name w:val="Balloon Text Char1"/>
    <w:basedOn w:val="DefaultParagraphFont"/>
    <w:uiPriority w:val="99"/>
    <w:semiHidden/>
    <w:rsid w:val="001E1CD9"/>
    <w:rPr>
      <w:rFonts w:ascii="Times New Roman" w:eastAsia="Times New Roman" w:hAnsi="Times New Roman" w:cs="Times New Roman"/>
      <w:sz w:val="18"/>
      <w:szCs w:val="18"/>
      <w:lang w:eastAsia="en-GB"/>
    </w:rPr>
  </w:style>
  <w:style w:type="paragraph" w:styleId="ListParagraph">
    <w:name w:val="List Paragraph"/>
    <w:basedOn w:val="Normal"/>
    <w:uiPriority w:val="34"/>
    <w:qFormat/>
    <w:rsid w:val="001E1CD9"/>
    <w:pPr>
      <w:suppressAutoHyphens/>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NoList1">
    <w:name w:val="No List1"/>
    <w:uiPriority w:val="99"/>
    <w:semiHidden/>
    <w:unhideWhenUsed/>
    <w:rsid w:val="001E1CD9"/>
  </w:style>
  <w:style w:type="table" w:customStyle="1" w:styleId="TableGrid1">
    <w:name w:val="Table Grid1"/>
    <w:basedOn w:val="TableNormal"/>
    <w:uiPriority w:val="59"/>
    <w:rsid w:val="001E1CD9"/>
    <w:pPr>
      <w:jc w:val="righ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E1CD9"/>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E1CD9"/>
  </w:style>
  <w:style w:type="paragraph" w:styleId="TOCHeading">
    <w:name w:val="TOC Heading"/>
    <w:basedOn w:val="Heading1"/>
    <w:next w:val="Normal"/>
    <w:uiPriority w:val="39"/>
    <w:unhideWhenUsed/>
    <w:qFormat/>
    <w:rsid w:val="001E1CD9"/>
    <w:pPr>
      <w:suppressAutoHyphens w:val="0"/>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1E1CD9"/>
    <w:pPr>
      <w:tabs>
        <w:tab w:val="right" w:leader="dot" w:pos="8296"/>
      </w:tabs>
      <w:suppressAutoHyphens/>
      <w:spacing w:before="120"/>
    </w:pPr>
    <w:rPr>
      <w:rFonts w:asciiTheme="minorHAnsi" w:hAnsiTheme="minorHAnsi"/>
      <w:b/>
      <w:bCs/>
      <w:i/>
      <w:iCs/>
    </w:rPr>
  </w:style>
  <w:style w:type="paragraph" w:styleId="TOC2">
    <w:name w:val="toc 2"/>
    <w:basedOn w:val="Normal"/>
    <w:next w:val="Normal"/>
    <w:autoRedefine/>
    <w:uiPriority w:val="39"/>
    <w:unhideWhenUsed/>
    <w:rsid w:val="001E1CD9"/>
    <w:pPr>
      <w:suppressAutoHyphens/>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1E1CD9"/>
    <w:pPr>
      <w:suppressAutoHyphens/>
      <w:ind w:left="480"/>
    </w:pPr>
    <w:rPr>
      <w:rFonts w:asciiTheme="minorHAnsi" w:hAnsiTheme="minorHAnsi"/>
      <w:sz w:val="20"/>
      <w:szCs w:val="20"/>
    </w:rPr>
  </w:style>
  <w:style w:type="paragraph" w:styleId="TOC4">
    <w:name w:val="toc 4"/>
    <w:basedOn w:val="Normal"/>
    <w:next w:val="Normal"/>
    <w:autoRedefine/>
    <w:uiPriority w:val="39"/>
    <w:semiHidden/>
    <w:unhideWhenUsed/>
    <w:rsid w:val="001E1CD9"/>
    <w:pPr>
      <w:suppressAutoHyphens/>
      <w:ind w:left="720"/>
    </w:pPr>
    <w:rPr>
      <w:rFonts w:asciiTheme="minorHAnsi" w:hAnsiTheme="minorHAnsi"/>
      <w:sz w:val="20"/>
      <w:szCs w:val="20"/>
    </w:rPr>
  </w:style>
  <w:style w:type="paragraph" w:styleId="TOC5">
    <w:name w:val="toc 5"/>
    <w:basedOn w:val="Normal"/>
    <w:next w:val="Normal"/>
    <w:autoRedefine/>
    <w:uiPriority w:val="39"/>
    <w:semiHidden/>
    <w:unhideWhenUsed/>
    <w:rsid w:val="001E1CD9"/>
    <w:pPr>
      <w:suppressAutoHyphens/>
      <w:ind w:left="960"/>
    </w:pPr>
    <w:rPr>
      <w:rFonts w:asciiTheme="minorHAnsi" w:hAnsiTheme="minorHAnsi"/>
      <w:sz w:val="20"/>
      <w:szCs w:val="20"/>
    </w:rPr>
  </w:style>
  <w:style w:type="paragraph" w:styleId="TOC6">
    <w:name w:val="toc 6"/>
    <w:basedOn w:val="Normal"/>
    <w:next w:val="Normal"/>
    <w:autoRedefine/>
    <w:uiPriority w:val="39"/>
    <w:semiHidden/>
    <w:unhideWhenUsed/>
    <w:rsid w:val="001E1CD9"/>
    <w:pPr>
      <w:suppressAutoHyphens/>
      <w:ind w:left="1200"/>
    </w:pPr>
    <w:rPr>
      <w:rFonts w:asciiTheme="minorHAnsi" w:hAnsiTheme="minorHAnsi"/>
      <w:sz w:val="20"/>
      <w:szCs w:val="20"/>
    </w:rPr>
  </w:style>
  <w:style w:type="paragraph" w:styleId="TOC7">
    <w:name w:val="toc 7"/>
    <w:basedOn w:val="Normal"/>
    <w:next w:val="Normal"/>
    <w:autoRedefine/>
    <w:uiPriority w:val="39"/>
    <w:semiHidden/>
    <w:unhideWhenUsed/>
    <w:rsid w:val="001E1CD9"/>
    <w:pPr>
      <w:suppressAutoHyphens/>
      <w:ind w:left="1440"/>
    </w:pPr>
    <w:rPr>
      <w:rFonts w:asciiTheme="minorHAnsi" w:hAnsiTheme="minorHAnsi"/>
      <w:sz w:val="20"/>
      <w:szCs w:val="20"/>
    </w:rPr>
  </w:style>
  <w:style w:type="paragraph" w:styleId="TOC8">
    <w:name w:val="toc 8"/>
    <w:basedOn w:val="Normal"/>
    <w:next w:val="Normal"/>
    <w:autoRedefine/>
    <w:uiPriority w:val="39"/>
    <w:semiHidden/>
    <w:unhideWhenUsed/>
    <w:rsid w:val="001E1CD9"/>
    <w:pPr>
      <w:suppressAutoHyphens/>
      <w:ind w:left="1680"/>
    </w:pPr>
    <w:rPr>
      <w:rFonts w:asciiTheme="minorHAnsi" w:hAnsiTheme="minorHAnsi"/>
      <w:sz w:val="20"/>
      <w:szCs w:val="20"/>
    </w:rPr>
  </w:style>
  <w:style w:type="paragraph" w:styleId="TOC9">
    <w:name w:val="toc 9"/>
    <w:basedOn w:val="Normal"/>
    <w:next w:val="Normal"/>
    <w:autoRedefine/>
    <w:uiPriority w:val="39"/>
    <w:semiHidden/>
    <w:unhideWhenUsed/>
    <w:rsid w:val="001E1CD9"/>
    <w:pPr>
      <w:suppressAutoHyphens/>
      <w:ind w:left="1920"/>
    </w:pPr>
    <w:rPr>
      <w:rFonts w:asciiTheme="minorHAnsi" w:hAnsiTheme="minorHAnsi"/>
      <w:sz w:val="20"/>
      <w:szCs w:val="20"/>
    </w:rPr>
  </w:style>
  <w:style w:type="paragraph" w:styleId="EndnoteText">
    <w:name w:val="endnote text"/>
    <w:basedOn w:val="Normal"/>
    <w:link w:val="EndnoteTextChar"/>
    <w:uiPriority w:val="99"/>
    <w:semiHidden/>
    <w:unhideWhenUsed/>
    <w:rsid w:val="001E1CD9"/>
    <w:pPr>
      <w:suppressAutoHyphens/>
    </w:pPr>
    <w:rPr>
      <w:sz w:val="20"/>
      <w:szCs w:val="20"/>
    </w:rPr>
  </w:style>
  <w:style w:type="character" w:customStyle="1" w:styleId="EndnoteTextChar">
    <w:name w:val="Endnote Text Char"/>
    <w:basedOn w:val="DefaultParagraphFont"/>
    <w:link w:val="EndnoteText"/>
    <w:uiPriority w:val="99"/>
    <w:semiHidden/>
    <w:rsid w:val="001E1CD9"/>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1E1CD9"/>
    <w:rPr>
      <w:vertAlign w:val="superscript"/>
    </w:rPr>
  </w:style>
  <w:style w:type="table" w:styleId="GridTable6ColourfulAccent1">
    <w:name w:val="Grid Table 6 Colorful Accent 1"/>
    <w:basedOn w:val="TableNormal"/>
    <w:uiPriority w:val="51"/>
    <w:rsid w:val="001E1CD9"/>
    <w:rPr>
      <w:rFonts w:ascii="Calibri" w:eastAsia="Calibri" w:hAnsi="Calibri"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link w:val="NormalWebChar"/>
    <w:uiPriority w:val="99"/>
    <w:unhideWhenUsed/>
    <w:rsid w:val="001E1CD9"/>
    <w:pPr>
      <w:spacing w:before="100" w:beforeAutospacing="1" w:after="100" w:afterAutospacing="1"/>
    </w:pPr>
  </w:style>
  <w:style w:type="table" w:styleId="GridTable5Dark-Accent3">
    <w:name w:val="Grid Table 5 Dark Accent 3"/>
    <w:basedOn w:val="TableNormal"/>
    <w:uiPriority w:val="50"/>
    <w:rsid w:val="001E1CD9"/>
    <w:rPr>
      <w:rFonts w:ascii="Calibri" w:eastAsia="Calibri" w:hAnsi="Calibri"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Spacing">
    <w:name w:val="No Spacing"/>
    <w:uiPriority w:val="1"/>
    <w:qFormat/>
    <w:rsid w:val="001E1CD9"/>
    <w:pPr>
      <w:suppressAutoHyphens/>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E1CD9"/>
    <w:rPr>
      <w:color w:val="0563C1" w:themeColor="hyperlink"/>
      <w:u w:val="single"/>
    </w:rPr>
  </w:style>
  <w:style w:type="character" w:styleId="UnresolvedMention">
    <w:name w:val="Unresolved Mention"/>
    <w:basedOn w:val="DefaultParagraphFont"/>
    <w:uiPriority w:val="99"/>
    <w:semiHidden/>
    <w:unhideWhenUsed/>
    <w:rsid w:val="001E1CD9"/>
    <w:rPr>
      <w:color w:val="605E5C"/>
      <w:shd w:val="clear" w:color="auto" w:fill="E1DFDD"/>
    </w:rPr>
  </w:style>
  <w:style w:type="character" w:styleId="FollowedHyperlink">
    <w:name w:val="FollowedHyperlink"/>
    <w:basedOn w:val="DefaultParagraphFont"/>
    <w:uiPriority w:val="99"/>
    <w:semiHidden/>
    <w:unhideWhenUsed/>
    <w:rsid w:val="001E1CD9"/>
    <w:rPr>
      <w:color w:val="954F72" w:themeColor="followedHyperlink"/>
      <w:u w:val="single"/>
    </w:rPr>
  </w:style>
  <w:style w:type="table" w:styleId="GridTable4-Accent1">
    <w:name w:val="Grid Table 4 Accent 1"/>
    <w:basedOn w:val="TableNormal"/>
    <w:uiPriority w:val="49"/>
    <w:rsid w:val="001E1CD9"/>
    <w:rPr>
      <w:rFonts w:ascii="Calibri" w:eastAsia="Calibri" w:hAnsi="Calibri"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5">
    <w:name w:val="Grid Table 3 Accent 5"/>
    <w:basedOn w:val="TableNormal"/>
    <w:uiPriority w:val="48"/>
    <w:rsid w:val="001E1CD9"/>
    <w:rPr>
      <w:rFonts w:ascii="Calibri" w:eastAsia="Calibri" w:hAnsi="Calibri" w:cs="Times New Roman"/>
      <w:sz w:val="20"/>
      <w:szCs w:val="20"/>
      <w:lang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1">
    <w:name w:val="Grid Table 2 Accent 1"/>
    <w:basedOn w:val="TableNormal"/>
    <w:uiPriority w:val="47"/>
    <w:rsid w:val="001E1CD9"/>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1E1CD9"/>
    <w:rPr>
      <w:rFonts w:ascii="Calibri" w:eastAsia="Calibri" w:hAnsi="Calibri" w:cs="Times New Roman"/>
      <w:sz w:val="20"/>
      <w:szCs w:val="20"/>
      <w:lang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E1CD9"/>
    <w:rPr>
      <w:sz w:val="16"/>
      <w:szCs w:val="16"/>
    </w:rPr>
  </w:style>
  <w:style w:type="paragraph" w:styleId="CommentText">
    <w:name w:val="annotation text"/>
    <w:basedOn w:val="Normal"/>
    <w:link w:val="CommentTextChar"/>
    <w:uiPriority w:val="99"/>
    <w:unhideWhenUsed/>
    <w:rsid w:val="001E1CD9"/>
    <w:pPr>
      <w:suppressAutoHyphens/>
    </w:pPr>
    <w:rPr>
      <w:sz w:val="20"/>
      <w:szCs w:val="20"/>
    </w:rPr>
  </w:style>
  <w:style w:type="character" w:customStyle="1" w:styleId="CommentTextChar">
    <w:name w:val="Comment Text Char"/>
    <w:basedOn w:val="DefaultParagraphFont"/>
    <w:link w:val="CommentText"/>
    <w:uiPriority w:val="99"/>
    <w:rsid w:val="001E1CD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E1CD9"/>
    <w:rPr>
      <w:b/>
      <w:bCs/>
    </w:rPr>
  </w:style>
  <w:style w:type="character" w:customStyle="1" w:styleId="CommentSubjectChar">
    <w:name w:val="Comment Subject Char"/>
    <w:basedOn w:val="CommentTextChar"/>
    <w:link w:val="CommentSubject"/>
    <w:uiPriority w:val="99"/>
    <w:semiHidden/>
    <w:rsid w:val="001E1CD9"/>
    <w:rPr>
      <w:rFonts w:ascii="Times New Roman" w:eastAsia="Times New Roman" w:hAnsi="Times New Roman" w:cs="Times New Roman"/>
      <w:b/>
      <w:bCs/>
      <w:sz w:val="20"/>
      <w:szCs w:val="20"/>
      <w:lang w:eastAsia="en-GB"/>
    </w:rPr>
  </w:style>
  <w:style w:type="paragraph" w:styleId="Revision">
    <w:name w:val="Revision"/>
    <w:hidden/>
    <w:uiPriority w:val="99"/>
    <w:semiHidden/>
    <w:rsid w:val="001E1CD9"/>
    <w:rPr>
      <w:rFonts w:ascii="Times New Roman" w:eastAsia="Times New Roman" w:hAnsi="Times New Roman" w:cs="Times New Roman"/>
      <w:lang w:eastAsia="en-GB"/>
    </w:rPr>
  </w:style>
  <w:style w:type="table" w:styleId="GridTable3-Accent1">
    <w:name w:val="Grid Table 3 Accent 1"/>
    <w:basedOn w:val="TableNormal"/>
    <w:uiPriority w:val="48"/>
    <w:rsid w:val="001E1CD9"/>
    <w:rPr>
      <w:rFonts w:ascii="Calibri" w:eastAsia="Calibri" w:hAnsi="Calibri"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Emphasis">
    <w:name w:val="Emphasis"/>
    <w:basedOn w:val="DefaultParagraphFont"/>
    <w:uiPriority w:val="20"/>
    <w:qFormat/>
    <w:rsid w:val="001E1CD9"/>
    <w:rPr>
      <w:i/>
      <w:iCs/>
    </w:rPr>
  </w:style>
  <w:style w:type="character" w:customStyle="1" w:styleId="apple-converted-space">
    <w:name w:val="apple-converted-space"/>
    <w:basedOn w:val="DefaultParagraphFont"/>
    <w:rsid w:val="001E1CD9"/>
  </w:style>
  <w:style w:type="character" w:styleId="Strong">
    <w:name w:val="Strong"/>
    <w:basedOn w:val="DefaultParagraphFont"/>
    <w:uiPriority w:val="22"/>
    <w:qFormat/>
    <w:rsid w:val="001E1CD9"/>
    <w:rPr>
      <w:b/>
      <w:bCs/>
    </w:rPr>
  </w:style>
  <w:style w:type="paragraph" w:customStyle="1" w:styleId="Default">
    <w:name w:val="Default"/>
    <w:rsid w:val="001E1CD9"/>
    <w:pPr>
      <w:autoSpaceDE w:val="0"/>
      <w:autoSpaceDN w:val="0"/>
      <w:adjustRightInd w:val="0"/>
    </w:pPr>
    <w:rPr>
      <w:rFonts w:ascii="Arial" w:eastAsia="Calibri" w:hAnsi="Arial" w:cs="Arial"/>
      <w:color w:val="000000"/>
      <w:lang w:eastAsia="en-GB"/>
    </w:rPr>
  </w:style>
  <w:style w:type="character" w:styleId="PlaceholderText">
    <w:name w:val="Placeholder Text"/>
    <w:basedOn w:val="DefaultParagraphFont"/>
    <w:uiPriority w:val="99"/>
    <w:semiHidden/>
    <w:rsid w:val="001E1CD9"/>
    <w:rPr>
      <w:color w:val="808080"/>
    </w:rPr>
  </w:style>
  <w:style w:type="character" w:customStyle="1" w:styleId="title-text">
    <w:name w:val="title-text"/>
    <w:basedOn w:val="DefaultParagraphFont"/>
    <w:rsid w:val="001E1CD9"/>
  </w:style>
  <w:style w:type="paragraph" w:customStyle="1" w:styleId="EndNoteBibliographyTitle">
    <w:name w:val="EndNote Bibliography Title"/>
    <w:basedOn w:val="Normal"/>
    <w:link w:val="EndNoteBibliographyTitleChar"/>
    <w:rsid w:val="001E1CD9"/>
    <w:pPr>
      <w:jc w:val="center"/>
    </w:pPr>
  </w:style>
  <w:style w:type="character" w:customStyle="1" w:styleId="NormalWebChar">
    <w:name w:val="Normal (Web) Char"/>
    <w:basedOn w:val="DefaultParagraphFont"/>
    <w:link w:val="NormalWeb"/>
    <w:uiPriority w:val="99"/>
    <w:rsid w:val="001E1CD9"/>
    <w:rPr>
      <w:rFonts w:ascii="Times New Roman" w:eastAsia="Times New Roman" w:hAnsi="Times New Roman" w:cs="Times New Roman"/>
      <w:lang w:eastAsia="en-GB"/>
    </w:rPr>
  </w:style>
  <w:style w:type="character" w:customStyle="1" w:styleId="EndNoteBibliographyTitleChar">
    <w:name w:val="EndNote Bibliography Title Char"/>
    <w:basedOn w:val="NormalWebChar"/>
    <w:link w:val="EndNoteBibliographyTitle"/>
    <w:rsid w:val="001E1CD9"/>
    <w:rPr>
      <w:rFonts w:ascii="Times New Roman" w:eastAsia="Times New Roman" w:hAnsi="Times New Roman" w:cs="Times New Roman"/>
      <w:lang w:eastAsia="en-GB"/>
    </w:rPr>
  </w:style>
  <w:style w:type="paragraph" w:customStyle="1" w:styleId="EndNoteBibliography">
    <w:name w:val="EndNote Bibliography"/>
    <w:basedOn w:val="Normal"/>
    <w:link w:val="EndNoteBibliographyChar"/>
    <w:rsid w:val="001E1CD9"/>
    <w:pPr>
      <w:jc w:val="both"/>
    </w:pPr>
  </w:style>
  <w:style w:type="character" w:customStyle="1" w:styleId="EndNoteBibliographyChar">
    <w:name w:val="EndNote Bibliography Char"/>
    <w:basedOn w:val="NormalWebChar"/>
    <w:link w:val="EndNoteBibliography"/>
    <w:rsid w:val="001E1CD9"/>
    <w:rPr>
      <w:rFonts w:ascii="Times New Roman" w:eastAsia="Times New Roman" w:hAnsi="Times New Roman" w:cs="Times New Roman"/>
      <w:lang w:eastAsia="en-GB"/>
    </w:rPr>
  </w:style>
  <w:style w:type="character" w:customStyle="1" w:styleId="groupname">
    <w:name w:val="groupname"/>
    <w:basedOn w:val="DefaultParagraphFont"/>
    <w:rsid w:val="001E1CD9"/>
  </w:style>
  <w:style w:type="character" w:customStyle="1" w:styleId="booktitle">
    <w:name w:val="booktitle"/>
    <w:basedOn w:val="DefaultParagraphFont"/>
    <w:rsid w:val="001E1CD9"/>
  </w:style>
  <w:style w:type="character" w:customStyle="1" w:styleId="publisherlocation">
    <w:name w:val="publisherlocation"/>
    <w:basedOn w:val="DefaultParagraphFont"/>
    <w:rsid w:val="001E1CD9"/>
  </w:style>
  <w:style w:type="character" w:customStyle="1" w:styleId="pubyear">
    <w:name w:val="pubyear"/>
    <w:basedOn w:val="DefaultParagraphFont"/>
    <w:rsid w:val="001E1CD9"/>
  </w:style>
  <w:style w:type="character" w:customStyle="1" w:styleId="al-author-name-more">
    <w:name w:val="al-author-name-more"/>
    <w:basedOn w:val="DefaultParagraphFont"/>
    <w:rsid w:val="00C351A3"/>
  </w:style>
  <w:style w:type="character" w:customStyle="1" w:styleId="delimiter">
    <w:name w:val="delimiter"/>
    <w:basedOn w:val="DefaultParagraphFont"/>
    <w:rsid w:val="00C351A3"/>
  </w:style>
  <w:style w:type="character" w:customStyle="1" w:styleId="name">
    <w:name w:val="name"/>
    <w:basedOn w:val="DefaultParagraphFont"/>
    <w:rsid w:val="00C3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41712">
      <w:bodyDiv w:val="1"/>
      <w:marLeft w:val="0"/>
      <w:marRight w:val="0"/>
      <w:marTop w:val="0"/>
      <w:marBottom w:val="0"/>
      <w:divBdr>
        <w:top w:val="none" w:sz="0" w:space="0" w:color="auto"/>
        <w:left w:val="none" w:sz="0" w:space="0" w:color="auto"/>
        <w:bottom w:val="none" w:sz="0" w:space="0" w:color="auto"/>
        <w:right w:val="none" w:sz="0" w:space="0" w:color="auto"/>
      </w:divBdr>
      <w:divsChild>
        <w:div w:id="1722292111">
          <w:marLeft w:val="0"/>
          <w:marRight w:val="0"/>
          <w:marTop w:val="0"/>
          <w:marBottom w:val="0"/>
          <w:divBdr>
            <w:top w:val="none" w:sz="0" w:space="0" w:color="auto"/>
            <w:left w:val="none" w:sz="0" w:space="0" w:color="auto"/>
            <w:bottom w:val="none" w:sz="0" w:space="0" w:color="auto"/>
            <w:right w:val="none" w:sz="0" w:space="0" w:color="auto"/>
          </w:divBdr>
        </w:div>
        <w:div w:id="1731876638">
          <w:marLeft w:val="0"/>
          <w:marRight w:val="0"/>
          <w:marTop w:val="0"/>
          <w:marBottom w:val="0"/>
          <w:divBdr>
            <w:top w:val="none" w:sz="0" w:space="0" w:color="auto"/>
            <w:left w:val="none" w:sz="0" w:space="0" w:color="auto"/>
            <w:bottom w:val="none" w:sz="0" w:space="0" w:color="auto"/>
            <w:right w:val="none" w:sz="0" w:space="0" w:color="auto"/>
          </w:divBdr>
        </w:div>
        <w:div w:id="1291282195">
          <w:marLeft w:val="0"/>
          <w:marRight w:val="0"/>
          <w:marTop w:val="0"/>
          <w:marBottom w:val="0"/>
          <w:divBdr>
            <w:top w:val="none" w:sz="0" w:space="0" w:color="auto"/>
            <w:left w:val="none" w:sz="0" w:space="0" w:color="auto"/>
            <w:bottom w:val="none" w:sz="0" w:space="0" w:color="auto"/>
            <w:right w:val="none" w:sz="0" w:space="0" w:color="auto"/>
          </w:divBdr>
        </w:div>
        <w:div w:id="1641809533">
          <w:marLeft w:val="0"/>
          <w:marRight w:val="0"/>
          <w:marTop w:val="0"/>
          <w:marBottom w:val="0"/>
          <w:divBdr>
            <w:top w:val="none" w:sz="0" w:space="0" w:color="auto"/>
            <w:left w:val="none" w:sz="0" w:space="0" w:color="auto"/>
            <w:bottom w:val="none" w:sz="0" w:space="0" w:color="auto"/>
            <w:right w:val="none" w:sz="0" w:space="0" w:color="auto"/>
          </w:divBdr>
        </w:div>
        <w:div w:id="1993630687">
          <w:marLeft w:val="0"/>
          <w:marRight w:val="0"/>
          <w:marTop w:val="0"/>
          <w:marBottom w:val="0"/>
          <w:divBdr>
            <w:top w:val="none" w:sz="0" w:space="0" w:color="auto"/>
            <w:left w:val="none" w:sz="0" w:space="0" w:color="auto"/>
            <w:bottom w:val="none" w:sz="0" w:space="0" w:color="auto"/>
            <w:right w:val="none" w:sz="0" w:space="0" w:color="auto"/>
          </w:divBdr>
        </w:div>
        <w:div w:id="2104959651">
          <w:marLeft w:val="0"/>
          <w:marRight w:val="0"/>
          <w:marTop w:val="0"/>
          <w:marBottom w:val="0"/>
          <w:divBdr>
            <w:top w:val="none" w:sz="0" w:space="0" w:color="auto"/>
            <w:left w:val="none" w:sz="0" w:space="0" w:color="auto"/>
            <w:bottom w:val="none" w:sz="0" w:space="0" w:color="auto"/>
            <w:right w:val="none" w:sz="0" w:space="0" w:color="auto"/>
          </w:divBdr>
        </w:div>
        <w:div w:id="1349336336">
          <w:marLeft w:val="0"/>
          <w:marRight w:val="0"/>
          <w:marTop w:val="0"/>
          <w:marBottom w:val="0"/>
          <w:divBdr>
            <w:top w:val="none" w:sz="0" w:space="0" w:color="auto"/>
            <w:left w:val="none" w:sz="0" w:space="0" w:color="auto"/>
            <w:bottom w:val="none" w:sz="0" w:space="0" w:color="auto"/>
            <w:right w:val="none" w:sz="0" w:space="0" w:color="auto"/>
          </w:divBdr>
        </w:div>
        <w:div w:id="712266018">
          <w:marLeft w:val="0"/>
          <w:marRight w:val="0"/>
          <w:marTop w:val="0"/>
          <w:marBottom w:val="0"/>
          <w:divBdr>
            <w:top w:val="none" w:sz="0" w:space="0" w:color="auto"/>
            <w:left w:val="none" w:sz="0" w:space="0" w:color="auto"/>
            <w:bottom w:val="none" w:sz="0" w:space="0" w:color="auto"/>
            <w:right w:val="none" w:sz="0" w:space="0" w:color="auto"/>
          </w:divBdr>
        </w:div>
        <w:div w:id="820543292">
          <w:marLeft w:val="0"/>
          <w:marRight w:val="0"/>
          <w:marTop w:val="0"/>
          <w:marBottom w:val="0"/>
          <w:divBdr>
            <w:top w:val="none" w:sz="0" w:space="0" w:color="auto"/>
            <w:left w:val="none" w:sz="0" w:space="0" w:color="auto"/>
            <w:bottom w:val="none" w:sz="0" w:space="0" w:color="auto"/>
            <w:right w:val="none" w:sz="0" w:space="0" w:color="auto"/>
          </w:divBdr>
        </w:div>
        <w:div w:id="1086075642">
          <w:marLeft w:val="0"/>
          <w:marRight w:val="0"/>
          <w:marTop w:val="0"/>
          <w:marBottom w:val="0"/>
          <w:divBdr>
            <w:top w:val="none" w:sz="0" w:space="0" w:color="auto"/>
            <w:left w:val="none" w:sz="0" w:space="0" w:color="auto"/>
            <w:bottom w:val="none" w:sz="0" w:space="0" w:color="auto"/>
            <w:right w:val="none" w:sz="0" w:space="0" w:color="auto"/>
          </w:divBdr>
        </w:div>
        <w:div w:id="1120340549">
          <w:marLeft w:val="0"/>
          <w:marRight w:val="0"/>
          <w:marTop w:val="0"/>
          <w:marBottom w:val="0"/>
          <w:divBdr>
            <w:top w:val="none" w:sz="0" w:space="0" w:color="auto"/>
            <w:left w:val="none" w:sz="0" w:space="0" w:color="auto"/>
            <w:bottom w:val="none" w:sz="0" w:space="0" w:color="auto"/>
            <w:right w:val="none" w:sz="0" w:space="0" w:color="auto"/>
          </w:divBdr>
        </w:div>
        <w:div w:id="2071033454">
          <w:marLeft w:val="0"/>
          <w:marRight w:val="0"/>
          <w:marTop w:val="0"/>
          <w:marBottom w:val="0"/>
          <w:divBdr>
            <w:top w:val="none" w:sz="0" w:space="0" w:color="auto"/>
            <w:left w:val="none" w:sz="0" w:space="0" w:color="auto"/>
            <w:bottom w:val="none" w:sz="0" w:space="0" w:color="auto"/>
            <w:right w:val="none" w:sz="0" w:space="0" w:color="auto"/>
          </w:divBdr>
        </w:div>
      </w:divsChild>
    </w:div>
    <w:div w:id="385106444">
      <w:bodyDiv w:val="1"/>
      <w:marLeft w:val="0"/>
      <w:marRight w:val="0"/>
      <w:marTop w:val="0"/>
      <w:marBottom w:val="0"/>
      <w:divBdr>
        <w:top w:val="none" w:sz="0" w:space="0" w:color="auto"/>
        <w:left w:val="none" w:sz="0" w:space="0" w:color="auto"/>
        <w:bottom w:val="none" w:sz="0" w:space="0" w:color="auto"/>
        <w:right w:val="none" w:sz="0" w:space="0" w:color="auto"/>
      </w:divBdr>
      <w:divsChild>
        <w:div w:id="1678850993">
          <w:marLeft w:val="0"/>
          <w:marRight w:val="0"/>
          <w:marTop w:val="0"/>
          <w:marBottom w:val="0"/>
          <w:divBdr>
            <w:top w:val="none" w:sz="0" w:space="0" w:color="auto"/>
            <w:left w:val="none" w:sz="0" w:space="0" w:color="auto"/>
            <w:bottom w:val="none" w:sz="0" w:space="0" w:color="auto"/>
            <w:right w:val="none" w:sz="0" w:space="0" w:color="auto"/>
          </w:divBdr>
          <w:divsChild>
            <w:div w:id="165117993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517691979">
      <w:bodyDiv w:val="1"/>
      <w:marLeft w:val="0"/>
      <w:marRight w:val="0"/>
      <w:marTop w:val="0"/>
      <w:marBottom w:val="0"/>
      <w:divBdr>
        <w:top w:val="none" w:sz="0" w:space="0" w:color="auto"/>
        <w:left w:val="none" w:sz="0" w:space="0" w:color="auto"/>
        <w:bottom w:val="none" w:sz="0" w:space="0" w:color="auto"/>
        <w:right w:val="none" w:sz="0" w:space="0" w:color="auto"/>
      </w:divBdr>
      <w:divsChild>
        <w:div w:id="431053983">
          <w:marLeft w:val="0"/>
          <w:marRight w:val="0"/>
          <w:marTop w:val="0"/>
          <w:marBottom w:val="0"/>
          <w:divBdr>
            <w:top w:val="none" w:sz="0" w:space="0" w:color="auto"/>
            <w:left w:val="none" w:sz="0" w:space="0" w:color="auto"/>
            <w:bottom w:val="none" w:sz="0" w:space="0" w:color="auto"/>
            <w:right w:val="none" w:sz="0" w:space="0" w:color="auto"/>
          </w:divBdr>
          <w:divsChild>
            <w:div w:id="564688151">
              <w:marLeft w:val="0"/>
              <w:marRight w:val="0"/>
              <w:marTop w:val="0"/>
              <w:marBottom w:val="0"/>
              <w:divBdr>
                <w:top w:val="none" w:sz="0" w:space="0" w:color="auto"/>
                <w:left w:val="none" w:sz="0" w:space="0" w:color="auto"/>
                <w:bottom w:val="none" w:sz="0" w:space="0" w:color="auto"/>
                <w:right w:val="none" w:sz="0" w:space="0" w:color="auto"/>
              </w:divBdr>
              <w:divsChild>
                <w:div w:id="604263808">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5991</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Simon David</dc:creator>
  <cp:keywords/>
  <dc:description/>
  <cp:lastModifiedBy>Cook, Simon David</cp:lastModifiedBy>
  <cp:revision>4</cp:revision>
  <dcterms:created xsi:type="dcterms:W3CDTF">2020-11-07T22:29:00Z</dcterms:created>
  <dcterms:modified xsi:type="dcterms:W3CDTF">2020-11-10T10:53:00Z</dcterms:modified>
</cp:coreProperties>
</file>