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BED1" w14:textId="77777777" w:rsidR="00236F70" w:rsidRPr="00344DFC" w:rsidRDefault="00236F70" w:rsidP="00344DFC">
      <w:pPr>
        <w:contextualSpacing/>
        <w:rPr>
          <w:b/>
        </w:rPr>
      </w:pPr>
      <w:bookmarkStart w:id="0" w:name="_GoBack"/>
      <w:bookmarkEnd w:id="0"/>
      <w:r w:rsidRPr="00344DFC">
        <w:rPr>
          <w:b/>
        </w:rPr>
        <w:t>Review</w:t>
      </w:r>
    </w:p>
    <w:p w14:paraId="15D38988" w14:textId="16409965" w:rsidR="00B12464" w:rsidRPr="00344DFC" w:rsidRDefault="00B12464" w:rsidP="00344DFC">
      <w:pPr>
        <w:contextualSpacing/>
        <w:rPr>
          <w:b/>
        </w:rPr>
      </w:pPr>
    </w:p>
    <w:p w14:paraId="47497283" w14:textId="77777777" w:rsidR="001E1278" w:rsidRPr="00344DFC" w:rsidRDefault="001E1278" w:rsidP="00344DFC">
      <w:pPr>
        <w:contextualSpacing/>
        <w:rPr>
          <w:b/>
        </w:rPr>
      </w:pPr>
    </w:p>
    <w:p w14:paraId="658296CD" w14:textId="26954136" w:rsidR="00AF5814" w:rsidRPr="00344DFC" w:rsidRDefault="00B12464" w:rsidP="00344DFC">
      <w:pPr>
        <w:contextualSpacing/>
      </w:pPr>
      <w:r w:rsidRPr="00344DFC">
        <w:rPr>
          <w:b/>
        </w:rPr>
        <w:t xml:space="preserve">Genetics of </w:t>
      </w:r>
      <w:r w:rsidR="00325EDE" w:rsidRPr="00344DFC">
        <w:rPr>
          <w:b/>
        </w:rPr>
        <w:t xml:space="preserve">canine diabetes mellitus part </w:t>
      </w:r>
      <w:r w:rsidRPr="00344DFC">
        <w:rPr>
          <w:b/>
        </w:rPr>
        <w:t>2</w:t>
      </w:r>
      <w:r w:rsidR="00AF5814" w:rsidRPr="00344DFC">
        <w:rPr>
          <w:b/>
          <w:color w:val="000000" w:themeColor="text1"/>
        </w:rPr>
        <w:t xml:space="preserve">: </w:t>
      </w:r>
      <w:r w:rsidR="004E2D91" w:rsidRPr="00344DFC">
        <w:rPr>
          <w:b/>
          <w:bCs/>
          <w:color w:val="000000" w:themeColor="text1"/>
        </w:rPr>
        <w:t xml:space="preserve">Current </w:t>
      </w:r>
      <w:r w:rsidR="00325EDE">
        <w:rPr>
          <w:b/>
          <w:bCs/>
          <w:color w:val="000000" w:themeColor="text1"/>
        </w:rPr>
        <w:t>u</w:t>
      </w:r>
      <w:r w:rsidR="00325EDE" w:rsidRPr="00344DFC">
        <w:rPr>
          <w:b/>
          <w:bCs/>
          <w:color w:val="000000" w:themeColor="text1"/>
        </w:rPr>
        <w:t xml:space="preserve">nderstanding and </w:t>
      </w:r>
      <w:r w:rsidR="00325EDE">
        <w:rPr>
          <w:b/>
          <w:bCs/>
          <w:color w:val="000000"/>
        </w:rPr>
        <w:t>f</w:t>
      </w:r>
      <w:r w:rsidR="00325EDE" w:rsidRPr="00344DFC">
        <w:rPr>
          <w:b/>
          <w:bCs/>
          <w:color w:val="000000"/>
        </w:rPr>
        <w:t xml:space="preserve">uture </w:t>
      </w:r>
      <w:r w:rsidR="00325EDE">
        <w:rPr>
          <w:b/>
          <w:bCs/>
          <w:color w:val="000000"/>
        </w:rPr>
        <w:t>d</w:t>
      </w:r>
      <w:r w:rsidR="00325EDE" w:rsidRPr="00344DFC">
        <w:rPr>
          <w:b/>
          <w:bCs/>
          <w:color w:val="000000"/>
        </w:rPr>
        <w:t>irec</w:t>
      </w:r>
      <w:r w:rsidR="00AF5814" w:rsidRPr="00344DFC">
        <w:rPr>
          <w:b/>
          <w:bCs/>
          <w:color w:val="000000"/>
        </w:rPr>
        <w:t>tions</w:t>
      </w:r>
    </w:p>
    <w:p w14:paraId="6D2DE9F4" w14:textId="47E1AEAC" w:rsidR="00B12464" w:rsidRPr="00344DFC" w:rsidRDefault="00B12464" w:rsidP="00344DFC">
      <w:pPr>
        <w:shd w:val="clear" w:color="auto" w:fill="FFFFFF"/>
        <w:contextualSpacing/>
        <w:rPr>
          <w:color w:val="212121"/>
        </w:rPr>
      </w:pPr>
    </w:p>
    <w:p w14:paraId="4563901C" w14:textId="77777777" w:rsidR="00325EDE" w:rsidRPr="00063CEE" w:rsidRDefault="00325EDE" w:rsidP="00325EDE">
      <w:r w:rsidRPr="00063CEE">
        <w:t>A</w:t>
      </w:r>
      <w:r>
        <w:t xml:space="preserve">lice </w:t>
      </w:r>
      <w:r w:rsidRPr="00063CEE">
        <w:t>L. Denyer</w:t>
      </w:r>
      <w:r>
        <w:rPr>
          <w:lang w:val="en-US"/>
        </w:rPr>
        <w:t xml:space="preserve"> </w:t>
      </w:r>
      <w:r w:rsidRPr="00063CEE">
        <w:rPr>
          <w:vertAlign w:val="superscript"/>
        </w:rPr>
        <w:t>a</w:t>
      </w:r>
      <w:r w:rsidRPr="00063CEE">
        <w:t>, Canine Diabetes Genetics Partnership</w:t>
      </w:r>
      <w:r>
        <w:t xml:space="preserve"> </w:t>
      </w:r>
      <w:r w:rsidRPr="00063CEE">
        <w:rPr>
          <w:vertAlign w:val="superscript"/>
        </w:rPr>
        <w:t>b</w:t>
      </w:r>
      <w:r w:rsidRPr="00063CEE">
        <w:t>, B</w:t>
      </w:r>
      <w:r>
        <w:t>rian</w:t>
      </w:r>
      <w:r w:rsidRPr="00063CEE">
        <w:t xml:space="preserve"> Catchpole</w:t>
      </w:r>
      <w:r>
        <w:t xml:space="preserve"> </w:t>
      </w:r>
      <w:r w:rsidRPr="007D396D">
        <w:rPr>
          <w:vertAlign w:val="superscript"/>
        </w:rPr>
        <w:t>a</w:t>
      </w:r>
      <w:r>
        <w:t xml:space="preserve">, </w:t>
      </w:r>
      <w:r w:rsidRPr="003458CE">
        <w:t>Lucy</w:t>
      </w:r>
      <w:r>
        <w:t xml:space="preserve"> </w:t>
      </w:r>
      <w:r w:rsidRPr="00063CEE">
        <w:t>J. Davison</w:t>
      </w:r>
      <w:r>
        <w:t xml:space="preserve"> </w:t>
      </w:r>
      <w:r w:rsidRPr="00063CEE">
        <w:rPr>
          <w:vertAlign w:val="superscript"/>
        </w:rPr>
        <w:t>c,</w:t>
      </w:r>
      <w:r>
        <w:rPr>
          <w:vertAlign w:val="superscript"/>
        </w:rPr>
        <w:t xml:space="preserve"> </w:t>
      </w:r>
      <w:r w:rsidRPr="00063CEE">
        <w:rPr>
          <w:vertAlign w:val="superscript"/>
        </w:rPr>
        <w:t>d,</w:t>
      </w:r>
      <w:r>
        <w:rPr>
          <w:vertAlign w:val="superscript"/>
        </w:rPr>
        <w:t xml:space="preserve"> </w:t>
      </w:r>
      <w:r w:rsidRPr="00063CEE">
        <w:rPr>
          <w:vertAlign w:val="superscript"/>
        </w:rPr>
        <w:t>*</w:t>
      </w:r>
    </w:p>
    <w:p w14:paraId="475CF7DC" w14:textId="77777777" w:rsidR="001E1278" w:rsidRPr="00344DFC" w:rsidRDefault="001E1278" w:rsidP="00344DFC">
      <w:pPr>
        <w:shd w:val="clear" w:color="auto" w:fill="FFFFFF"/>
        <w:contextualSpacing/>
        <w:rPr>
          <w:color w:val="212121"/>
        </w:rPr>
      </w:pPr>
    </w:p>
    <w:p w14:paraId="549D9680" w14:textId="133236BC" w:rsidR="001E1278" w:rsidRPr="00344DFC" w:rsidRDefault="001E1278" w:rsidP="00344DFC">
      <w:pPr>
        <w:shd w:val="clear" w:color="auto" w:fill="FFFFFF"/>
        <w:contextualSpacing/>
        <w:rPr>
          <w:i/>
          <w:color w:val="212121"/>
        </w:rPr>
      </w:pPr>
      <w:r w:rsidRPr="00344DFC">
        <w:rPr>
          <w:i/>
          <w:color w:val="212121"/>
          <w:vertAlign w:val="superscript"/>
        </w:rPr>
        <w:t>a</w:t>
      </w:r>
      <w:r w:rsidRPr="00344DFC">
        <w:rPr>
          <w:i/>
          <w:color w:val="212121"/>
        </w:rPr>
        <w:t xml:space="preserve"> Department of Pathology and Pathogen Biology, Royal Veterinary College, Hatfield, UK</w:t>
      </w:r>
    </w:p>
    <w:p w14:paraId="3CA395B3" w14:textId="73CEF7E6" w:rsidR="001E1278" w:rsidRPr="00344DFC" w:rsidRDefault="001E1278" w:rsidP="00344DFC">
      <w:pPr>
        <w:shd w:val="clear" w:color="auto" w:fill="FFFFFF"/>
        <w:contextualSpacing/>
        <w:rPr>
          <w:i/>
          <w:color w:val="212121"/>
        </w:rPr>
      </w:pPr>
      <w:r w:rsidRPr="00344DFC">
        <w:rPr>
          <w:i/>
          <w:color w:val="212121"/>
          <w:vertAlign w:val="superscript"/>
        </w:rPr>
        <w:t>b</w:t>
      </w:r>
      <w:r w:rsidRPr="00344DFC">
        <w:rPr>
          <w:i/>
          <w:color w:val="212121"/>
        </w:rPr>
        <w:t xml:space="preserve"> See Acknowledgements section for names and affiliations of additional Canine Diabetes Genetics Partnership members</w:t>
      </w:r>
    </w:p>
    <w:p w14:paraId="6AB2CEC3" w14:textId="02D36AEA" w:rsidR="001E1278" w:rsidRPr="00344DFC" w:rsidRDefault="001E1278" w:rsidP="00344DFC">
      <w:pPr>
        <w:shd w:val="clear" w:color="auto" w:fill="FFFFFF"/>
        <w:contextualSpacing/>
        <w:rPr>
          <w:i/>
          <w:color w:val="212121"/>
        </w:rPr>
      </w:pPr>
      <w:r w:rsidRPr="00344DFC">
        <w:rPr>
          <w:i/>
          <w:color w:val="212121"/>
          <w:vertAlign w:val="superscript"/>
        </w:rPr>
        <w:t>c</w:t>
      </w:r>
      <w:r w:rsidRPr="00344DFC">
        <w:rPr>
          <w:i/>
          <w:color w:val="212121"/>
        </w:rPr>
        <w:t xml:space="preserve"> Department of Clinical Sciences and Services, Royal Veterinary College, Hatfield, UK</w:t>
      </w:r>
    </w:p>
    <w:p w14:paraId="68B30DC4" w14:textId="6D500C7B" w:rsidR="001E1278" w:rsidRPr="00344DFC" w:rsidRDefault="001E1278" w:rsidP="00344DFC">
      <w:pPr>
        <w:shd w:val="clear" w:color="auto" w:fill="FFFFFF"/>
        <w:contextualSpacing/>
        <w:rPr>
          <w:i/>
          <w:color w:val="212121"/>
        </w:rPr>
      </w:pPr>
      <w:r w:rsidRPr="00344DFC">
        <w:rPr>
          <w:i/>
          <w:color w:val="212121"/>
          <w:vertAlign w:val="superscript"/>
        </w:rPr>
        <w:t>d</w:t>
      </w:r>
      <w:r w:rsidRPr="00344DFC">
        <w:rPr>
          <w:i/>
          <w:color w:val="212121"/>
        </w:rPr>
        <w:t xml:space="preserve"> Wellcome Centre for Human Genetics, University of Oxford, Oxford, UK</w:t>
      </w:r>
    </w:p>
    <w:p w14:paraId="38240CDE" w14:textId="759453C8" w:rsidR="001E1278" w:rsidRDefault="001E1278" w:rsidP="00344DFC">
      <w:pPr>
        <w:shd w:val="clear" w:color="auto" w:fill="FFFFFF"/>
        <w:contextualSpacing/>
        <w:rPr>
          <w:color w:val="212121"/>
        </w:rPr>
      </w:pPr>
    </w:p>
    <w:p w14:paraId="565F13A5" w14:textId="299793FD" w:rsidR="00344DFC" w:rsidRDefault="00344DFC" w:rsidP="00344DFC">
      <w:pPr>
        <w:shd w:val="clear" w:color="auto" w:fill="FFFFFF"/>
        <w:contextualSpacing/>
        <w:rPr>
          <w:color w:val="212121"/>
        </w:rPr>
      </w:pPr>
    </w:p>
    <w:p w14:paraId="37151CBD" w14:textId="326D7E68" w:rsidR="00344DFC" w:rsidRDefault="00344DFC" w:rsidP="00344DFC">
      <w:pPr>
        <w:shd w:val="clear" w:color="auto" w:fill="FFFFFF"/>
        <w:contextualSpacing/>
        <w:rPr>
          <w:color w:val="212121"/>
        </w:rPr>
      </w:pPr>
    </w:p>
    <w:p w14:paraId="2D9734DF" w14:textId="77777777" w:rsidR="00344DFC" w:rsidRPr="00344DFC" w:rsidRDefault="00344DFC" w:rsidP="00344DFC">
      <w:pPr>
        <w:shd w:val="clear" w:color="auto" w:fill="FFFFFF"/>
        <w:contextualSpacing/>
        <w:rPr>
          <w:color w:val="212121"/>
        </w:rPr>
      </w:pPr>
    </w:p>
    <w:p w14:paraId="48986A13" w14:textId="77777777" w:rsidR="00325EDE" w:rsidRDefault="00325EDE" w:rsidP="00325EDE">
      <w:r w:rsidRPr="00063CEE">
        <w:rPr>
          <w:color w:val="000000"/>
        </w:rPr>
        <w:t>*</w:t>
      </w:r>
      <w:r>
        <w:rPr>
          <w:color w:val="000000"/>
        </w:rPr>
        <w:t xml:space="preserve"> </w:t>
      </w:r>
      <w:r w:rsidRPr="00063CEE">
        <w:rPr>
          <w:color w:val="000000"/>
        </w:rPr>
        <w:t xml:space="preserve">Corresponding author. </w:t>
      </w:r>
      <w:r>
        <w:rPr>
          <w:color w:val="000000"/>
        </w:rPr>
        <w:t>Tel.: +44 (0) 1707 666399.</w:t>
      </w:r>
    </w:p>
    <w:p w14:paraId="1A2A33FF" w14:textId="77777777" w:rsidR="00325EDE" w:rsidRPr="00063CEE" w:rsidRDefault="00325EDE" w:rsidP="00325EDE"/>
    <w:p w14:paraId="0A78E64B" w14:textId="60196FFD" w:rsidR="00236F70" w:rsidRPr="00344DFC" w:rsidRDefault="00325EDE" w:rsidP="00325EDE">
      <w:pPr>
        <w:shd w:val="clear" w:color="auto" w:fill="FFFFFF"/>
        <w:contextualSpacing/>
        <w:rPr>
          <w:color w:val="212121"/>
        </w:rPr>
      </w:pPr>
      <w:r w:rsidRPr="00063CEE">
        <w:rPr>
          <w:i/>
        </w:rPr>
        <w:t>E</w:t>
      </w:r>
      <w:r>
        <w:rPr>
          <w:i/>
        </w:rPr>
        <w:t>-</w:t>
      </w:r>
      <w:r w:rsidRPr="00063CEE">
        <w:rPr>
          <w:i/>
        </w:rPr>
        <w:t>mail address</w:t>
      </w:r>
      <w:r w:rsidRPr="00063CEE">
        <w:t xml:space="preserve">: </w:t>
      </w:r>
      <w:hyperlink r:id="rId8" w:history="1">
        <w:r w:rsidRPr="000569D2">
          <w:rPr>
            <w:rStyle w:val="Hyperlink"/>
          </w:rPr>
          <w:t>ldavison@well.ox.ac.uk</w:t>
        </w:r>
      </w:hyperlink>
      <w:r>
        <w:rPr>
          <w:b/>
        </w:rPr>
        <w:t xml:space="preserve"> </w:t>
      </w:r>
      <w:r w:rsidRPr="00063CEE">
        <w:rPr>
          <w:b/>
        </w:rPr>
        <w:t>(</w:t>
      </w:r>
      <w:r w:rsidRPr="00063CEE">
        <w:t>L.J. Davison)</w:t>
      </w:r>
      <w:r>
        <w:t>.</w:t>
      </w:r>
      <w:r w:rsidR="00236F70" w:rsidRPr="00344DFC">
        <w:rPr>
          <w:b/>
        </w:rPr>
        <w:br w:type="page"/>
      </w:r>
    </w:p>
    <w:p w14:paraId="5B278491" w14:textId="77777777" w:rsidR="00CD34C7" w:rsidRPr="00344DFC" w:rsidRDefault="007D7ACA" w:rsidP="00344DFC">
      <w:pPr>
        <w:spacing w:line="480" w:lineRule="auto"/>
        <w:contextualSpacing/>
        <w:rPr>
          <w:b/>
        </w:rPr>
      </w:pPr>
      <w:r w:rsidRPr="00344DFC">
        <w:rPr>
          <w:b/>
        </w:rPr>
        <w:lastRenderedPageBreak/>
        <w:t xml:space="preserve">Abstract </w:t>
      </w:r>
    </w:p>
    <w:p w14:paraId="161586CB" w14:textId="46EF4DEC" w:rsidR="00170673" w:rsidRPr="002E7A50" w:rsidRDefault="00170673" w:rsidP="00344DFC">
      <w:pPr>
        <w:spacing w:line="480" w:lineRule="auto"/>
        <w:ind w:firstLine="720"/>
        <w:contextualSpacing/>
        <w:rPr>
          <w:color w:val="000000" w:themeColor="text1"/>
        </w:rPr>
      </w:pPr>
      <w:r w:rsidRPr="00344DFC">
        <w:t>Part 1 of this 2-part review outlined the importance of disease classification in diabetes genetic studies, as well as the ways in</w:t>
      </w:r>
      <w:r w:rsidRPr="002E7A50">
        <w:rPr>
          <w:color w:val="000000" w:themeColor="text1"/>
        </w:rPr>
        <w:t xml:space="preserve"> which genetic variants may contribute </w:t>
      </w:r>
      <w:r w:rsidR="00741597" w:rsidRPr="002E7A50">
        <w:rPr>
          <w:color w:val="000000" w:themeColor="text1"/>
        </w:rPr>
        <w:t xml:space="preserve">to </w:t>
      </w:r>
      <w:r w:rsidRPr="002E7A50">
        <w:rPr>
          <w:color w:val="000000" w:themeColor="text1"/>
        </w:rPr>
        <w:t xml:space="preserve">risk of a complex disease within an individual, or within a particular group of individuals. </w:t>
      </w:r>
      <w:r w:rsidR="00367E14" w:rsidRPr="002E7A50">
        <w:rPr>
          <w:color w:val="000000" w:themeColor="text1"/>
        </w:rPr>
        <w:t>Part 2, presented here,</w:t>
      </w:r>
      <w:r w:rsidRPr="002E7A50">
        <w:rPr>
          <w:color w:val="000000" w:themeColor="text1"/>
        </w:rPr>
        <w:t xml:space="preserve"> will describe in more detail our current understanding of the genetics of canine diabetes mellitus compared to our knowledge of the human disease. </w:t>
      </w:r>
      <w:r w:rsidR="0029756E" w:rsidRPr="002E7A50">
        <w:rPr>
          <w:color w:val="000000" w:themeColor="text1"/>
        </w:rPr>
        <w:t>Ongoing work to further develop our knowledge, using new technologies, will also be introduced</w:t>
      </w:r>
      <w:r w:rsidRPr="002E7A50">
        <w:rPr>
          <w:color w:val="000000" w:themeColor="text1"/>
        </w:rPr>
        <w:t>.</w:t>
      </w:r>
    </w:p>
    <w:p w14:paraId="52E0E499" w14:textId="77777777" w:rsidR="00E9108F" w:rsidRPr="00344DFC" w:rsidRDefault="00E9108F" w:rsidP="00344DFC">
      <w:pPr>
        <w:spacing w:line="480" w:lineRule="auto"/>
        <w:contextualSpacing/>
      </w:pPr>
    </w:p>
    <w:p w14:paraId="18AEAD08" w14:textId="216B749E" w:rsidR="002D5836" w:rsidRPr="00344DFC" w:rsidRDefault="007D7ACA" w:rsidP="00344DFC">
      <w:pPr>
        <w:spacing w:line="480" w:lineRule="auto"/>
        <w:contextualSpacing/>
      </w:pPr>
      <w:r w:rsidRPr="00344DFC">
        <w:rPr>
          <w:i/>
        </w:rPr>
        <w:t>Keyword</w:t>
      </w:r>
      <w:r w:rsidRPr="00344DFC">
        <w:t xml:space="preserve">s: Canine; Diabetes mellitus; Genetics; Genomics; Major </w:t>
      </w:r>
      <w:r w:rsidR="00325EDE" w:rsidRPr="00344DFC">
        <w:t>histocompatibility comple</w:t>
      </w:r>
      <w:r w:rsidRPr="00344DFC">
        <w:t>x</w:t>
      </w:r>
      <w:r w:rsidR="002D5836" w:rsidRPr="00344DFC">
        <w:rPr>
          <w:color w:val="1F497D"/>
        </w:rPr>
        <w:br w:type="page"/>
      </w:r>
    </w:p>
    <w:p w14:paraId="0030D185" w14:textId="77777777" w:rsidR="007D7ACA" w:rsidRPr="00344DFC" w:rsidRDefault="007D7ACA" w:rsidP="00344DFC">
      <w:pPr>
        <w:spacing w:line="480" w:lineRule="auto"/>
        <w:contextualSpacing/>
        <w:rPr>
          <w:color w:val="FF0000"/>
        </w:rPr>
      </w:pPr>
      <w:r w:rsidRPr="00344DFC">
        <w:rPr>
          <w:b/>
        </w:rPr>
        <w:lastRenderedPageBreak/>
        <w:t xml:space="preserve">Introduction </w:t>
      </w:r>
    </w:p>
    <w:p w14:paraId="6BE284F9" w14:textId="77777777" w:rsidR="00AD6D1D" w:rsidRPr="00344DFC" w:rsidRDefault="007D7ACA" w:rsidP="00344DFC">
      <w:pPr>
        <w:spacing w:line="480" w:lineRule="auto"/>
        <w:ind w:firstLine="720"/>
        <w:contextualSpacing/>
      </w:pPr>
      <w:r w:rsidRPr="00344DFC">
        <w:t>To date, the genetics of canine diabetes mellitus (DM) has primarily been investigated using a candidate gene approach, based on examination of susceptibility genes identified for human DM. Although this strategy historically has been rewarding in identifying mutations responsible for conditions and phenotypic traits with a monogenic basis, it is less successful for complex diseases such as DM. Introduction of high-throughput sequencing technologies, which have been invaluable in the study of human DM, hold great potential for research into the genetics of canine DM.</w:t>
      </w:r>
    </w:p>
    <w:p w14:paraId="6C14445C" w14:textId="77777777" w:rsidR="00201A5D" w:rsidRPr="00344DFC" w:rsidRDefault="00201A5D" w:rsidP="00344DFC">
      <w:pPr>
        <w:spacing w:line="480" w:lineRule="auto"/>
        <w:contextualSpacing/>
        <w:jc w:val="both"/>
      </w:pPr>
    </w:p>
    <w:p w14:paraId="608F680B" w14:textId="6673CFE5" w:rsidR="00201A5D" w:rsidRPr="00344DFC" w:rsidRDefault="00201A5D" w:rsidP="00344DFC">
      <w:pPr>
        <w:spacing w:line="480" w:lineRule="auto"/>
        <w:contextualSpacing/>
        <w:jc w:val="both"/>
        <w:rPr>
          <w:b/>
        </w:rPr>
      </w:pPr>
      <w:r w:rsidRPr="00344DFC">
        <w:rPr>
          <w:b/>
        </w:rPr>
        <w:t xml:space="preserve">Genetics of </w:t>
      </w:r>
      <w:r w:rsidR="00325EDE" w:rsidRPr="00344DFC">
        <w:rPr>
          <w:b/>
        </w:rPr>
        <w:t>diabetes mellitus in humans</w:t>
      </w:r>
    </w:p>
    <w:p w14:paraId="568C395F" w14:textId="6E8D2F06" w:rsidR="00334B15" w:rsidRPr="00344DFC" w:rsidRDefault="00201A5D" w:rsidP="00344DFC">
      <w:pPr>
        <w:spacing w:line="480" w:lineRule="auto"/>
        <w:ind w:firstLine="720"/>
        <w:contextualSpacing/>
      </w:pPr>
      <w:r w:rsidRPr="00344DFC">
        <w:t xml:space="preserve">In the past 10-15 years, major advances have been made in our understanding of the genetic basis of complex diseases, including DM. Prior to completion of the Human Genome Project in 2003, candidate gene studies had revealed a relatively small number of </w:t>
      </w:r>
      <w:r w:rsidR="00A14363" w:rsidRPr="00344DFC">
        <w:t>type 1 diabetes (</w:t>
      </w:r>
      <w:r w:rsidRPr="00344DFC">
        <w:t>T1D</w:t>
      </w:r>
      <w:r w:rsidR="00A14363" w:rsidRPr="00344DFC">
        <w:t>)</w:t>
      </w:r>
      <w:r w:rsidRPr="00344DFC">
        <w:t xml:space="preserve"> and </w:t>
      </w:r>
      <w:r w:rsidR="00A14363" w:rsidRPr="00344DFC">
        <w:t>type 2 diabetes (</w:t>
      </w:r>
      <w:r w:rsidRPr="00344DFC">
        <w:t>T2D</w:t>
      </w:r>
      <w:r w:rsidR="00A14363" w:rsidRPr="00344DFC">
        <w:t>)</w:t>
      </w:r>
      <w:r w:rsidRPr="00344DFC">
        <w:t>-associated</w:t>
      </w:r>
      <w:r w:rsidR="00C378A1" w:rsidRPr="00344DFC">
        <w:t xml:space="preserve"> genetic</w:t>
      </w:r>
      <w:r w:rsidRPr="00344DFC">
        <w:t xml:space="preserve"> variants. </w:t>
      </w:r>
      <w:r w:rsidR="00696372" w:rsidRPr="00344DFC">
        <w:t>Ma</w:t>
      </w:r>
      <w:r w:rsidR="00696372" w:rsidRPr="00396EE3">
        <w:rPr>
          <w:color w:val="000000" w:themeColor="text1"/>
        </w:rPr>
        <w:t xml:space="preserve">ny of these </w:t>
      </w:r>
      <w:r w:rsidR="0029756E" w:rsidRPr="00396EE3">
        <w:rPr>
          <w:color w:val="000000" w:themeColor="text1"/>
        </w:rPr>
        <w:t xml:space="preserve">studies </w:t>
      </w:r>
      <w:r w:rsidR="00696372" w:rsidRPr="00396EE3">
        <w:rPr>
          <w:color w:val="000000" w:themeColor="text1"/>
        </w:rPr>
        <w:t>utilised Sanger sequencing</w:t>
      </w:r>
      <w:r w:rsidR="0029756E" w:rsidRPr="00396EE3">
        <w:rPr>
          <w:color w:val="000000" w:themeColor="text1"/>
        </w:rPr>
        <w:t>,</w:t>
      </w:r>
      <w:r w:rsidR="00696372" w:rsidRPr="00396EE3">
        <w:rPr>
          <w:color w:val="000000" w:themeColor="text1"/>
        </w:rPr>
        <w:t xml:space="preserve"> a method of sequencing relatively short regio</w:t>
      </w:r>
      <w:r w:rsidR="00696372" w:rsidRPr="00344DFC">
        <w:t xml:space="preserve">ns of the DNA using fluorescent nuceotides for sequence determination. </w:t>
      </w:r>
      <w:r w:rsidRPr="00344DFC">
        <w:t xml:space="preserve">However, improved recognition and cataloguing of single nucleotide polymorphisms (SNPs) throughout the human genome enabled the design of ‘SNP </w:t>
      </w:r>
      <w:r w:rsidR="00741597" w:rsidRPr="00344DFC">
        <w:t>genotyping arrays</w:t>
      </w:r>
      <w:r w:rsidRPr="00344DFC">
        <w:t>’, allowing genome-wide association studies (GWAS) to be undertaken</w:t>
      </w:r>
      <w:r w:rsidR="00B4085D" w:rsidRPr="00344DFC">
        <w:t xml:space="preserve"> (Wellcome Trust Case Control Consortium, 2007)</w:t>
      </w:r>
      <w:r w:rsidR="004D5EC7" w:rsidRPr="00344DFC">
        <w:t>. This approach is based on identifying SNP</w:t>
      </w:r>
      <w:r w:rsidR="00741597" w:rsidRPr="00344DFC">
        <w:t xml:space="preserve"> allele</w:t>
      </w:r>
      <w:r w:rsidR="004D5EC7" w:rsidRPr="00344DFC">
        <w:t>s that ar</w:t>
      </w:r>
      <w:r w:rsidR="004D5EC7" w:rsidRPr="00396EE3">
        <w:rPr>
          <w:color w:val="000000" w:themeColor="text1"/>
        </w:rPr>
        <w:t xml:space="preserve">e present at a higher frequency in individuals with a particular condition </w:t>
      </w:r>
      <w:r w:rsidR="0029756E" w:rsidRPr="00396EE3">
        <w:rPr>
          <w:color w:val="000000" w:themeColor="text1"/>
        </w:rPr>
        <w:t xml:space="preserve">compared to </w:t>
      </w:r>
      <w:r w:rsidR="004D5EC7" w:rsidRPr="00396EE3">
        <w:rPr>
          <w:color w:val="000000" w:themeColor="text1"/>
        </w:rPr>
        <w:t xml:space="preserve">unaffected individuals </w:t>
      </w:r>
      <w:r w:rsidR="00741597" w:rsidRPr="00396EE3">
        <w:rPr>
          <w:color w:val="000000" w:themeColor="text1"/>
        </w:rPr>
        <w:t>from the same population</w:t>
      </w:r>
      <w:r w:rsidR="0029756E" w:rsidRPr="00396EE3">
        <w:rPr>
          <w:color w:val="000000" w:themeColor="text1"/>
        </w:rPr>
        <w:t>,</w:t>
      </w:r>
      <w:r w:rsidR="00741597" w:rsidRPr="00396EE3">
        <w:rPr>
          <w:color w:val="000000" w:themeColor="text1"/>
        </w:rPr>
        <w:t xml:space="preserve"> </w:t>
      </w:r>
      <w:r w:rsidR="004D5EC7" w:rsidRPr="00396EE3">
        <w:rPr>
          <w:color w:val="000000" w:themeColor="text1"/>
        </w:rPr>
        <w:t xml:space="preserve">and can identify </w:t>
      </w:r>
      <w:r w:rsidR="004E2D91" w:rsidRPr="00396EE3">
        <w:rPr>
          <w:color w:val="000000" w:themeColor="text1"/>
        </w:rPr>
        <w:t xml:space="preserve">alleles </w:t>
      </w:r>
      <w:r w:rsidR="004D5EC7" w:rsidRPr="00396EE3">
        <w:rPr>
          <w:color w:val="000000" w:themeColor="text1"/>
        </w:rPr>
        <w:t>with a sm</w:t>
      </w:r>
      <w:r w:rsidR="004D5EC7" w:rsidRPr="00344DFC">
        <w:t>all but significant impact on disease risk</w:t>
      </w:r>
      <w:r w:rsidRPr="00344DFC">
        <w:t>. In the post-GWAS era, more than 60 genetic regions have now been associated with T1D</w:t>
      </w:r>
      <w:r w:rsidR="00455794" w:rsidRPr="00344DFC">
        <w:t xml:space="preserve"> (</w:t>
      </w:r>
      <w:r w:rsidR="00455794" w:rsidRPr="00344DFC">
        <w:rPr>
          <w:noProof/>
        </w:rPr>
        <w:t>Bakay et al. 2019)</w:t>
      </w:r>
      <w:r w:rsidRPr="00344DFC">
        <w:t xml:space="preserve"> and there are more than 200 loci associ</w:t>
      </w:r>
      <w:r w:rsidRPr="00396EE3">
        <w:rPr>
          <w:color w:val="000000" w:themeColor="text1"/>
        </w:rPr>
        <w:t>ated with T2D</w:t>
      </w:r>
      <w:r w:rsidR="00455794" w:rsidRPr="00396EE3">
        <w:rPr>
          <w:color w:val="000000" w:themeColor="text1"/>
        </w:rPr>
        <w:t xml:space="preserve"> (Mahajan et al., 2018)</w:t>
      </w:r>
      <w:r w:rsidRPr="00396EE3">
        <w:rPr>
          <w:color w:val="000000" w:themeColor="text1"/>
        </w:rPr>
        <w:t xml:space="preserve">. </w:t>
      </w:r>
      <w:r w:rsidR="00C94E86" w:rsidRPr="00396EE3">
        <w:rPr>
          <w:color w:val="000000" w:themeColor="text1"/>
        </w:rPr>
        <w:t xml:space="preserve">However, the variants identified by GWAS </w:t>
      </w:r>
      <w:r w:rsidR="0029756E" w:rsidRPr="00396EE3">
        <w:rPr>
          <w:color w:val="000000" w:themeColor="text1"/>
        </w:rPr>
        <w:t xml:space="preserve">are usually </w:t>
      </w:r>
      <w:r w:rsidR="00C94E86" w:rsidRPr="00396EE3">
        <w:rPr>
          <w:color w:val="000000" w:themeColor="text1"/>
        </w:rPr>
        <w:t>not themselves causal</w:t>
      </w:r>
      <w:r w:rsidR="00C94E86" w:rsidRPr="00344DFC">
        <w:t xml:space="preserve">. Instead, they might simply </w:t>
      </w:r>
      <w:r w:rsidR="00C94E86" w:rsidRPr="00344DFC">
        <w:lastRenderedPageBreak/>
        <w:t xml:space="preserve">be in linkage disequilibrium with </w:t>
      </w:r>
      <w:r w:rsidR="002019D1" w:rsidRPr="00344DFC">
        <w:t xml:space="preserve">one or more </w:t>
      </w:r>
      <w:r w:rsidR="00C94E86" w:rsidRPr="00344DFC">
        <w:t xml:space="preserve">other variants, not represented on the SNP chip, that are exerting the causal effect. </w:t>
      </w:r>
      <w:r w:rsidR="00334B15" w:rsidRPr="00344DFC">
        <w:t>Similar to a lamppost, GWAS can shine a light on a disease-associated region of the genome that contains an important variant, without specifically identifying what that variant is.</w:t>
      </w:r>
    </w:p>
    <w:p w14:paraId="46AAF48D" w14:textId="77777777" w:rsidR="00C94E86" w:rsidRPr="00344DFC" w:rsidRDefault="00C94E86" w:rsidP="00344DFC">
      <w:pPr>
        <w:spacing w:line="480" w:lineRule="auto"/>
        <w:ind w:firstLine="720"/>
        <w:contextualSpacing/>
        <w:rPr>
          <w:color w:val="FF0000"/>
        </w:rPr>
      </w:pPr>
    </w:p>
    <w:p w14:paraId="78975A1D" w14:textId="43D00A2B" w:rsidR="00201A5D" w:rsidRPr="00344DFC" w:rsidRDefault="002019D1" w:rsidP="00344DFC">
      <w:pPr>
        <w:spacing w:line="480" w:lineRule="auto"/>
        <w:ind w:firstLine="720"/>
        <w:contextualSpacing/>
        <w:rPr>
          <w:color w:val="FF0000"/>
        </w:rPr>
      </w:pPr>
      <w:r w:rsidRPr="00344DFC">
        <w:t xml:space="preserve">Once a chromosomal region has been identified, fine-mapping of the region(s) must be undertaken to identify causal gene(s), variant(s) and mechanism(s). </w:t>
      </w:r>
      <w:r w:rsidR="00C94E86" w:rsidRPr="00344DFC">
        <w:t xml:space="preserve">There are </w:t>
      </w:r>
      <w:r w:rsidRPr="00344DFC">
        <w:t xml:space="preserve">many </w:t>
      </w:r>
      <w:r w:rsidR="00C94E86" w:rsidRPr="00344DFC">
        <w:t>challenges associated wit</w:t>
      </w:r>
      <w:r w:rsidR="00C94E86" w:rsidRPr="00735B16">
        <w:rPr>
          <w:color w:val="000000" w:themeColor="text1"/>
        </w:rPr>
        <w:t xml:space="preserve">h moving from disease-associated SNPs to causal variants and </w:t>
      </w:r>
      <w:r w:rsidR="0070159B" w:rsidRPr="00735B16">
        <w:rPr>
          <w:color w:val="000000" w:themeColor="text1"/>
        </w:rPr>
        <w:t xml:space="preserve">positional </w:t>
      </w:r>
      <w:r w:rsidR="00C94E86" w:rsidRPr="00735B16">
        <w:rPr>
          <w:color w:val="000000" w:themeColor="text1"/>
        </w:rPr>
        <w:t>candidate genes for f</w:t>
      </w:r>
      <w:r w:rsidR="00C94E86" w:rsidRPr="00344DFC">
        <w:t>unctional studies.</w:t>
      </w:r>
      <w:r w:rsidR="004D5EC7" w:rsidRPr="00344DFC">
        <w:t xml:space="preserve"> </w:t>
      </w:r>
      <w:r w:rsidR="00201A5D" w:rsidRPr="00344DFC">
        <w:t xml:space="preserve">This </w:t>
      </w:r>
      <w:r w:rsidR="00C378A1" w:rsidRPr="00344DFC">
        <w:t xml:space="preserve">process </w:t>
      </w:r>
      <w:r w:rsidR="00201A5D" w:rsidRPr="00344DFC">
        <w:t>is often very time-consuming</w:t>
      </w:r>
      <w:r w:rsidR="00C378A1" w:rsidRPr="00344DFC">
        <w:t>. As d</w:t>
      </w:r>
      <w:r w:rsidR="00C378A1" w:rsidRPr="00735B16">
        <w:rPr>
          <w:color w:val="000000" w:themeColor="text1"/>
        </w:rPr>
        <w:t>iscussed in</w:t>
      </w:r>
      <w:r w:rsidR="0029756E" w:rsidRPr="00735B16">
        <w:rPr>
          <w:color w:val="000000" w:themeColor="text1"/>
        </w:rPr>
        <w:t xml:space="preserve"> Part 1</w:t>
      </w:r>
      <w:r w:rsidR="00C378A1" w:rsidRPr="00735B16">
        <w:rPr>
          <w:color w:val="000000" w:themeColor="text1"/>
        </w:rPr>
        <w:t xml:space="preserve">, many important genetic variants do not change the amino acid sequence of a protein, but are in non-coding regions </w:t>
      </w:r>
      <w:r w:rsidR="0029756E" w:rsidRPr="00735B16">
        <w:rPr>
          <w:color w:val="000000" w:themeColor="text1"/>
        </w:rPr>
        <w:t xml:space="preserve">and can </w:t>
      </w:r>
      <w:r w:rsidR="00C378A1" w:rsidRPr="00735B16">
        <w:rPr>
          <w:color w:val="000000" w:themeColor="text1"/>
        </w:rPr>
        <w:t>affect gene transcription or function in a variety of different ways. Disease-asso</w:t>
      </w:r>
      <w:r w:rsidR="00C378A1" w:rsidRPr="00344DFC">
        <w:t>ciated genetic variants can</w:t>
      </w:r>
      <w:r w:rsidRPr="00344DFC">
        <w:t xml:space="preserve"> even</w:t>
      </w:r>
      <w:r w:rsidR="00C378A1" w:rsidRPr="00344DFC">
        <w:t xml:space="preserve"> impact gene function over long distances</w:t>
      </w:r>
      <w:r w:rsidRPr="00344DFC">
        <w:t xml:space="preserve"> or on different chromosomes</w:t>
      </w:r>
      <w:r w:rsidR="00C378A1" w:rsidRPr="00344DFC">
        <w:t>,</w:t>
      </w:r>
      <w:r w:rsidRPr="00344DFC">
        <w:t xml:space="preserve"> and may act</w:t>
      </w:r>
      <w:r w:rsidR="00C378A1" w:rsidRPr="00344DFC">
        <w:t xml:space="preserve"> by different mechanisms, </w:t>
      </w:r>
      <w:r w:rsidRPr="00344DFC">
        <w:t xml:space="preserve">or </w:t>
      </w:r>
      <w:r w:rsidR="00C378A1" w:rsidRPr="00344DFC">
        <w:t xml:space="preserve">only in certain tissues or at a particular developmental stage. </w:t>
      </w:r>
    </w:p>
    <w:p w14:paraId="61690EDB" w14:textId="77777777" w:rsidR="00201A5D" w:rsidRPr="00344DFC" w:rsidRDefault="00201A5D" w:rsidP="00344DFC">
      <w:pPr>
        <w:spacing w:line="480" w:lineRule="auto"/>
        <w:contextualSpacing/>
      </w:pPr>
      <w:r w:rsidRPr="00344DFC">
        <w:t xml:space="preserve"> </w:t>
      </w:r>
    </w:p>
    <w:p w14:paraId="166BDF5F" w14:textId="728A12F8" w:rsidR="00201A5D" w:rsidRPr="00344DFC" w:rsidRDefault="00201A5D" w:rsidP="00344DFC">
      <w:pPr>
        <w:spacing w:line="480" w:lineRule="auto"/>
        <w:ind w:firstLine="720"/>
        <w:contextualSpacing/>
      </w:pPr>
      <w:r w:rsidRPr="00344DFC">
        <w:t>The m</w:t>
      </w:r>
      <w:r w:rsidRPr="00735B16">
        <w:rPr>
          <w:color w:val="000000" w:themeColor="text1"/>
        </w:rPr>
        <w:t xml:space="preserve">any </w:t>
      </w:r>
      <w:r w:rsidR="0029756E" w:rsidRPr="00735B16">
        <w:rPr>
          <w:color w:val="000000" w:themeColor="text1"/>
        </w:rPr>
        <w:t xml:space="preserve">methodologies </w:t>
      </w:r>
      <w:r w:rsidRPr="00735B16">
        <w:rPr>
          <w:color w:val="000000" w:themeColor="text1"/>
        </w:rPr>
        <w:t xml:space="preserve">currently available to study </w:t>
      </w:r>
      <w:r w:rsidR="002019D1" w:rsidRPr="00735B16">
        <w:rPr>
          <w:color w:val="000000" w:themeColor="text1"/>
        </w:rPr>
        <w:t xml:space="preserve">the role of </w:t>
      </w:r>
      <w:r w:rsidRPr="00735B16">
        <w:rPr>
          <w:color w:val="000000" w:themeColor="text1"/>
        </w:rPr>
        <w:t xml:space="preserve">genetic variation </w:t>
      </w:r>
      <w:r w:rsidR="002019D1" w:rsidRPr="00735B16">
        <w:rPr>
          <w:color w:val="000000" w:themeColor="text1"/>
        </w:rPr>
        <w:t xml:space="preserve">in disease suceptibililty </w:t>
      </w:r>
      <w:r w:rsidR="000D2040" w:rsidRPr="00735B16">
        <w:rPr>
          <w:color w:val="000000" w:themeColor="text1"/>
        </w:rPr>
        <w:t xml:space="preserve">(Fig. 1) </w:t>
      </w:r>
      <w:r w:rsidRPr="00735B16">
        <w:rPr>
          <w:color w:val="000000" w:themeColor="text1"/>
        </w:rPr>
        <w:t>each</w:t>
      </w:r>
      <w:r w:rsidRPr="00344DFC">
        <w:t xml:space="preserve"> have their advantages and lim</w:t>
      </w:r>
      <w:r w:rsidRPr="00735B16">
        <w:rPr>
          <w:color w:val="000000" w:themeColor="text1"/>
        </w:rPr>
        <w:t xml:space="preserve">itations. </w:t>
      </w:r>
      <w:r w:rsidR="00A451F5" w:rsidRPr="00735B16">
        <w:rPr>
          <w:color w:val="000000" w:themeColor="text1"/>
        </w:rPr>
        <w:t xml:space="preserve">Before reference genomes were fully sequenced, it was not uncommon to use genetic markers combined with family pedigrees to conduct a linkage analysis, either in a candidate gene approach or in a genome-wide scan. </w:t>
      </w:r>
      <w:r w:rsidRPr="00735B16">
        <w:rPr>
          <w:color w:val="000000" w:themeColor="text1"/>
        </w:rPr>
        <w:t>Case:control</w:t>
      </w:r>
      <w:r w:rsidRPr="00344DFC">
        <w:t xml:space="preserve"> GWAS is a useful unbiased approach to identify loci associated with a disease, even for complex diseases </w:t>
      </w:r>
      <w:r w:rsidR="009E2A1E" w:rsidRPr="00344DFC">
        <w:rPr>
          <w:noProof/>
        </w:rPr>
        <w:t>(Hayward et al., 2016)</w:t>
      </w:r>
      <w:r w:rsidRPr="00344DFC">
        <w:t xml:space="preserve">. In contrast, sequencing all the </w:t>
      </w:r>
      <w:r w:rsidR="002019D1" w:rsidRPr="00344DFC">
        <w:t>coding regions (</w:t>
      </w:r>
      <w:r w:rsidRPr="00344DFC">
        <w:t>exomes</w:t>
      </w:r>
      <w:r w:rsidR="002019D1" w:rsidRPr="00344DFC">
        <w:t>)</w:t>
      </w:r>
      <w:r w:rsidRPr="00344DFC">
        <w:t xml:space="preserve"> in </w:t>
      </w:r>
      <w:r w:rsidR="002019D1" w:rsidRPr="00344DFC">
        <w:t xml:space="preserve">the genome of </w:t>
      </w:r>
      <w:r w:rsidRPr="00344DFC">
        <w:t xml:space="preserve">an individual (Whole Exome Sequencing – WES) or </w:t>
      </w:r>
      <w:r w:rsidR="002019D1" w:rsidRPr="00344DFC">
        <w:t xml:space="preserve">even </w:t>
      </w:r>
      <w:r w:rsidRPr="00344DFC">
        <w:t xml:space="preserve">sequencing the </w:t>
      </w:r>
      <w:r w:rsidR="002019D1" w:rsidRPr="00344DFC">
        <w:t xml:space="preserve">entire </w:t>
      </w:r>
      <w:r w:rsidRPr="00344DFC">
        <w:t xml:space="preserve">genome (Whole Genome Sequencing – WGS) does not rely on </w:t>
      </w:r>
      <w:r w:rsidR="00C94E86" w:rsidRPr="00344DFC">
        <w:t>the pre-iden</w:t>
      </w:r>
      <w:r w:rsidR="00C94E86" w:rsidRPr="00735B16">
        <w:rPr>
          <w:color w:val="000000" w:themeColor="text1"/>
        </w:rPr>
        <w:t xml:space="preserve">tified </w:t>
      </w:r>
      <w:r w:rsidR="00EF660E" w:rsidRPr="00735B16">
        <w:rPr>
          <w:color w:val="000000" w:themeColor="text1"/>
        </w:rPr>
        <w:t xml:space="preserve">regions and/or </w:t>
      </w:r>
      <w:r w:rsidR="00C94E86" w:rsidRPr="00735B16">
        <w:rPr>
          <w:color w:val="000000" w:themeColor="text1"/>
        </w:rPr>
        <w:t>v</w:t>
      </w:r>
      <w:r w:rsidR="00C94E86" w:rsidRPr="00344DFC">
        <w:t>ariants used in GWAS</w:t>
      </w:r>
      <w:r w:rsidR="002019D1" w:rsidRPr="00344DFC">
        <w:t xml:space="preserve"> (</w:t>
      </w:r>
      <w:r w:rsidR="00C94E86" w:rsidRPr="00344DFC">
        <w:t>sometimes called ‘tag-SNPs’</w:t>
      </w:r>
      <w:r w:rsidR="002019D1" w:rsidRPr="00344DFC">
        <w:t>)</w:t>
      </w:r>
      <w:r w:rsidR="00C94E86" w:rsidRPr="00344DFC">
        <w:t>.</w:t>
      </w:r>
      <w:r w:rsidR="000C798A" w:rsidRPr="00344DFC">
        <w:t xml:space="preserve"> T</w:t>
      </w:r>
      <w:r w:rsidR="002019D1" w:rsidRPr="00344DFC">
        <w:t>he high</w:t>
      </w:r>
      <w:r w:rsidR="00A02FB3">
        <w:t>-</w:t>
      </w:r>
      <w:r w:rsidR="002019D1" w:rsidRPr="00344DFC">
        <w:t xml:space="preserve">throughput next generation sequencing (NGS) technologies and </w:t>
      </w:r>
      <w:r w:rsidR="002019D1" w:rsidRPr="00344DFC">
        <w:lastRenderedPageBreak/>
        <w:t xml:space="preserve">analysis tools used for WES and WGS </w:t>
      </w:r>
      <w:r w:rsidRPr="00344DFC">
        <w:t xml:space="preserve">are able to </w:t>
      </w:r>
      <w:r w:rsidR="000C798A" w:rsidRPr="00344DFC">
        <w:t xml:space="preserve">identify many types of </w:t>
      </w:r>
      <w:r w:rsidRPr="00344DFC">
        <w:t>genetic varian</w:t>
      </w:r>
      <w:r w:rsidR="000C798A" w:rsidRPr="00344DFC">
        <w:t>t,</w:t>
      </w:r>
      <w:r w:rsidRPr="00344DFC">
        <w:t xml:space="preserve"> </w:t>
      </w:r>
      <w:r w:rsidR="000C798A" w:rsidRPr="00344DFC">
        <w:t>however</w:t>
      </w:r>
      <w:r w:rsidR="004D5EC7" w:rsidRPr="00344DFC">
        <w:t xml:space="preserve"> there are still some types of variant that are more difficult to detect. Most</w:t>
      </w:r>
      <w:r w:rsidRPr="00344DFC">
        <w:t xml:space="preserve"> </w:t>
      </w:r>
      <w:r w:rsidR="002019D1" w:rsidRPr="00344DFC">
        <w:t>NGS</w:t>
      </w:r>
      <w:r w:rsidRPr="00344DFC">
        <w:t xml:space="preserve"> technologies</w:t>
      </w:r>
      <w:r w:rsidR="004D5EC7" w:rsidRPr="00344DFC">
        <w:t xml:space="preserve"> </w:t>
      </w:r>
      <w:r w:rsidRPr="00344DFC">
        <w:t xml:space="preserve">generate short </w:t>
      </w:r>
      <w:r w:rsidR="00A02FB3">
        <w:t>‘</w:t>
      </w:r>
      <w:r w:rsidRPr="00344DFC">
        <w:t>reads</w:t>
      </w:r>
      <w:r w:rsidR="00A02FB3">
        <w:t>’</w:t>
      </w:r>
      <w:r w:rsidRPr="00344DFC">
        <w:t xml:space="preserve"> (75 – 150bp) which are assembled against a </w:t>
      </w:r>
      <w:r w:rsidR="000C798A" w:rsidRPr="00344DFC">
        <w:t>‘</w:t>
      </w:r>
      <w:r w:rsidRPr="00344DFC">
        <w:t>reference</w:t>
      </w:r>
      <w:r w:rsidR="000C798A" w:rsidRPr="00344DFC">
        <w:t xml:space="preserve">’ genome </w:t>
      </w:r>
      <w:r w:rsidRPr="00344DFC">
        <w:t>sequence</w:t>
      </w:r>
      <w:r w:rsidR="000C798A" w:rsidRPr="00344DFC">
        <w:t xml:space="preserve"> for that species</w:t>
      </w:r>
      <w:r w:rsidR="002019D1" w:rsidRPr="00344DFC">
        <w:t xml:space="preserve"> during the process of bioinformatic analysis</w:t>
      </w:r>
      <w:r w:rsidRPr="00344DFC">
        <w:t xml:space="preserve">. However, assembly can be </w:t>
      </w:r>
      <w:r w:rsidR="000C798A" w:rsidRPr="00344DFC">
        <w:t>challenging or inaccurate in</w:t>
      </w:r>
      <w:r w:rsidRPr="00344DFC">
        <w:t xml:space="preserve"> regions of repetitive sequences</w:t>
      </w:r>
      <w:r w:rsidR="004D5EC7" w:rsidRPr="00344DFC">
        <w:t>, or where a reference genome is incomplete or poorly annotated</w:t>
      </w:r>
      <w:r w:rsidR="007A70B5" w:rsidRPr="00344DFC">
        <w:t>, as is</w:t>
      </w:r>
      <w:r w:rsidR="002019D1" w:rsidRPr="00344DFC">
        <w:t xml:space="preserve"> the case </w:t>
      </w:r>
      <w:r w:rsidR="007A70B5" w:rsidRPr="00344DFC">
        <w:t>for</w:t>
      </w:r>
      <w:r w:rsidR="002019D1" w:rsidRPr="00344DFC">
        <w:t xml:space="preserve"> many species other than humans and laboratory mice</w:t>
      </w:r>
      <w:r w:rsidRPr="00344DFC">
        <w:t>. This means that some types of structural variant (e.g. gene duplication or inversion</w:t>
      </w:r>
      <w:r w:rsidR="000C798A" w:rsidRPr="00344DFC">
        <w:t>, and variations in copy-number of genes</w:t>
      </w:r>
      <w:r w:rsidRPr="00344DFC">
        <w:t xml:space="preserve">) </w:t>
      </w:r>
      <w:r w:rsidR="00714847" w:rsidRPr="00344DFC">
        <w:t>are not easily detected</w:t>
      </w:r>
      <w:r w:rsidRPr="00344DFC">
        <w:t xml:space="preserve">. More recent NGS technologies produce longer reads (1 – 10kb) (e.g. PacBio and Oxford Nanopore), </w:t>
      </w:r>
      <w:r w:rsidR="000C798A" w:rsidRPr="00344DFC">
        <w:t xml:space="preserve">which helps to overcome these </w:t>
      </w:r>
      <w:r w:rsidR="002019D1" w:rsidRPr="00344DFC">
        <w:t>‘short</w:t>
      </w:r>
      <w:r w:rsidR="00A02FB3">
        <w:t>-</w:t>
      </w:r>
      <w:r w:rsidR="002019D1" w:rsidRPr="00344DFC">
        <w:t xml:space="preserve">read’ </w:t>
      </w:r>
      <w:r w:rsidR="000C798A" w:rsidRPr="00344DFC">
        <w:t xml:space="preserve">issues, </w:t>
      </w:r>
      <w:r w:rsidRPr="00344DFC">
        <w:t>although</w:t>
      </w:r>
      <w:r w:rsidR="000C798A" w:rsidRPr="00344DFC">
        <w:t xml:space="preserve"> historically some</w:t>
      </w:r>
      <w:r w:rsidRPr="00344DFC">
        <w:t xml:space="preserve"> long-read technologies have </w:t>
      </w:r>
      <w:r w:rsidR="000C798A" w:rsidRPr="00344DFC">
        <w:t xml:space="preserve">had </w:t>
      </w:r>
      <w:r w:rsidRPr="00344DFC">
        <w:t xml:space="preserve">a slightly higher sequencing error rate and </w:t>
      </w:r>
      <w:r w:rsidR="000C798A" w:rsidRPr="00344DFC">
        <w:t>have also been</w:t>
      </w:r>
      <w:r w:rsidRPr="00344DFC">
        <w:t xml:space="preserve"> </w:t>
      </w:r>
      <w:r w:rsidR="00714847" w:rsidRPr="00344DFC">
        <w:t xml:space="preserve">much </w:t>
      </w:r>
      <w:r w:rsidRPr="00344DFC">
        <w:t>more expensive</w:t>
      </w:r>
      <w:r w:rsidR="000C798A" w:rsidRPr="00344DFC">
        <w:t xml:space="preserve"> (</w:t>
      </w:r>
      <w:r w:rsidR="00C17F09" w:rsidRPr="00344DFC">
        <w:t>Reuter et al., 2015</w:t>
      </w:r>
      <w:r w:rsidR="000C798A" w:rsidRPr="00344DFC">
        <w:t>)</w:t>
      </w:r>
      <w:r w:rsidRPr="00344DFC">
        <w:t>. There</w:t>
      </w:r>
      <w:r w:rsidRPr="006665AF">
        <w:rPr>
          <w:color w:val="000000" w:themeColor="text1"/>
        </w:rPr>
        <w:t xml:space="preserve">fore, a number of factors must be considered when selecting the type of sequencing technology </w:t>
      </w:r>
      <w:r w:rsidR="00EF660E" w:rsidRPr="006665AF">
        <w:rPr>
          <w:color w:val="000000" w:themeColor="text1"/>
        </w:rPr>
        <w:t xml:space="preserve">and data analysis approach </w:t>
      </w:r>
      <w:r w:rsidRPr="006665AF">
        <w:rPr>
          <w:color w:val="000000" w:themeColor="text1"/>
        </w:rPr>
        <w:t>to be used.</w:t>
      </w:r>
      <w:r w:rsidR="00B215F6" w:rsidRPr="006665AF">
        <w:rPr>
          <w:color w:val="000000" w:themeColor="text1"/>
        </w:rPr>
        <w:t xml:space="preserve"> </w:t>
      </w:r>
      <w:r w:rsidR="00714847" w:rsidRPr="006665AF">
        <w:rPr>
          <w:color w:val="000000" w:themeColor="text1"/>
        </w:rPr>
        <w:t>Despite these caveats,</w:t>
      </w:r>
      <w:r w:rsidR="00B215F6" w:rsidRPr="006665AF">
        <w:rPr>
          <w:color w:val="000000" w:themeColor="text1"/>
        </w:rPr>
        <w:t xml:space="preserve"> recent technological adv</w:t>
      </w:r>
      <w:r w:rsidR="00B215F6" w:rsidRPr="00344DFC">
        <w:t>ances</w:t>
      </w:r>
      <w:r w:rsidR="000C798A" w:rsidRPr="00344DFC">
        <w:t xml:space="preserve"> in sequencing</w:t>
      </w:r>
      <w:r w:rsidR="00B215F6" w:rsidRPr="00344DFC">
        <w:t xml:space="preserve"> have allowed a rapid expansion in our </w:t>
      </w:r>
      <w:r w:rsidR="00D715CF" w:rsidRPr="00344DFC">
        <w:t>understanding</w:t>
      </w:r>
      <w:r w:rsidR="00B215F6" w:rsidRPr="00344DFC">
        <w:t xml:space="preserve"> of </w:t>
      </w:r>
      <w:r w:rsidR="00D715CF" w:rsidRPr="00344DFC">
        <w:t xml:space="preserve">all types of </w:t>
      </w:r>
      <w:r w:rsidR="00B215F6" w:rsidRPr="00344DFC">
        <w:t>human DM</w:t>
      </w:r>
      <w:r w:rsidR="00D715CF" w:rsidRPr="00344DFC">
        <w:t>, with beneficial clinical implications on the horizon or already in practice</w:t>
      </w:r>
      <w:r w:rsidR="007A70B5" w:rsidRPr="00344DFC">
        <w:t xml:space="preserve"> (Bowman et al., 2018)</w:t>
      </w:r>
      <w:r w:rsidR="00D715CF" w:rsidRPr="00344DFC">
        <w:t xml:space="preserve">. </w:t>
      </w:r>
    </w:p>
    <w:p w14:paraId="436503FF" w14:textId="77777777" w:rsidR="00201A5D" w:rsidRPr="00344DFC" w:rsidRDefault="00201A5D" w:rsidP="00344DFC">
      <w:pPr>
        <w:spacing w:line="480" w:lineRule="auto"/>
        <w:contextualSpacing/>
        <w:rPr>
          <w:b/>
          <w:i/>
        </w:rPr>
      </w:pPr>
    </w:p>
    <w:p w14:paraId="1557283A" w14:textId="03CE6D8B" w:rsidR="00201A5D" w:rsidRPr="00344DFC" w:rsidRDefault="00862D95" w:rsidP="00344DFC">
      <w:pPr>
        <w:spacing w:line="480" w:lineRule="auto"/>
        <w:contextualSpacing/>
        <w:rPr>
          <w:i/>
        </w:rPr>
      </w:pPr>
      <w:r w:rsidRPr="00344DFC">
        <w:rPr>
          <w:i/>
        </w:rPr>
        <w:t xml:space="preserve">The </w:t>
      </w:r>
      <w:r w:rsidR="00325EDE" w:rsidRPr="00344DFC">
        <w:rPr>
          <w:i/>
        </w:rPr>
        <w:t xml:space="preserve">genetics of </w:t>
      </w:r>
      <w:r w:rsidR="00325EDE">
        <w:rPr>
          <w:i/>
        </w:rPr>
        <w:t>human monogenic f</w:t>
      </w:r>
      <w:r w:rsidR="00325EDE" w:rsidRPr="00344DFC">
        <w:rPr>
          <w:i/>
        </w:rPr>
        <w:t xml:space="preserve">orms </w:t>
      </w:r>
      <w:r w:rsidR="00201A5D" w:rsidRPr="00344DFC">
        <w:rPr>
          <w:i/>
        </w:rPr>
        <w:t>of DM</w:t>
      </w:r>
    </w:p>
    <w:p w14:paraId="4BAF03B3" w14:textId="000F0521" w:rsidR="00201A5D" w:rsidRPr="00344DFC" w:rsidRDefault="00714847" w:rsidP="00344DFC">
      <w:pPr>
        <w:spacing w:line="480" w:lineRule="auto"/>
        <w:ind w:firstLine="720"/>
        <w:contextualSpacing/>
        <w:rPr>
          <w:color w:val="000000"/>
        </w:rPr>
      </w:pPr>
      <w:r w:rsidRPr="00344DFC">
        <w:rPr>
          <w:color w:val="000000"/>
        </w:rPr>
        <w:t xml:space="preserve">Although not the most common form, </w:t>
      </w:r>
      <w:r w:rsidR="00201A5D" w:rsidRPr="00344DFC">
        <w:rPr>
          <w:color w:val="000000"/>
        </w:rPr>
        <w:t>DM can result from single gene mutations</w:t>
      </w:r>
      <w:r w:rsidRPr="00344DFC">
        <w:rPr>
          <w:color w:val="000000"/>
        </w:rPr>
        <w:t xml:space="preserve"> in hum</w:t>
      </w:r>
      <w:r w:rsidRPr="006665AF">
        <w:rPr>
          <w:color w:val="000000" w:themeColor="text1"/>
        </w:rPr>
        <w:t>ans</w:t>
      </w:r>
      <w:r w:rsidR="00023255" w:rsidRPr="006665AF">
        <w:rPr>
          <w:color w:val="000000" w:themeColor="text1"/>
        </w:rPr>
        <w:t xml:space="preserve"> (</w:t>
      </w:r>
      <w:r w:rsidR="00092712" w:rsidRPr="006665AF">
        <w:rPr>
          <w:color w:val="000000" w:themeColor="text1"/>
        </w:rPr>
        <w:t xml:space="preserve">several forms of </w:t>
      </w:r>
      <w:r w:rsidR="00023255" w:rsidRPr="006665AF">
        <w:rPr>
          <w:color w:val="000000" w:themeColor="text1"/>
        </w:rPr>
        <w:t>Maturity Onset Diabetes of the Young – MODY, and Neonatal Diabetes Mellitus – NDM</w:t>
      </w:r>
      <w:r w:rsidR="00092712" w:rsidRPr="006665AF">
        <w:rPr>
          <w:color w:val="000000" w:themeColor="text1"/>
        </w:rPr>
        <w:t>. See Online Mendelian Inheritance in Man (OMIM) for details</w:t>
      </w:r>
      <w:r w:rsidR="00092712" w:rsidRPr="006665AF">
        <w:rPr>
          <w:rStyle w:val="FootnoteReference"/>
          <w:color w:val="000000" w:themeColor="text1"/>
        </w:rPr>
        <w:footnoteReference w:id="1"/>
      </w:r>
      <w:r w:rsidR="00023255" w:rsidRPr="006665AF">
        <w:rPr>
          <w:color w:val="000000" w:themeColor="text1"/>
        </w:rPr>
        <w:t xml:space="preserve">). </w:t>
      </w:r>
      <w:r w:rsidR="00023255" w:rsidRPr="00344DFC">
        <w:rPr>
          <w:color w:val="000000"/>
        </w:rPr>
        <w:t>C</w:t>
      </w:r>
      <w:r w:rsidR="00201A5D" w:rsidRPr="00344DFC">
        <w:rPr>
          <w:color w:val="000000"/>
        </w:rPr>
        <w:t>linical signs of hyperglycaemia</w:t>
      </w:r>
      <w:r w:rsidR="00023255" w:rsidRPr="00344DFC">
        <w:rPr>
          <w:color w:val="000000"/>
        </w:rPr>
        <w:t xml:space="preserve"> usually</w:t>
      </w:r>
      <w:r w:rsidR="00201A5D" w:rsidRPr="00344DFC">
        <w:rPr>
          <w:color w:val="000000"/>
        </w:rPr>
        <w:t xml:space="preserve"> </w:t>
      </w:r>
      <w:r w:rsidR="00023255" w:rsidRPr="00344DFC">
        <w:rPr>
          <w:color w:val="000000"/>
        </w:rPr>
        <w:t xml:space="preserve">become </w:t>
      </w:r>
      <w:r w:rsidR="00201A5D" w:rsidRPr="00344DFC">
        <w:rPr>
          <w:color w:val="000000"/>
        </w:rPr>
        <w:t>apparent at a</w:t>
      </w:r>
      <w:r w:rsidR="00023255" w:rsidRPr="00344DFC">
        <w:rPr>
          <w:color w:val="000000"/>
        </w:rPr>
        <w:t xml:space="preserve"> very</w:t>
      </w:r>
      <w:r w:rsidR="00201A5D" w:rsidRPr="00344DFC">
        <w:rPr>
          <w:color w:val="000000"/>
        </w:rPr>
        <w:t xml:space="preserve"> early age</w:t>
      </w:r>
      <w:r w:rsidR="00023255" w:rsidRPr="00344DFC">
        <w:rPr>
          <w:color w:val="000000"/>
        </w:rPr>
        <w:t xml:space="preserve">, </w:t>
      </w:r>
      <w:r w:rsidR="00023255" w:rsidRPr="00344DFC">
        <w:rPr>
          <w:color w:val="000000" w:themeColor="text1"/>
        </w:rPr>
        <w:t>although some types of monogenic diabetes can manifest in later childhood (</w:t>
      </w:r>
      <w:r w:rsidR="00E41D05" w:rsidRPr="00344DFC">
        <w:rPr>
          <w:color w:val="000000" w:themeColor="text1"/>
        </w:rPr>
        <w:t>Shepherd et al., 2016</w:t>
      </w:r>
      <w:r w:rsidR="00023255" w:rsidRPr="00344DFC">
        <w:rPr>
          <w:color w:val="000000" w:themeColor="text1"/>
        </w:rPr>
        <w:t xml:space="preserve">). </w:t>
      </w:r>
      <w:r w:rsidR="00201A5D" w:rsidRPr="00344DFC">
        <w:rPr>
          <w:color w:val="000000"/>
        </w:rPr>
        <w:t>Many of the genes responsible for monogenic diabetes are important for beta cell development</w:t>
      </w:r>
      <w:r w:rsidR="002019D1" w:rsidRPr="00344DFC">
        <w:rPr>
          <w:color w:val="000000"/>
        </w:rPr>
        <w:t xml:space="preserve">, </w:t>
      </w:r>
      <w:r w:rsidR="00201A5D" w:rsidRPr="00344DFC">
        <w:rPr>
          <w:color w:val="000000"/>
        </w:rPr>
        <w:lastRenderedPageBreak/>
        <w:t>membrane depolarisation and glucose metabolism</w:t>
      </w:r>
      <w:r w:rsidR="007C438A" w:rsidRPr="00344DFC">
        <w:rPr>
          <w:color w:val="000000"/>
        </w:rPr>
        <w:t xml:space="preserve"> </w:t>
      </w:r>
      <w:r w:rsidR="002019D1" w:rsidRPr="00344DFC">
        <w:rPr>
          <w:noProof/>
        </w:rPr>
        <w:t>or mechanisms of cell death, such as apoptosis (Misra and Owen, 2018)</w:t>
      </w:r>
      <w:r w:rsidR="00201A5D" w:rsidRPr="00344DFC">
        <w:rPr>
          <w:color w:val="000000"/>
        </w:rPr>
        <w:t xml:space="preserve">. The most common mutations in NDM are found in the genes encoding the two subunits of the beta cell </w:t>
      </w:r>
      <w:r w:rsidR="00862D95" w:rsidRPr="00344DFC">
        <w:rPr>
          <w:color w:val="000000"/>
        </w:rPr>
        <w:t>K</w:t>
      </w:r>
      <w:r w:rsidR="00862D95" w:rsidRPr="00344DFC">
        <w:rPr>
          <w:color w:val="000000"/>
          <w:vertAlign w:val="subscript"/>
        </w:rPr>
        <w:t>ATP</w:t>
      </w:r>
      <w:r w:rsidR="00862D95" w:rsidRPr="00344DFC">
        <w:rPr>
          <w:color w:val="000000"/>
        </w:rPr>
        <w:t xml:space="preserve"> channel</w:t>
      </w:r>
      <w:r w:rsidR="00862D95" w:rsidRPr="00344DFC">
        <w:rPr>
          <w:rStyle w:val="CommentReference"/>
          <w:sz w:val="24"/>
          <w:szCs w:val="24"/>
        </w:rPr>
        <w:t>:</w:t>
      </w:r>
      <w:r w:rsidR="00201A5D" w:rsidRPr="00344DFC">
        <w:t xml:space="preserve"> </w:t>
      </w:r>
      <w:r w:rsidR="00201A5D" w:rsidRPr="00344DFC">
        <w:rPr>
          <w:i/>
        </w:rPr>
        <w:t>KCNJ11</w:t>
      </w:r>
      <w:r w:rsidR="00201A5D" w:rsidRPr="00344DFC">
        <w:t xml:space="preserve"> and </w:t>
      </w:r>
      <w:r w:rsidR="00201A5D" w:rsidRPr="00344DFC">
        <w:rPr>
          <w:i/>
        </w:rPr>
        <w:t>ABCC8</w:t>
      </w:r>
      <w:r w:rsidR="00201A5D" w:rsidRPr="00344DFC">
        <w:t xml:space="preserve"> </w:t>
      </w:r>
      <w:r w:rsidR="009E2A1E" w:rsidRPr="00344DFC">
        <w:rPr>
          <w:noProof/>
        </w:rPr>
        <w:t>(Hattersley and Ashcroft, 2005</w:t>
      </w:r>
      <w:r w:rsidR="00E02934" w:rsidRPr="00344DFC">
        <w:rPr>
          <w:noProof/>
        </w:rPr>
        <w:t>; Flanagan et al., 2009</w:t>
      </w:r>
      <w:r w:rsidR="009E2A1E" w:rsidRPr="00344DFC">
        <w:rPr>
          <w:noProof/>
        </w:rPr>
        <w:t>)</w:t>
      </w:r>
      <w:r w:rsidR="00201A5D" w:rsidRPr="00344DFC">
        <w:t>.</w:t>
      </w:r>
      <w:r w:rsidRPr="00344DFC">
        <w:t xml:space="preserve"> This channel is closely involved in glucose homeostasis</w:t>
      </w:r>
      <w:r w:rsidR="00E41D05" w:rsidRPr="00344DFC">
        <w:t>: opening of these channels causes beta cell hyperpolarisation and suppression of insulin secretion</w:t>
      </w:r>
      <w:r w:rsidRPr="00344DFC">
        <w:t>.</w:t>
      </w:r>
      <w:r w:rsidR="00201A5D" w:rsidRPr="00344DFC">
        <w:t xml:space="preserve"> </w:t>
      </w:r>
      <w:r w:rsidR="00201A5D" w:rsidRPr="00344DFC">
        <w:rPr>
          <w:color w:val="000000"/>
        </w:rPr>
        <w:t xml:space="preserve">The insulin gene is also important: heterozygous missense mutations in the </w:t>
      </w:r>
      <w:r w:rsidR="00201A5D" w:rsidRPr="00344DFC">
        <w:rPr>
          <w:i/>
          <w:color w:val="000000"/>
        </w:rPr>
        <w:t>INS</w:t>
      </w:r>
      <w:r w:rsidR="00201A5D" w:rsidRPr="00344DFC">
        <w:rPr>
          <w:color w:val="000000"/>
        </w:rPr>
        <w:t xml:space="preserve"> gene are responsible for ~15-20% of NDM cases </w:t>
      </w:r>
      <w:r w:rsidR="009E2A1E" w:rsidRPr="00344DFC">
        <w:rPr>
          <w:noProof/>
          <w:color w:val="000000"/>
        </w:rPr>
        <w:t>(Colombo et al., 2008; Polak et al., 2008)</w:t>
      </w:r>
      <w:r w:rsidR="00201A5D" w:rsidRPr="00344DFC">
        <w:rPr>
          <w:color w:val="000000"/>
        </w:rPr>
        <w:t xml:space="preserve">. In MODY, the most common disease-causing mutations are found in </w:t>
      </w:r>
      <w:r w:rsidR="00201A5D" w:rsidRPr="00344DFC">
        <w:t>the gene encoding the enzyme gl</w:t>
      </w:r>
      <w:r w:rsidR="00201A5D" w:rsidRPr="002D06A1">
        <w:rPr>
          <w:color w:val="000000" w:themeColor="text1"/>
        </w:rPr>
        <w:t>ucokinase (</w:t>
      </w:r>
      <w:r w:rsidR="00201A5D" w:rsidRPr="002D06A1">
        <w:rPr>
          <w:i/>
          <w:color w:val="000000" w:themeColor="text1"/>
        </w:rPr>
        <w:t>GCK</w:t>
      </w:r>
      <w:r w:rsidR="00201A5D" w:rsidRPr="002D06A1">
        <w:rPr>
          <w:color w:val="000000" w:themeColor="text1"/>
        </w:rPr>
        <w:t>), and the transcription factor genes hepatocyte nuclear factors 1-alpha (</w:t>
      </w:r>
      <w:r w:rsidR="00201A5D" w:rsidRPr="002D06A1">
        <w:rPr>
          <w:i/>
          <w:color w:val="000000" w:themeColor="text1"/>
        </w:rPr>
        <w:t>HNF1A</w:t>
      </w:r>
      <w:r w:rsidR="00201A5D" w:rsidRPr="002D06A1">
        <w:rPr>
          <w:color w:val="000000" w:themeColor="text1"/>
        </w:rPr>
        <w:t>), 4-alpha (</w:t>
      </w:r>
      <w:r w:rsidR="00201A5D" w:rsidRPr="002D06A1">
        <w:rPr>
          <w:i/>
          <w:color w:val="000000" w:themeColor="text1"/>
        </w:rPr>
        <w:t>HNF4A</w:t>
      </w:r>
      <w:r w:rsidR="00201A5D" w:rsidRPr="002D06A1">
        <w:rPr>
          <w:color w:val="000000" w:themeColor="text1"/>
        </w:rPr>
        <w:t>)</w:t>
      </w:r>
      <w:r w:rsidR="00EF660E" w:rsidRPr="002D06A1">
        <w:rPr>
          <w:color w:val="000000" w:themeColor="text1"/>
        </w:rPr>
        <w:t xml:space="preserve"> and</w:t>
      </w:r>
      <w:r w:rsidR="00201A5D" w:rsidRPr="002D06A1">
        <w:rPr>
          <w:color w:val="000000" w:themeColor="text1"/>
        </w:rPr>
        <w:t xml:space="preserve"> 1-beta (</w:t>
      </w:r>
      <w:r w:rsidR="00201A5D" w:rsidRPr="002D06A1">
        <w:rPr>
          <w:i/>
          <w:color w:val="000000" w:themeColor="text1"/>
        </w:rPr>
        <w:t>HNF1B</w:t>
      </w:r>
      <w:r w:rsidR="00201A5D" w:rsidRPr="002D06A1">
        <w:rPr>
          <w:color w:val="000000" w:themeColor="text1"/>
        </w:rPr>
        <w:t xml:space="preserve">). </w:t>
      </w:r>
    </w:p>
    <w:p w14:paraId="425D290C" w14:textId="77777777" w:rsidR="003C5606" w:rsidRPr="00344DFC" w:rsidRDefault="003C5606" w:rsidP="00344DFC">
      <w:pPr>
        <w:spacing w:line="480" w:lineRule="auto"/>
        <w:ind w:firstLine="720"/>
        <w:contextualSpacing/>
        <w:rPr>
          <w:color w:val="000000"/>
        </w:rPr>
      </w:pPr>
    </w:p>
    <w:p w14:paraId="3A417303" w14:textId="12D3BCE7" w:rsidR="00A14363" w:rsidRPr="00344DFC" w:rsidRDefault="00201A5D" w:rsidP="00344DFC">
      <w:pPr>
        <w:spacing w:line="480" w:lineRule="auto"/>
        <w:ind w:firstLine="720"/>
        <w:contextualSpacing/>
      </w:pPr>
      <w:r w:rsidRPr="00344DFC">
        <w:t>The study of monogenic DM has benefited</w:t>
      </w:r>
      <w:r w:rsidR="007D5281" w:rsidRPr="00344DFC">
        <w:t xml:space="preserve"> greatly</w:t>
      </w:r>
      <w:r w:rsidRPr="00344DFC">
        <w:t xml:space="preserve"> from recent advances in human genotyping, particularly high throughput sequencing of whole genomes </w:t>
      </w:r>
      <w:r w:rsidR="009E2A1E" w:rsidRPr="00344DFC">
        <w:rPr>
          <w:noProof/>
        </w:rPr>
        <w:t>(Misra and Owen, 2018)</w:t>
      </w:r>
      <w:r w:rsidRPr="00344DFC">
        <w:t>. This has allowed unbiased and more rapid detection of disease-causing mutations compared to the traditional candidate gene approach. It has also facilitated discovery of novel mutations, found in a small number of individual</w:t>
      </w:r>
      <w:r w:rsidR="00714847" w:rsidRPr="00344DFC">
        <w:t>s</w:t>
      </w:r>
      <w:r w:rsidR="00023255" w:rsidRPr="00344DFC">
        <w:t>, highlighting new critical genes in beta cell biology</w:t>
      </w:r>
      <w:r w:rsidR="00714847" w:rsidRPr="00344DFC">
        <w:t xml:space="preserve">. Not only has this </w:t>
      </w:r>
      <w:r w:rsidRPr="00344DFC">
        <w:t>reduc</w:t>
      </w:r>
      <w:r w:rsidR="00714847" w:rsidRPr="00344DFC">
        <w:t>ed</w:t>
      </w:r>
      <w:r w:rsidRPr="00344DFC">
        <w:t xml:space="preserve"> </w:t>
      </w:r>
      <w:r w:rsidRPr="00B24078">
        <w:rPr>
          <w:color w:val="000000" w:themeColor="text1"/>
        </w:rPr>
        <w:t>misdiagnosis</w:t>
      </w:r>
      <w:r w:rsidR="00714847" w:rsidRPr="00B24078">
        <w:rPr>
          <w:color w:val="000000" w:themeColor="text1"/>
        </w:rPr>
        <w:t xml:space="preserve"> of T1D</w:t>
      </w:r>
      <w:r w:rsidRPr="00B24078">
        <w:rPr>
          <w:color w:val="000000" w:themeColor="text1"/>
        </w:rPr>
        <w:t xml:space="preserve"> and </w:t>
      </w:r>
      <w:r w:rsidR="00714847" w:rsidRPr="00B24078">
        <w:rPr>
          <w:color w:val="000000" w:themeColor="text1"/>
        </w:rPr>
        <w:t xml:space="preserve">allowed </w:t>
      </w:r>
      <w:r w:rsidRPr="00B24078">
        <w:rPr>
          <w:color w:val="000000" w:themeColor="text1"/>
        </w:rPr>
        <w:t xml:space="preserve">precision medicine </w:t>
      </w:r>
      <w:r w:rsidR="006A435D" w:rsidRPr="00B24078">
        <w:rPr>
          <w:color w:val="000000" w:themeColor="text1"/>
        </w:rPr>
        <w:t>(</w:t>
      </w:r>
      <w:r w:rsidR="00E01766" w:rsidRPr="00B24078">
        <w:rPr>
          <w:color w:val="000000" w:themeColor="text1"/>
        </w:rPr>
        <w:t xml:space="preserve">whereby </w:t>
      </w:r>
      <w:r w:rsidR="006A435D" w:rsidRPr="00B24078">
        <w:rPr>
          <w:color w:val="000000" w:themeColor="text1"/>
        </w:rPr>
        <w:t>individual genetic, environmental</w:t>
      </w:r>
      <w:r w:rsidR="003C5606" w:rsidRPr="00B24078">
        <w:rPr>
          <w:color w:val="000000" w:themeColor="text1"/>
        </w:rPr>
        <w:t xml:space="preserve"> </w:t>
      </w:r>
      <w:r w:rsidR="006A435D" w:rsidRPr="00B24078">
        <w:rPr>
          <w:color w:val="000000" w:themeColor="text1"/>
        </w:rPr>
        <w:t>and lifestyle</w:t>
      </w:r>
      <w:r w:rsidR="00E01766" w:rsidRPr="00B24078">
        <w:rPr>
          <w:color w:val="000000" w:themeColor="text1"/>
        </w:rPr>
        <w:t xml:space="preserve"> factors are considered when designing a tailored prevention or treatment strategy</w:t>
      </w:r>
      <w:r w:rsidR="006A435D" w:rsidRPr="00B24078">
        <w:rPr>
          <w:color w:val="000000" w:themeColor="text1"/>
        </w:rPr>
        <w:t xml:space="preserve">) </w:t>
      </w:r>
      <w:r w:rsidRPr="00B24078">
        <w:rPr>
          <w:color w:val="000000" w:themeColor="text1"/>
        </w:rPr>
        <w:t>to be app</w:t>
      </w:r>
      <w:r w:rsidRPr="00344DFC">
        <w:t xml:space="preserve">lied to affected individuals </w:t>
      </w:r>
      <w:r w:rsidR="009E2A1E" w:rsidRPr="00344DFC">
        <w:rPr>
          <w:noProof/>
        </w:rPr>
        <w:t>(Bowman et al., 2018; Misra and Owen, 2018)</w:t>
      </w:r>
      <w:r w:rsidRPr="00344DFC">
        <w:t xml:space="preserve">, </w:t>
      </w:r>
      <w:r w:rsidR="00714847" w:rsidRPr="00344DFC">
        <w:t xml:space="preserve">it has also revealed new genes that are criticial for pancreatic development or glucose homeostasis. </w:t>
      </w:r>
      <w:r w:rsidR="00B215F6" w:rsidRPr="00344DFC">
        <w:rPr>
          <w:color w:val="FF0000"/>
        </w:rPr>
        <w:t xml:space="preserve"> </w:t>
      </w:r>
      <w:r w:rsidR="00714847" w:rsidRPr="00344DFC">
        <w:rPr>
          <w:color w:val="000000"/>
        </w:rPr>
        <w:t>In an example of genomics-led precision medicine</w:t>
      </w:r>
      <w:r w:rsidR="00B215F6" w:rsidRPr="00344DFC">
        <w:rPr>
          <w:color w:val="000000"/>
        </w:rPr>
        <w:t>, patients with a type of monogenic neonatal diabetes associated with a mutation in genes encoding the beta cell K</w:t>
      </w:r>
      <w:r w:rsidR="00B215F6" w:rsidRPr="00344DFC">
        <w:rPr>
          <w:color w:val="000000"/>
          <w:vertAlign w:val="subscript"/>
        </w:rPr>
        <w:t>ATP</w:t>
      </w:r>
      <w:r w:rsidR="00B215F6" w:rsidRPr="00344DFC">
        <w:rPr>
          <w:color w:val="000000"/>
        </w:rPr>
        <w:t xml:space="preserve"> channel have been able to replace insulin injections with oral sulphonylurea drugs, resulting in improved glycaemic control</w:t>
      </w:r>
      <w:r w:rsidR="00023255" w:rsidRPr="00344DFC">
        <w:rPr>
          <w:color w:val="000000"/>
        </w:rPr>
        <w:t xml:space="preserve"> in these individuals</w:t>
      </w:r>
      <w:r w:rsidR="00B215F6" w:rsidRPr="00344DFC">
        <w:rPr>
          <w:color w:val="000000"/>
        </w:rPr>
        <w:t xml:space="preserve"> </w:t>
      </w:r>
      <w:r w:rsidR="009E2A1E" w:rsidRPr="00344DFC">
        <w:rPr>
          <w:noProof/>
          <w:color w:val="000000"/>
        </w:rPr>
        <w:t>(Pearson et al., 2006</w:t>
      </w:r>
      <w:r w:rsidR="00C1265A" w:rsidRPr="00344DFC">
        <w:rPr>
          <w:noProof/>
          <w:color w:val="000000"/>
        </w:rPr>
        <w:t xml:space="preserve">; </w:t>
      </w:r>
      <w:r w:rsidR="00E02934" w:rsidRPr="00344DFC">
        <w:rPr>
          <w:noProof/>
          <w:color w:val="000000"/>
        </w:rPr>
        <w:t xml:space="preserve">Klupa et al., 2010; </w:t>
      </w:r>
      <w:r w:rsidR="00C1265A" w:rsidRPr="00344DFC">
        <w:rPr>
          <w:noProof/>
          <w:color w:val="000000"/>
        </w:rPr>
        <w:t>Ashcroft and Rorsman, 2012</w:t>
      </w:r>
      <w:r w:rsidR="009E2A1E" w:rsidRPr="00344DFC">
        <w:rPr>
          <w:noProof/>
          <w:color w:val="000000"/>
        </w:rPr>
        <w:t>)</w:t>
      </w:r>
      <w:r w:rsidR="00B215F6" w:rsidRPr="00344DFC">
        <w:rPr>
          <w:color w:val="000000"/>
        </w:rPr>
        <w:t xml:space="preserve">. </w:t>
      </w:r>
    </w:p>
    <w:p w14:paraId="7BE608FC" w14:textId="77777777" w:rsidR="00201A5D" w:rsidRPr="00344DFC" w:rsidRDefault="00201A5D" w:rsidP="00344DFC">
      <w:pPr>
        <w:spacing w:line="480" w:lineRule="auto"/>
        <w:contextualSpacing/>
      </w:pPr>
    </w:p>
    <w:p w14:paraId="42F3B604" w14:textId="79A3FB9F" w:rsidR="00201A5D" w:rsidRPr="00344DFC" w:rsidRDefault="00714847" w:rsidP="00344DFC">
      <w:pPr>
        <w:spacing w:line="480" w:lineRule="auto"/>
        <w:contextualSpacing/>
        <w:rPr>
          <w:i/>
        </w:rPr>
      </w:pPr>
      <w:r w:rsidRPr="00344DFC">
        <w:rPr>
          <w:i/>
        </w:rPr>
        <w:t xml:space="preserve">The </w:t>
      </w:r>
      <w:r w:rsidR="00325EDE" w:rsidRPr="00344DFC">
        <w:rPr>
          <w:i/>
        </w:rPr>
        <w:t xml:space="preserve">genetics of human </w:t>
      </w:r>
      <w:r w:rsidR="00201A5D" w:rsidRPr="00344DFC">
        <w:rPr>
          <w:i/>
        </w:rPr>
        <w:t xml:space="preserve">T1D </w:t>
      </w:r>
    </w:p>
    <w:p w14:paraId="1A9A84B5" w14:textId="6AEB7932" w:rsidR="00201A5D" w:rsidRPr="00344DFC" w:rsidRDefault="00201A5D" w:rsidP="00344DFC">
      <w:pPr>
        <w:spacing w:line="480" w:lineRule="auto"/>
        <w:ind w:firstLine="720"/>
        <w:contextualSpacing/>
        <w:rPr>
          <w:noProof/>
        </w:rPr>
      </w:pPr>
      <w:r w:rsidRPr="00344DFC">
        <w:t xml:space="preserve">The contribution of genetic factors to the development of T1D was first recognised through twin concordance rates, family studies and different prevalence rates among ethnic groups </w:t>
      </w:r>
      <w:r w:rsidR="0054199F" w:rsidRPr="00344DFC">
        <w:rPr>
          <w:noProof/>
        </w:rPr>
        <w:t>(</w:t>
      </w:r>
      <w:r w:rsidR="007D5281" w:rsidRPr="00344DFC">
        <w:rPr>
          <w:noProof/>
        </w:rPr>
        <w:t>r</w:t>
      </w:r>
      <w:r w:rsidR="0054199F" w:rsidRPr="00344DFC">
        <w:rPr>
          <w:noProof/>
        </w:rPr>
        <w:t>eviewed in Concannon</w:t>
      </w:r>
      <w:r w:rsidR="00E02934" w:rsidRPr="00344DFC">
        <w:rPr>
          <w:noProof/>
        </w:rPr>
        <w:t xml:space="preserve"> et al.,</w:t>
      </w:r>
      <w:r w:rsidR="0054199F" w:rsidRPr="00344DFC">
        <w:rPr>
          <w:noProof/>
        </w:rPr>
        <w:t xml:space="preserve"> 2009; Grant</w:t>
      </w:r>
      <w:r w:rsidR="00E02934" w:rsidRPr="00344DFC">
        <w:rPr>
          <w:noProof/>
        </w:rPr>
        <w:t xml:space="preserve"> et al., </w:t>
      </w:r>
      <w:r w:rsidR="0054199F" w:rsidRPr="00344DFC">
        <w:rPr>
          <w:noProof/>
        </w:rPr>
        <w:t>2010</w:t>
      </w:r>
      <w:r w:rsidR="00E02934" w:rsidRPr="00344DFC">
        <w:rPr>
          <w:noProof/>
        </w:rPr>
        <w:t>; Bakay et al. 2019</w:t>
      </w:r>
      <w:r w:rsidR="0054199F" w:rsidRPr="00344DFC">
        <w:rPr>
          <w:noProof/>
        </w:rPr>
        <w:t>)</w:t>
      </w:r>
      <w:r w:rsidRPr="00344DFC">
        <w:t xml:space="preserve">. The disease has a strong genetic component, despite no close family history in more than 85% of patients </w:t>
      </w:r>
      <w:r w:rsidR="009E2A1E" w:rsidRPr="00344DFC">
        <w:rPr>
          <w:noProof/>
        </w:rPr>
        <w:t>(Steck and Rewers, 2011)</w:t>
      </w:r>
      <w:r w:rsidRPr="00344DFC">
        <w:t xml:space="preserve">. </w:t>
      </w:r>
      <w:r w:rsidR="00714847" w:rsidRPr="00344DFC">
        <w:t>Early c</w:t>
      </w:r>
      <w:r w:rsidRPr="00344DFC">
        <w:t>andidate gene studies identified risk alleles in a number of immune response genes, which have since been confirmed and expanded through GWA</w:t>
      </w:r>
      <w:r w:rsidR="00741597" w:rsidRPr="00344DFC">
        <w:t>S</w:t>
      </w:r>
      <w:r w:rsidRPr="00344DFC">
        <w:t xml:space="preserve"> involving thousands of individuals </w:t>
      </w:r>
      <w:r w:rsidR="009E2A1E" w:rsidRPr="00344DFC">
        <w:rPr>
          <w:noProof/>
        </w:rPr>
        <w:t xml:space="preserve">(Burton et al., 2007; </w:t>
      </w:r>
      <w:r w:rsidR="00E02934" w:rsidRPr="00344DFC">
        <w:rPr>
          <w:noProof/>
        </w:rPr>
        <w:t xml:space="preserve">Todd et al., 2007; </w:t>
      </w:r>
      <w:r w:rsidR="009E2A1E" w:rsidRPr="00344DFC">
        <w:rPr>
          <w:noProof/>
        </w:rPr>
        <w:t>Polychronakos and Li, 2011)</w:t>
      </w:r>
      <w:r w:rsidRPr="00344DFC">
        <w:t>. Whilst</w:t>
      </w:r>
      <w:r w:rsidR="00494DCB" w:rsidRPr="00344DFC">
        <w:t xml:space="preserve"> many </w:t>
      </w:r>
      <w:r w:rsidRPr="00344DFC">
        <w:t xml:space="preserve">regions </w:t>
      </w:r>
      <w:r w:rsidR="00494DCB" w:rsidRPr="00344DFC">
        <w:t xml:space="preserve">are known to </w:t>
      </w:r>
      <w:r w:rsidRPr="00344DFC">
        <w:t xml:space="preserve">contribute to genetic risk in T1D, by far the largest component of this </w:t>
      </w:r>
      <w:r w:rsidR="00023255" w:rsidRPr="00344DFC">
        <w:t xml:space="preserve">risk </w:t>
      </w:r>
      <w:r w:rsidRPr="00344DFC">
        <w:t>is conferred by the major histocompatibility complex (MHC), a genomic region containin</w:t>
      </w:r>
      <w:r w:rsidRPr="00A81FF2">
        <w:rPr>
          <w:color w:val="000000" w:themeColor="text1"/>
        </w:rPr>
        <w:t>g a large number of immune response genes</w:t>
      </w:r>
      <w:r w:rsidR="004C16B3" w:rsidRPr="00A81FF2">
        <w:rPr>
          <w:color w:val="000000" w:themeColor="text1"/>
        </w:rPr>
        <w:t xml:space="preserve">, including those </w:t>
      </w:r>
      <w:r w:rsidRPr="00A81FF2">
        <w:rPr>
          <w:color w:val="000000" w:themeColor="text1"/>
        </w:rPr>
        <w:t>encoding the Human Leukocy</w:t>
      </w:r>
      <w:r w:rsidRPr="00344DFC">
        <w:t xml:space="preserve">te Antigen (HLA) proteins. This </w:t>
      </w:r>
      <w:r w:rsidR="00714847" w:rsidRPr="00344DFC">
        <w:t xml:space="preserve">region </w:t>
      </w:r>
      <w:r w:rsidRPr="00344DFC">
        <w:t xml:space="preserve">is considered to be the most important susceptibility locus in </w:t>
      </w:r>
      <w:r w:rsidR="00023255" w:rsidRPr="00344DFC">
        <w:t xml:space="preserve">T1D </w:t>
      </w:r>
      <w:r w:rsidRPr="00344DFC">
        <w:t xml:space="preserve">and HLA typing is used to identify children at high risk for development of diabetes for recruitment into clinical trials. </w:t>
      </w:r>
    </w:p>
    <w:p w14:paraId="34E1D1A5" w14:textId="77777777" w:rsidR="00201A5D" w:rsidRPr="00344DFC" w:rsidRDefault="00201A5D" w:rsidP="00344DFC">
      <w:pPr>
        <w:spacing w:line="480" w:lineRule="auto"/>
        <w:contextualSpacing/>
      </w:pPr>
    </w:p>
    <w:p w14:paraId="56348221" w14:textId="6AABD45D" w:rsidR="00201A5D" w:rsidRPr="00344DFC" w:rsidRDefault="00023255" w:rsidP="00344DFC">
      <w:pPr>
        <w:spacing w:line="480" w:lineRule="auto"/>
        <w:ind w:firstLine="720"/>
        <w:contextualSpacing/>
      </w:pPr>
      <w:r w:rsidRPr="00344DFC">
        <w:t xml:space="preserve">In humans, the MHC genes are located on Chromosome 6 and MHC nomenclature is complex due to the wide variety of alleles and possible haplotypes. However, due to the complexity in nomenclature, important haplotypes are often shortened for reference, e.g. </w:t>
      </w:r>
      <w:r w:rsidRPr="00344DFC">
        <w:rPr>
          <w:i/>
          <w:iCs/>
          <w:color w:val="000000"/>
          <w:bdr w:val="none" w:sz="0" w:space="0" w:color="auto" w:frame="1"/>
          <w:shd w:val="clear" w:color="auto" w:fill="FFFFFF"/>
        </w:rPr>
        <w:t>DRB1*03-</w:t>
      </w:r>
      <w:r w:rsidR="00062FE9" w:rsidRPr="00344DFC">
        <w:rPr>
          <w:i/>
          <w:iCs/>
          <w:color w:val="000000"/>
          <w:bdr w:val="none" w:sz="0" w:space="0" w:color="auto" w:frame="1"/>
          <w:shd w:val="clear" w:color="auto" w:fill="FFFFFF"/>
        </w:rPr>
        <w:t>-</w:t>
      </w:r>
      <w:r w:rsidRPr="00344DFC">
        <w:rPr>
          <w:i/>
          <w:iCs/>
          <w:color w:val="000000"/>
          <w:bdr w:val="none" w:sz="0" w:space="0" w:color="auto" w:frame="1"/>
          <w:shd w:val="clear" w:color="auto" w:fill="FFFFFF"/>
        </w:rPr>
        <w:t>DQB1*02:01</w:t>
      </w:r>
      <w:r w:rsidRPr="00344DFC">
        <w:rPr>
          <w:color w:val="000000"/>
          <w:shd w:val="clear" w:color="auto" w:fill="FFFFFF"/>
        </w:rPr>
        <w:t xml:space="preserve"> is shortened </w:t>
      </w:r>
      <w:r w:rsidRPr="00344DFC">
        <w:t xml:space="preserve">to DR3/DQ2. </w:t>
      </w:r>
      <w:r w:rsidR="00201A5D" w:rsidRPr="00344DFC">
        <w:t>The MHC genes are divided into class I, II and III (</w:t>
      </w:r>
      <w:r w:rsidR="001C69CF" w:rsidRPr="00344DFC">
        <w:t xml:space="preserve">Fig. </w:t>
      </w:r>
      <w:r w:rsidR="00D72680" w:rsidRPr="00344DFC">
        <w:t>2</w:t>
      </w:r>
      <w:r w:rsidR="00201A5D" w:rsidRPr="00344DFC">
        <w:t xml:space="preserve">). MHC class </w:t>
      </w:r>
      <w:r w:rsidR="00714847" w:rsidRPr="00344DFC">
        <w:t xml:space="preserve">II </w:t>
      </w:r>
      <w:r w:rsidR="00201A5D" w:rsidRPr="00344DFC">
        <w:t>and class I genes encode cell surface molecules which present antigen to</w:t>
      </w:r>
      <w:r w:rsidR="00714847" w:rsidRPr="00344DFC">
        <w:t xml:space="preserve"> CD4</w:t>
      </w:r>
      <w:r w:rsidR="00714847" w:rsidRPr="00B93C8E">
        <w:rPr>
          <w:vertAlign w:val="superscript"/>
        </w:rPr>
        <w:t>+</w:t>
      </w:r>
      <w:r w:rsidR="00714847" w:rsidRPr="00344DFC">
        <w:t xml:space="preserve"> helper and regulatory </w:t>
      </w:r>
      <w:r w:rsidR="00201A5D" w:rsidRPr="00344DFC">
        <w:t>T cells</w:t>
      </w:r>
      <w:r w:rsidR="00714847" w:rsidRPr="00344DFC">
        <w:t xml:space="preserve"> and CD8</w:t>
      </w:r>
      <w:r w:rsidR="00714847" w:rsidRPr="00B93C8E">
        <w:rPr>
          <w:vertAlign w:val="superscript"/>
        </w:rPr>
        <w:t>+</w:t>
      </w:r>
      <w:r w:rsidR="00714847" w:rsidRPr="00344DFC">
        <w:t xml:space="preserve"> cytotoxic T cells</w:t>
      </w:r>
      <w:r w:rsidR="00EF660E" w:rsidRPr="00344DFC">
        <w:rPr>
          <w:color w:val="0070C0"/>
        </w:rPr>
        <w:t>,</w:t>
      </w:r>
      <w:r w:rsidR="00714847" w:rsidRPr="00344DFC">
        <w:rPr>
          <w:color w:val="0070C0"/>
        </w:rPr>
        <w:t xml:space="preserve"> </w:t>
      </w:r>
      <w:r w:rsidR="00714847" w:rsidRPr="00344DFC">
        <w:t>respectively</w:t>
      </w:r>
      <w:r w:rsidRPr="00344DFC">
        <w:t xml:space="preserve">. </w:t>
      </w:r>
      <w:r w:rsidR="00201A5D" w:rsidRPr="00344DFC">
        <w:t xml:space="preserve">The MHC haplotype of an individual </w:t>
      </w:r>
      <w:r w:rsidR="00714847" w:rsidRPr="00344DFC">
        <w:t xml:space="preserve">is critical to the adaptive immune response and </w:t>
      </w:r>
      <w:r w:rsidR="00201A5D" w:rsidRPr="00344DFC">
        <w:t xml:space="preserve">determines </w:t>
      </w:r>
      <w:r w:rsidR="00714847" w:rsidRPr="00344DFC">
        <w:t>the repertoire of a</w:t>
      </w:r>
      <w:r w:rsidR="00201A5D" w:rsidRPr="00344DFC">
        <w:t xml:space="preserve">ntigenic peptides </w:t>
      </w:r>
      <w:r w:rsidR="00714847" w:rsidRPr="00344DFC">
        <w:t xml:space="preserve">that </w:t>
      </w:r>
      <w:r w:rsidR="00201A5D" w:rsidRPr="00344DFC">
        <w:t>can be presented to the immune system.</w:t>
      </w:r>
      <w:r w:rsidRPr="00344DFC">
        <w:t xml:space="preserve"> As well as directing immune responses towards external antigens,</w:t>
      </w:r>
      <w:r w:rsidR="00201A5D" w:rsidRPr="00344DFC">
        <w:t xml:space="preserve"> </w:t>
      </w:r>
      <w:r w:rsidRPr="00344DFC">
        <w:t>t</w:t>
      </w:r>
      <w:r w:rsidR="00714847" w:rsidRPr="00344DFC">
        <w:t xml:space="preserve">he MHC </w:t>
      </w:r>
      <w:r w:rsidR="00714847" w:rsidRPr="00344DFC">
        <w:lastRenderedPageBreak/>
        <w:t xml:space="preserve">haplotype is </w:t>
      </w:r>
      <w:r w:rsidRPr="00344DFC">
        <w:t xml:space="preserve">important </w:t>
      </w:r>
      <w:r w:rsidR="00714847" w:rsidRPr="00344DFC">
        <w:t xml:space="preserve">in </w:t>
      </w:r>
      <w:r w:rsidRPr="00344DFC">
        <w:t xml:space="preserve">determining </w:t>
      </w:r>
      <w:r w:rsidR="00714847" w:rsidRPr="00344DFC">
        <w:t xml:space="preserve">immune tolerance to ‘self’ peptides as the immune system develops. </w:t>
      </w:r>
    </w:p>
    <w:p w14:paraId="37710800" w14:textId="77777777" w:rsidR="00201A5D" w:rsidRPr="00344DFC" w:rsidRDefault="00201A5D" w:rsidP="00344DFC">
      <w:pPr>
        <w:spacing w:line="480" w:lineRule="auto"/>
        <w:ind w:firstLine="720"/>
        <w:contextualSpacing/>
      </w:pPr>
    </w:p>
    <w:p w14:paraId="064CC3F1" w14:textId="0DCB867B" w:rsidR="00201A5D" w:rsidRPr="00344DFC" w:rsidRDefault="00201A5D" w:rsidP="00344DFC">
      <w:pPr>
        <w:spacing w:line="480" w:lineRule="auto"/>
        <w:ind w:firstLine="720"/>
        <w:contextualSpacing/>
      </w:pPr>
      <w:r w:rsidRPr="00344DFC">
        <w:t xml:space="preserve">The HLA class II genes confer approximately 50% of the genetic risk of T1D </w:t>
      </w:r>
      <w:r w:rsidR="009E2A1E" w:rsidRPr="00344DFC">
        <w:rPr>
          <w:noProof/>
        </w:rPr>
        <w:t>(</w:t>
      </w:r>
      <w:r w:rsidR="00E02934" w:rsidRPr="00344DFC">
        <w:rPr>
          <w:noProof/>
        </w:rPr>
        <w:t xml:space="preserve">Rotter and Landaw, 1984; Noble et al., 1996; </w:t>
      </w:r>
      <w:r w:rsidR="009E2A1E" w:rsidRPr="00344DFC">
        <w:rPr>
          <w:noProof/>
        </w:rPr>
        <w:t xml:space="preserve">Cucca et al., 2001; Todd et al., </w:t>
      </w:r>
      <w:r w:rsidR="00E02934" w:rsidRPr="00344DFC">
        <w:rPr>
          <w:noProof/>
        </w:rPr>
        <w:t xml:space="preserve">1987, </w:t>
      </w:r>
      <w:r w:rsidR="009E2A1E" w:rsidRPr="00344DFC">
        <w:rPr>
          <w:noProof/>
        </w:rPr>
        <w:t>2007)</w:t>
      </w:r>
      <w:r w:rsidRPr="00344DFC">
        <w:t xml:space="preserve">. There are two especially important haplotypes. Either or both of the </w:t>
      </w:r>
      <w:r w:rsidRPr="00344DFC">
        <w:rPr>
          <w:i/>
        </w:rPr>
        <w:t>DR3/DQ2</w:t>
      </w:r>
      <w:r w:rsidRPr="00344DFC">
        <w:t xml:space="preserve"> or </w:t>
      </w:r>
      <w:r w:rsidRPr="00344DFC">
        <w:rPr>
          <w:i/>
        </w:rPr>
        <w:t>DR4/DQ8</w:t>
      </w:r>
      <w:r w:rsidRPr="00344DFC">
        <w:t xml:space="preserve"> haplotypes are found in approximately 90% of individuals with juvenile-onset T1D compared with 20% of the general population of European descent </w:t>
      </w:r>
      <w:r w:rsidR="009E2A1E" w:rsidRPr="00344DFC">
        <w:rPr>
          <w:noProof/>
        </w:rPr>
        <w:t>(Erlich et al., 2008)</w:t>
      </w:r>
      <w:r w:rsidRPr="00344DFC">
        <w:t xml:space="preserve">. Several other HLA haplotypes (e.g. </w:t>
      </w:r>
      <w:r w:rsidRPr="00344DFC">
        <w:rPr>
          <w:i/>
        </w:rPr>
        <w:t>HLA-DR2</w:t>
      </w:r>
      <w:r w:rsidRPr="00344DFC">
        <w:t xml:space="preserve">) are associated with reduced susceptibility to T1D and are designated as ‘protective’ haplotypes. Interestingly, a MHC class II haplotype may increase risk of T1D in one particular ethnic population, yet be protective in another </w:t>
      </w:r>
      <w:r w:rsidR="009E2A1E" w:rsidRPr="00344DFC">
        <w:rPr>
          <w:noProof/>
        </w:rPr>
        <w:t>(Nyaga et al., 2018)</w:t>
      </w:r>
      <w:r w:rsidRPr="00344DFC">
        <w:t xml:space="preserve">. </w:t>
      </w:r>
    </w:p>
    <w:p w14:paraId="4A05A328" w14:textId="77777777" w:rsidR="00AC19B4" w:rsidRPr="00344DFC" w:rsidRDefault="00AC19B4" w:rsidP="00344DFC">
      <w:pPr>
        <w:spacing w:line="480" w:lineRule="auto"/>
        <w:contextualSpacing/>
      </w:pPr>
    </w:p>
    <w:p w14:paraId="55510E9F" w14:textId="0BEF803E" w:rsidR="00201A5D" w:rsidRPr="00344DFC" w:rsidRDefault="00201A5D" w:rsidP="00344DFC">
      <w:pPr>
        <w:spacing w:line="480" w:lineRule="auto"/>
        <w:ind w:firstLine="720"/>
        <w:contextualSpacing/>
      </w:pPr>
      <w:r w:rsidRPr="00344DFC">
        <w:t>After identification</w:t>
      </w:r>
      <w:r w:rsidRPr="0007702F">
        <w:rPr>
          <w:color w:val="000000" w:themeColor="text1"/>
        </w:rPr>
        <w:t xml:space="preserve"> of the </w:t>
      </w:r>
      <w:r w:rsidR="00EF660E" w:rsidRPr="0007702F">
        <w:rPr>
          <w:color w:val="000000" w:themeColor="text1"/>
        </w:rPr>
        <w:t>MHC locus</w:t>
      </w:r>
      <w:r w:rsidRPr="0007702F">
        <w:rPr>
          <w:color w:val="000000" w:themeColor="text1"/>
        </w:rPr>
        <w:t xml:space="preserve"> as a T1D genetic risk factor, candidate gene studies </w:t>
      </w:r>
      <w:r w:rsidR="00023255" w:rsidRPr="0007702F">
        <w:rPr>
          <w:color w:val="000000" w:themeColor="text1"/>
        </w:rPr>
        <w:t xml:space="preserve">went on to identify </w:t>
      </w:r>
      <w:r w:rsidRPr="0007702F">
        <w:rPr>
          <w:color w:val="000000" w:themeColor="text1"/>
        </w:rPr>
        <w:t>i</w:t>
      </w:r>
      <w:r w:rsidRPr="00344DFC">
        <w:t xml:space="preserve">mportant </w:t>
      </w:r>
      <w:r w:rsidR="00A173A6" w:rsidRPr="00344DFC">
        <w:t xml:space="preserve">T1D-associated </w:t>
      </w:r>
      <w:r w:rsidRPr="00344DFC">
        <w:t>variants in the insulin gene itself (</w:t>
      </w:r>
      <w:r w:rsidRPr="00344DFC">
        <w:rPr>
          <w:i/>
        </w:rPr>
        <w:t>INS</w:t>
      </w:r>
      <w:r w:rsidRPr="00344DFC">
        <w:t>) as well as</w:t>
      </w:r>
      <w:r w:rsidR="00A173A6" w:rsidRPr="00344DFC">
        <w:t xml:space="preserve"> T1D-associated</w:t>
      </w:r>
      <w:r w:rsidRPr="00344DFC">
        <w:t xml:space="preserve"> variants in four other immune response genes – </w:t>
      </w:r>
      <w:r w:rsidRPr="00344DFC">
        <w:rPr>
          <w:i/>
        </w:rPr>
        <w:t>PTPN22, CTLA4, IFIH1</w:t>
      </w:r>
      <w:r w:rsidRPr="00344DFC">
        <w:t xml:space="preserve"> and </w:t>
      </w:r>
      <w:r w:rsidRPr="00344DFC">
        <w:rPr>
          <w:i/>
        </w:rPr>
        <w:t>IL2RA</w:t>
      </w:r>
      <w:r w:rsidRPr="00344DFC">
        <w:t xml:space="preserve"> </w:t>
      </w:r>
      <w:r w:rsidR="009E2A1E" w:rsidRPr="00344DFC">
        <w:rPr>
          <w:noProof/>
        </w:rPr>
        <w:t>(</w:t>
      </w:r>
      <w:r w:rsidR="00E02934" w:rsidRPr="00344DFC">
        <w:rPr>
          <w:noProof/>
        </w:rPr>
        <w:t xml:space="preserve">Ueda et al., 2003; </w:t>
      </w:r>
      <w:r w:rsidR="009E2A1E" w:rsidRPr="00344DFC">
        <w:rPr>
          <w:noProof/>
        </w:rPr>
        <w:t>Bottini et al., 2004; Lowe et al., 2007; Nejentsev et al., 2009)</w:t>
      </w:r>
      <w:r w:rsidRPr="00344DFC">
        <w:t xml:space="preserve">. </w:t>
      </w:r>
      <w:r w:rsidRPr="00344DFC">
        <w:rPr>
          <w:color w:val="000000"/>
        </w:rPr>
        <w:t xml:space="preserve">The </w:t>
      </w:r>
      <w:r w:rsidRPr="00344DFC">
        <w:rPr>
          <w:i/>
          <w:color w:val="000000"/>
        </w:rPr>
        <w:t>INS</w:t>
      </w:r>
      <w:r w:rsidRPr="00344DFC">
        <w:rPr>
          <w:color w:val="000000"/>
        </w:rPr>
        <w:t xml:space="preserve"> gene confers the greatest genetic risk outside the MHC region, with the causative locus mapped to a variable number of tandem repeats (VNTR) polymorphism in the promoter region </w:t>
      </w:r>
      <w:r w:rsidR="009E2A1E" w:rsidRPr="00344DFC">
        <w:rPr>
          <w:noProof/>
          <w:color w:val="000000"/>
        </w:rPr>
        <w:t>(Bennett et al., 1995)</w:t>
      </w:r>
      <w:r w:rsidRPr="00344DFC">
        <w:rPr>
          <w:color w:val="000000"/>
        </w:rPr>
        <w:t xml:space="preserve">. Short VNTR alleles are associated with greater T1D risk whereas long alleles are protective by modification of </w:t>
      </w:r>
      <w:r w:rsidRPr="00344DFC">
        <w:rPr>
          <w:i/>
          <w:color w:val="000000"/>
        </w:rPr>
        <w:t>INS</w:t>
      </w:r>
      <w:r w:rsidRPr="00344DFC">
        <w:rPr>
          <w:color w:val="000000"/>
        </w:rPr>
        <w:t xml:space="preserve"> gene expression in the thymus, affecting the development of T lymphocyte immune tolerance to this ‘self’ protein </w:t>
      </w:r>
      <w:r w:rsidR="009E2A1E" w:rsidRPr="00344DFC">
        <w:rPr>
          <w:noProof/>
          <w:color w:val="000000"/>
        </w:rPr>
        <w:t>(Vafiadis et al., 1997)</w:t>
      </w:r>
      <w:r w:rsidRPr="00344DFC">
        <w:rPr>
          <w:color w:val="000000"/>
        </w:rPr>
        <w:t>. The role of the</w:t>
      </w:r>
      <w:r w:rsidR="00A173A6" w:rsidRPr="00344DFC">
        <w:rPr>
          <w:color w:val="000000"/>
        </w:rPr>
        <w:t xml:space="preserve"> adaptive</w:t>
      </w:r>
      <w:r w:rsidRPr="00344DFC">
        <w:rPr>
          <w:color w:val="000000"/>
        </w:rPr>
        <w:t xml:space="preserve"> immune system in T1D is also highlighted by risk variants in </w:t>
      </w:r>
      <w:r w:rsidRPr="00344DFC">
        <w:rPr>
          <w:i/>
          <w:color w:val="000000"/>
        </w:rPr>
        <w:t>PTPN22</w:t>
      </w:r>
      <w:r w:rsidRPr="00344DFC">
        <w:rPr>
          <w:color w:val="000000"/>
        </w:rPr>
        <w:t xml:space="preserve"> and </w:t>
      </w:r>
      <w:r w:rsidRPr="00344DFC">
        <w:rPr>
          <w:i/>
          <w:color w:val="000000"/>
        </w:rPr>
        <w:t xml:space="preserve">CTLA4. </w:t>
      </w:r>
      <w:r w:rsidRPr="00344DFC">
        <w:rPr>
          <w:color w:val="000000"/>
        </w:rPr>
        <w:t xml:space="preserve">These genes encode negative regulators of T cell </w:t>
      </w:r>
      <w:r w:rsidRPr="00344DFC">
        <w:rPr>
          <w:color w:val="000000"/>
        </w:rPr>
        <w:lastRenderedPageBreak/>
        <w:t xml:space="preserve">signalling, potentially further contributing to the development of the autoimmune response towards pancreatic beta cell antigens </w:t>
      </w:r>
      <w:r w:rsidR="009E2A1E" w:rsidRPr="00344DFC">
        <w:rPr>
          <w:noProof/>
          <w:color w:val="000000"/>
        </w:rPr>
        <w:t>(Polychronakos and Li, 2011)</w:t>
      </w:r>
      <w:r w:rsidRPr="00344DFC">
        <w:rPr>
          <w:color w:val="000000"/>
        </w:rPr>
        <w:t>.</w:t>
      </w:r>
    </w:p>
    <w:p w14:paraId="21AAC27B" w14:textId="77777777" w:rsidR="00201A5D" w:rsidRPr="00344DFC" w:rsidRDefault="00201A5D" w:rsidP="00344DFC">
      <w:pPr>
        <w:spacing w:line="480" w:lineRule="auto"/>
        <w:contextualSpacing/>
        <w:rPr>
          <w:color w:val="FF0000"/>
        </w:rPr>
      </w:pPr>
    </w:p>
    <w:p w14:paraId="2EF39E8F" w14:textId="20C12CAC" w:rsidR="00201A5D" w:rsidRPr="00344DFC" w:rsidRDefault="00494DCB" w:rsidP="00344DFC">
      <w:pPr>
        <w:spacing w:line="480" w:lineRule="auto"/>
        <w:ind w:firstLine="720"/>
        <w:contextualSpacing/>
        <w:rPr>
          <w:color w:val="000000"/>
        </w:rPr>
      </w:pPr>
      <w:r w:rsidRPr="00344DFC">
        <w:rPr>
          <w:color w:val="000000"/>
        </w:rPr>
        <w:t>The</w:t>
      </w:r>
      <w:r w:rsidR="00201A5D" w:rsidRPr="00344DFC">
        <w:rPr>
          <w:color w:val="000000"/>
        </w:rPr>
        <w:t xml:space="preserve"> T1D-associated loci </w:t>
      </w:r>
      <w:r w:rsidRPr="00344DFC">
        <w:rPr>
          <w:color w:val="000000"/>
        </w:rPr>
        <w:t xml:space="preserve">that </w:t>
      </w:r>
      <w:r w:rsidR="00201A5D" w:rsidRPr="00344DFC">
        <w:rPr>
          <w:color w:val="000000"/>
        </w:rPr>
        <w:t xml:space="preserve">have now been identified provide biological insights as to the pathogenesis of the disease </w:t>
      </w:r>
      <w:r w:rsidR="009E2A1E" w:rsidRPr="00344DFC">
        <w:rPr>
          <w:noProof/>
          <w:color w:val="000000"/>
        </w:rPr>
        <w:t>(Barrett et al., 2009; Bradfield et al., 2011; Pang et al., 2020)</w:t>
      </w:r>
      <w:r w:rsidR="00201A5D" w:rsidRPr="00344DFC">
        <w:rPr>
          <w:color w:val="000000"/>
        </w:rPr>
        <w:t>. Several loci have been linked to genes involved in interleukin-2 pathways and regulatory T lymphocyte function</w:t>
      </w:r>
      <w:r w:rsidR="00322505">
        <w:rPr>
          <w:color w:val="000000"/>
        </w:rPr>
        <w:t>,</w:t>
      </w:r>
      <w:r w:rsidR="00201A5D" w:rsidRPr="00344DFC">
        <w:rPr>
          <w:color w:val="000000"/>
        </w:rPr>
        <w:t xml:space="preserve"> providing further evidence that dysregulation of the immune system plays a major role in </w:t>
      </w:r>
      <w:r w:rsidR="00030156" w:rsidRPr="00344DFC">
        <w:rPr>
          <w:color w:val="000000"/>
        </w:rPr>
        <w:t>T1D</w:t>
      </w:r>
      <w:r w:rsidR="00201A5D" w:rsidRPr="00344DFC">
        <w:rPr>
          <w:color w:val="000000"/>
        </w:rPr>
        <w:t>.</w:t>
      </w:r>
      <w:r w:rsidR="005D400D" w:rsidRPr="00344DFC">
        <w:rPr>
          <w:color w:val="000000"/>
        </w:rPr>
        <w:t xml:space="preserve"> Many T1D variant</w:t>
      </w:r>
      <w:r w:rsidR="00654F03" w:rsidRPr="00344DFC">
        <w:rPr>
          <w:color w:val="000000"/>
        </w:rPr>
        <w:t>s</w:t>
      </w:r>
      <w:r w:rsidR="005D400D" w:rsidRPr="00344DFC">
        <w:rPr>
          <w:color w:val="000000"/>
        </w:rPr>
        <w:t xml:space="preserve"> are also implicated in other autoimmune diseases, such as </w:t>
      </w:r>
      <w:r w:rsidR="004923CC" w:rsidRPr="00344DFC">
        <w:rPr>
          <w:color w:val="000000"/>
        </w:rPr>
        <w:t>multiple sclerosis and rheumatoid arthritis</w:t>
      </w:r>
      <w:r w:rsidR="00201A5D" w:rsidRPr="00344DFC">
        <w:rPr>
          <w:color w:val="000000"/>
        </w:rPr>
        <w:t xml:space="preserve"> </w:t>
      </w:r>
      <w:r w:rsidR="00654F03" w:rsidRPr="00344DFC">
        <w:rPr>
          <w:color w:val="000000"/>
        </w:rPr>
        <w:t xml:space="preserve">(Cotsapas et al., 2011). </w:t>
      </w:r>
      <w:r w:rsidR="00201A5D" w:rsidRPr="00344DFC">
        <w:rPr>
          <w:color w:val="000000"/>
        </w:rPr>
        <w:t xml:space="preserve">Other </w:t>
      </w:r>
      <w:r w:rsidR="007D5281" w:rsidRPr="00344DFC">
        <w:rPr>
          <w:color w:val="000000"/>
        </w:rPr>
        <w:t xml:space="preserve">important </w:t>
      </w:r>
      <w:r w:rsidR="00201A5D" w:rsidRPr="00344DFC">
        <w:rPr>
          <w:color w:val="000000"/>
        </w:rPr>
        <w:t>biological pathways have also now been identified, including the</w:t>
      </w:r>
      <w:r w:rsidR="00030156" w:rsidRPr="00344DFC">
        <w:rPr>
          <w:color w:val="000000"/>
        </w:rPr>
        <w:t xml:space="preserve"> type 1</w:t>
      </w:r>
      <w:r w:rsidR="00201A5D" w:rsidRPr="00344DFC">
        <w:rPr>
          <w:color w:val="000000"/>
        </w:rPr>
        <w:t xml:space="preserve"> interferon response and </w:t>
      </w:r>
      <w:r w:rsidR="00030156" w:rsidRPr="00344DFC">
        <w:rPr>
          <w:color w:val="000000"/>
        </w:rPr>
        <w:t xml:space="preserve">beta cell </w:t>
      </w:r>
      <w:r w:rsidR="00201A5D" w:rsidRPr="00344DFC">
        <w:rPr>
          <w:color w:val="000000"/>
        </w:rPr>
        <w:t xml:space="preserve">apoptosis. For example, </w:t>
      </w:r>
      <w:r w:rsidR="00F105AA" w:rsidRPr="00344DFC">
        <w:rPr>
          <w:i/>
          <w:color w:val="000000"/>
        </w:rPr>
        <w:t xml:space="preserve">GLIS3 </w:t>
      </w:r>
      <w:r w:rsidR="00F105AA" w:rsidRPr="00344DFC">
        <w:rPr>
          <w:color w:val="000000"/>
        </w:rPr>
        <w:t>(Gli-similar 3)</w:t>
      </w:r>
      <w:r w:rsidR="00201A5D" w:rsidRPr="00344DFC">
        <w:rPr>
          <w:i/>
          <w:color w:val="000000"/>
        </w:rPr>
        <w:t>,</w:t>
      </w:r>
      <w:r w:rsidR="00226EA1" w:rsidRPr="00344DFC">
        <w:rPr>
          <w:color w:val="000000"/>
        </w:rPr>
        <w:t xml:space="preserve"> which</w:t>
      </w:r>
      <w:r w:rsidR="00201A5D" w:rsidRPr="00344DFC">
        <w:rPr>
          <w:i/>
          <w:color w:val="000000"/>
        </w:rPr>
        <w:t xml:space="preserve"> </w:t>
      </w:r>
      <w:r w:rsidR="00226EA1" w:rsidRPr="00344DFC">
        <w:rPr>
          <w:color w:val="000000"/>
        </w:rPr>
        <w:t xml:space="preserve">was identified by GWAS as a candidate gene </w:t>
      </w:r>
      <w:r w:rsidR="009E2A1E" w:rsidRPr="00344DFC">
        <w:rPr>
          <w:noProof/>
          <w:color w:val="000000"/>
        </w:rPr>
        <w:t>(Barrett et al., 2009)</w:t>
      </w:r>
      <w:r w:rsidR="00226EA1" w:rsidRPr="00344DFC">
        <w:rPr>
          <w:color w:val="000000"/>
        </w:rPr>
        <w:t xml:space="preserve">, is thought to protect against T1D by exerting anti-apoptotic effects and maintaining beta-cell mass and function </w:t>
      </w:r>
      <w:r w:rsidR="009E2A1E" w:rsidRPr="00344DFC">
        <w:rPr>
          <w:noProof/>
          <w:color w:val="000000"/>
        </w:rPr>
        <w:t>(Pang et al., 2020)</w:t>
      </w:r>
      <w:r w:rsidR="00226EA1" w:rsidRPr="00344DFC">
        <w:rPr>
          <w:color w:val="000000"/>
        </w:rPr>
        <w:t xml:space="preserve">. </w:t>
      </w:r>
      <w:r w:rsidR="00201A5D" w:rsidRPr="00344DFC">
        <w:rPr>
          <w:color w:val="000000"/>
        </w:rPr>
        <w:t>The precise causal variant</w:t>
      </w:r>
      <w:r w:rsidR="007D5281" w:rsidRPr="00344DFC">
        <w:rPr>
          <w:color w:val="000000"/>
        </w:rPr>
        <w:t>(s)</w:t>
      </w:r>
      <w:r w:rsidR="00201A5D" w:rsidRPr="00344DFC">
        <w:rPr>
          <w:color w:val="000000"/>
        </w:rPr>
        <w:t xml:space="preserve"> in a number of T1D-associated regions, and the function of gene(s) in these regions, however, has yet to be established.</w:t>
      </w:r>
    </w:p>
    <w:p w14:paraId="53169E6D" w14:textId="77777777" w:rsidR="00593609" w:rsidRPr="00344DFC" w:rsidRDefault="00593609" w:rsidP="00344DFC">
      <w:pPr>
        <w:spacing w:line="480" w:lineRule="auto"/>
        <w:contextualSpacing/>
      </w:pPr>
    </w:p>
    <w:p w14:paraId="25C8AA92" w14:textId="50DB0D64" w:rsidR="00201A5D" w:rsidRPr="00AB2A0E" w:rsidRDefault="00714847" w:rsidP="00344DFC">
      <w:pPr>
        <w:spacing w:line="480" w:lineRule="auto"/>
        <w:contextualSpacing/>
        <w:rPr>
          <w:i/>
          <w:color w:val="000000" w:themeColor="text1"/>
          <w:lang w:val="en-US" w:eastAsia="ja-JP"/>
        </w:rPr>
      </w:pPr>
      <w:r w:rsidRPr="00AB2A0E">
        <w:rPr>
          <w:i/>
          <w:color w:val="000000" w:themeColor="text1"/>
        </w:rPr>
        <w:t xml:space="preserve">The </w:t>
      </w:r>
      <w:r w:rsidR="00325EDE" w:rsidRPr="00AB2A0E">
        <w:rPr>
          <w:i/>
          <w:color w:val="000000" w:themeColor="text1"/>
        </w:rPr>
        <w:t xml:space="preserve">genetics of human </w:t>
      </w:r>
      <w:r w:rsidR="00201A5D" w:rsidRPr="00AB2A0E">
        <w:rPr>
          <w:i/>
          <w:color w:val="000000" w:themeColor="text1"/>
        </w:rPr>
        <w:t>T2D</w:t>
      </w:r>
    </w:p>
    <w:p w14:paraId="1E4456E4" w14:textId="6F1668A6" w:rsidR="00201A5D" w:rsidRPr="00344DFC" w:rsidRDefault="00201A5D" w:rsidP="00344DFC">
      <w:pPr>
        <w:spacing w:line="480" w:lineRule="auto"/>
        <w:ind w:firstLine="720"/>
        <w:contextualSpacing/>
        <w:rPr>
          <w:color w:val="000000"/>
        </w:rPr>
      </w:pPr>
      <w:r w:rsidRPr="00AB2A0E">
        <w:rPr>
          <w:color w:val="000000" w:themeColor="text1"/>
        </w:rPr>
        <w:t>More than 200 T2D susceptibil</w:t>
      </w:r>
      <w:r w:rsidRPr="00344DFC">
        <w:rPr>
          <w:color w:val="000000"/>
        </w:rPr>
        <w:t>ity loci have been identified through GWA</w:t>
      </w:r>
      <w:r w:rsidR="00741597" w:rsidRPr="00344DFC">
        <w:rPr>
          <w:color w:val="000000"/>
        </w:rPr>
        <w:t>S</w:t>
      </w:r>
      <w:r w:rsidRPr="00344DFC">
        <w:rPr>
          <w:color w:val="000000"/>
        </w:rPr>
        <w:t xml:space="preserve"> </w:t>
      </w:r>
      <w:r w:rsidR="009E2A1E" w:rsidRPr="00344DFC">
        <w:rPr>
          <w:noProof/>
          <w:color w:val="000000"/>
        </w:rPr>
        <w:t>(</w:t>
      </w:r>
      <w:r w:rsidR="00420B3D" w:rsidRPr="00344DFC">
        <w:rPr>
          <w:noProof/>
          <w:color w:val="000000"/>
        </w:rPr>
        <w:t>Mahajan et al., 2018</w:t>
      </w:r>
      <w:r w:rsidR="009E2A1E" w:rsidRPr="00344DFC">
        <w:rPr>
          <w:noProof/>
          <w:color w:val="000000"/>
        </w:rPr>
        <w:t>)</w:t>
      </w:r>
      <w:r w:rsidRPr="00344DFC">
        <w:rPr>
          <w:color w:val="000000"/>
        </w:rPr>
        <w:t xml:space="preserve"> and furth</w:t>
      </w:r>
      <w:r w:rsidRPr="00AB2A0E">
        <w:rPr>
          <w:color w:val="000000" w:themeColor="text1"/>
        </w:rPr>
        <w:t xml:space="preserve">er research is underway to identify and characterise the causal genes and variants at these loci </w:t>
      </w:r>
      <w:r w:rsidR="009E2A1E" w:rsidRPr="00AB2A0E">
        <w:rPr>
          <w:noProof/>
          <w:color w:val="000000" w:themeColor="text1"/>
        </w:rPr>
        <w:t>(Grotz et al., 2017</w:t>
      </w:r>
      <w:r w:rsidR="00FC3AC1" w:rsidRPr="00AB2A0E">
        <w:rPr>
          <w:noProof/>
          <w:color w:val="000000" w:themeColor="text1"/>
        </w:rPr>
        <w:t>; Loscalzo, 2019; Mattis and Gloyn, 2020</w:t>
      </w:r>
      <w:r w:rsidR="009E2A1E" w:rsidRPr="00AB2A0E">
        <w:rPr>
          <w:noProof/>
          <w:color w:val="000000" w:themeColor="text1"/>
        </w:rPr>
        <w:t>)</w:t>
      </w:r>
      <w:r w:rsidRPr="00AB2A0E">
        <w:rPr>
          <w:color w:val="000000" w:themeColor="text1"/>
        </w:rPr>
        <w:t xml:space="preserve">. </w:t>
      </w:r>
      <w:r w:rsidR="007D5281" w:rsidRPr="00344DFC">
        <w:rPr>
          <w:color w:val="000000"/>
        </w:rPr>
        <w:t>Similar to T1D, i</w:t>
      </w:r>
      <w:r w:rsidRPr="00344DFC">
        <w:rPr>
          <w:color w:val="000000"/>
        </w:rPr>
        <w:t>mportant biological pathways have been identified by this GWAS-led approach and</w:t>
      </w:r>
      <w:r w:rsidR="0059326A" w:rsidRPr="00344DFC">
        <w:rPr>
          <w:color w:val="000000"/>
        </w:rPr>
        <w:t>,</w:t>
      </w:r>
      <w:r w:rsidRPr="00344DFC">
        <w:rPr>
          <w:color w:val="000000"/>
        </w:rPr>
        <w:t xml:space="preserve"> in T2D, these relate primarily to metabolism, obesity and appetite, beta cell function and development, and insulin signalling. Specific examples include genes involved in cell cycle regulation (e.g. </w:t>
      </w:r>
      <w:r w:rsidRPr="00344DFC">
        <w:rPr>
          <w:i/>
          <w:color w:val="000000"/>
        </w:rPr>
        <w:t>CDC123</w:t>
      </w:r>
      <w:r w:rsidRPr="00344DFC">
        <w:rPr>
          <w:color w:val="000000"/>
        </w:rPr>
        <w:t xml:space="preserve">) and zinc transport within insulin secretory granules (e.g. </w:t>
      </w:r>
      <w:r w:rsidRPr="00344DFC">
        <w:rPr>
          <w:i/>
          <w:color w:val="000000"/>
        </w:rPr>
        <w:t>SLC30A8</w:t>
      </w:r>
      <w:r w:rsidRPr="00344DFC">
        <w:rPr>
          <w:color w:val="000000"/>
        </w:rPr>
        <w:t xml:space="preserve">) </w:t>
      </w:r>
      <w:r w:rsidR="009E2A1E" w:rsidRPr="00344DFC">
        <w:rPr>
          <w:noProof/>
          <w:color w:val="000000"/>
        </w:rPr>
        <w:t>(</w:t>
      </w:r>
      <w:r w:rsidR="00E02934" w:rsidRPr="00344DFC">
        <w:rPr>
          <w:noProof/>
          <w:color w:val="000000"/>
        </w:rPr>
        <w:t xml:space="preserve">Zeggini et al., 2008; </w:t>
      </w:r>
      <w:r w:rsidR="009E2A1E" w:rsidRPr="00344DFC">
        <w:rPr>
          <w:noProof/>
          <w:color w:val="000000"/>
        </w:rPr>
        <w:t>McCarthy and Zeggini, 2009)</w:t>
      </w:r>
      <w:r w:rsidRPr="00344DFC">
        <w:rPr>
          <w:color w:val="000000"/>
        </w:rPr>
        <w:t xml:space="preserve">. Other T2D susceptibility </w:t>
      </w:r>
      <w:r w:rsidRPr="00344DFC">
        <w:rPr>
          <w:color w:val="000000"/>
        </w:rPr>
        <w:lastRenderedPageBreak/>
        <w:t xml:space="preserve">genes overlap with those also implicated in monogenic diabetes, including </w:t>
      </w:r>
      <w:r w:rsidRPr="00344DFC">
        <w:rPr>
          <w:i/>
          <w:color w:val="000000"/>
        </w:rPr>
        <w:t>KCNJ11</w:t>
      </w:r>
      <w:r w:rsidRPr="00344DFC">
        <w:rPr>
          <w:color w:val="000000"/>
        </w:rPr>
        <w:t xml:space="preserve"> and </w:t>
      </w:r>
      <w:r w:rsidRPr="00344DFC">
        <w:rPr>
          <w:i/>
          <w:color w:val="000000"/>
        </w:rPr>
        <w:t xml:space="preserve">ABCC8 </w:t>
      </w:r>
      <w:r w:rsidR="009E2A1E" w:rsidRPr="00344DFC">
        <w:rPr>
          <w:noProof/>
          <w:color w:val="000000"/>
        </w:rPr>
        <w:t>(Hani et al., 1998</w:t>
      </w:r>
      <w:r w:rsidR="00E02934" w:rsidRPr="00344DFC">
        <w:rPr>
          <w:noProof/>
          <w:color w:val="000000"/>
        </w:rPr>
        <w:t>; Florez et al., 2004</w:t>
      </w:r>
      <w:r w:rsidR="009E2A1E" w:rsidRPr="00344DFC">
        <w:rPr>
          <w:noProof/>
          <w:color w:val="000000"/>
        </w:rPr>
        <w:t>)</w:t>
      </w:r>
      <w:r w:rsidRPr="00344DFC">
        <w:rPr>
          <w:color w:val="000000"/>
        </w:rPr>
        <w:t>.</w:t>
      </w:r>
      <w:r w:rsidR="0059326A" w:rsidRPr="00344DFC">
        <w:rPr>
          <w:color w:val="000000"/>
        </w:rPr>
        <w:t xml:space="preserve"> H</w:t>
      </w:r>
      <w:r w:rsidRPr="00344DFC">
        <w:rPr>
          <w:color w:val="000000"/>
        </w:rPr>
        <w:t xml:space="preserve">owever, most forms of monogenic DM are caused by rare coding variants, whereas the majority of mutations implicated in T2D are common non-coding variants </w:t>
      </w:r>
      <w:r w:rsidR="009E2A1E" w:rsidRPr="00344DFC">
        <w:rPr>
          <w:noProof/>
          <w:color w:val="000000"/>
        </w:rPr>
        <w:t>(Fuchsberger et al., 2016)</w:t>
      </w:r>
      <w:r w:rsidRPr="00344DFC">
        <w:rPr>
          <w:color w:val="000000"/>
        </w:rPr>
        <w:t>.</w:t>
      </w:r>
      <w:r w:rsidR="00476F12" w:rsidRPr="00344DFC">
        <w:rPr>
          <w:color w:val="000000"/>
        </w:rPr>
        <w:t xml:space="preserve"> </w:t>
      </w:r>
      <w:r w:rsidRPr="00344DFC">
        <w:t>There is minimal overlap between the variants identified for T1D and T2D</w:t>
      </w:r>
      <w:r w:rsidR="00BC6DFE" w:rsidRPr="00344DFC">
        <w:t>, h</w:t>
      </w:r>
      <w:r w:rsidRPr="00344DFC">
        <w:t xml:space="preserve">owever, beta cell fragility has been proposed as a common risk factor in both diseases, on the basis of genetic and epidemiological data, as well as laboratory animal models </w:t>
      </w:r>
      <w:r w:rsidR="009E2A1E" w:rsidRPr="00344DFC">
        <w:rPr>
          <w:noProof/>
        </w:rPr>
        <w:t>(Dooley et al., 2016; Liston et al., 2017)</w:t>
      </w:r>
      <w:r w:rsidRPr="00344DFC">
        <w:t xml:space="preserve">. </w:t>
      </w:r>
    </w:p>
    <w:p w14:paraId="3EC636FB" w14:textId="77777777" w:rsidR="00201A5D" w:rsidRPr="00344DFC" w:rsidRDefault="00201A5D" w:rsidP="00344DFC">
      <w:pPr>
        <w:spacing w:line="480" w:lineRule="auto"/>
        <w:ind w:firstLine="720"/>
        <w:contextualSpacing/>
        <w:rPr>
          <w:i/>
          <w:color w:val="000000"/>
        </w:rPr>
      </w:pPr>
    </w:p>
    <w:p w14:paraId="5537FFF8" w14:textId="07C23C0E" w:rsidR="00201A5D" w:rsidRPr="00344DFC" w:rsidRDefault="00714847" w:rsidP="00344DFC">
      <w:pPr>
        <w:spacing w:line="480" w:lineRule="auto"/>
        <w:contextualSpacing/>
        <w:rPr>
          <w:i/>
        </w:rPr>
      </w:pPr>
      <w:r w:rsidRPr="00344DFC">
        <w:rPr>
          <w:i/>
        </w:rPr>
        <w:t xml:space="preserve">The </w:t>
      </w:r>
      <w:r w:rsidR="00325EDE" w:rsidRPr="00344DFC">
        <w:rPr>
          <w:i/>
        </w:rPr>
        <w:t xml:space="preserve">genetics of human </w:t>
      </w:r>
      <w:r w:rsidR="00201A5D" w:rsidRPr="00344DFC">
        <w:rPr>
          <w:i/>
        </w:rPr>
        <w:t>LADA</w:t>
      </w:r>
    </w:p>
    <w:p w14:paraId="60639D31" w14:textId="0D680255" w:rsidR="00201A5D" w:rsidRPr="00344DFC" w:rsidRDefault="00201A5D" w:rsidP="00344DFC">
      <w:pPr>
        <w:spacing w:line="480" w:lineRule="auto"/>
        <w:ind w:firstLine="720"/>
        <w:contextualSpacing/>
      </w:pPr>
      <w:r w:rsidRPr="00344DFC">
        <w:t>Latent autoimmune diabetes of adult</w:t>
      </w:r>
      <w:r w:rsidR="00322505">
        <w:t>hood</w:t>
      </w:r>
      <w:r w:rsidRPr="00344DFC">
        <w:t xml:space="preserve"> (LADA) shows similarities with both T1D and T2D, leading to the</w:t>
      </w:r>
      <w:r w:rsidR="00030156" w:rsidRPr="00344DFC">
        <w:t xml:space="preserve"> proposal of the</w:t>
      </w:r>
      <w:r w:rsidRPr="00344DFC">
        <w:t xml:space="preserve"> alternative name </w:t>
      </w:r>
      <w:r w:rsidR="00030156" w:rsidRPr="00344DFC">
        <w:t>‘</w:t>
      </w:r>
      <w:r w:rsidRPr="00344DFC">
        <w:t>Type 1.5 DM</w:t>
      </w:r>
      <w:r w:rsidR="00322505">
        <w:t>’</w:t>
      </w:r>
      <w:r w:rsidRPr="00344DFC">
        <w:t xml:space="preserve">. LADA patients are seropositive for at least one of the four autoantibodies commonly found in T1D, however, the more protracted course of beta cell destruction and delayed requirement for insulin therapy mean they often present at an age typically associated with T2D </w:t>
      </w:r>
      <w:r w:rsidR="009E2A1E" w:rsidRPr="00344DFC">
        <w:rPr>
          <w:noProof/>
        </w:rPr>
        <w:t>(O’Neal et al., 2016)</w:t>
      </w:r>
      <w:r w:rsidRPr="00344DFC">
        <w:t>. The genetics of LADA show overlap wi</w:t>
      </w:r>
      <w:r w:rsidRPr="00D75E08">
        <w:rPr>
          <w:color w:val="000000" w:themeColor="text1"/>
        </w:rPr>
        <w:t xml:space="preserve">th T1D </w:t>
      </w:r>
      <w:r w:rsidR="009E2A1E" w:rsidRPr="00D75E08">
        <w:rPr>
          <w:noProof/>
          <w:color w:val="000000" w:themeColor="text1"/>
        </w:rPr>
        <w:t>(Palmer et al., 2005)</w:t>
      </w:r>
      <w:r w:rsidRPr="00D75E08">
        <w:rPr>
          <w:color w:val="000000" w:themeColor="text1"/>
        </w:rPr>
        <w:t xml:space="preserve">, and to a lesser extent with T2D </w:t>
      </w:r>
      <w:r w:rsidR="009E2A1E" w:rsidRPr="00D75E08">
        <w:rPr>
          <w:noProof/>
          <w:color w:val="000000" w:themeColor="text1"/>
        </w:rPr>
        <w:t>(</w:t>
      </w:r>
      <w:r w:rsidR="00971874" w:rsidRPr="00D75E08">
        <w:rPr>
          <w:noProof/>
          <w:color w:val="000000" w:themeColor="text1"/>
        </w:rPr>
        <w:t xml:space="preserve">Cervin et al., 2008; </w:t>
      </w:r>
      <w:r w:rsidR="009E2A1E" w:rsidRPr="00D75E08">
        <w:rPr>
          <w:noProof/>
          <w:color w:val="000000" w:themeColor="text1"/>
        </w:rPr>
        <w:t>Andersen et al., 2010)</w:t>
      </w:r>
      <w:r w:rsidRPr="00D75E08">
        <w:rPr>
          <w:color w:val="000000" w:themeColor="text1"/>
        </w:rPr>
        <w:t xml:space="preserve">. For example, variation in the VNTR </w:t>
      </w:r>
      <w:r w:rsidR="003C5606" w:rsidRPr="00D75E08">
        <w:rPr>
          <w:color w:val="000000" w:themeColor="text1"/>
        </w:rPr>
        <w:t xml:space="preserve">of the insulin gene </w:t>
      </w:r>
      <w:r w:rsidRPr="00D75E08">
        <w:rPr>
          <w:color w:val="000000" w:themeColor="text1"/>
        </w:rPr>
        <w:t>has been found to influen</w:t>
      </w:r>
      <w:r w:rsidRPr="00344DFC">
        <w:t xml:space="preserve">ce susceptibility to LADA, as it does for T1D </w:t>
      </w:r>
      <w:r w:rsidR="009E2A1E" w:rsidRPr="00344DFC">
        <w:rPr>
          <w:noProof/>
        </w:rPr>
        <w:t>(Desai et al., 2006)</w:t>
      </w:r>
      <w:r w:rsidRPr="00344DFC">
        <w:t xml:space="preserve">, while T2D-associated variants in the </w:t>
      </w:r>
      <w:r w:rsidRPr="00344DFC">
        <w:rPr>
          <w:i/>
        </w:rPr>
        <w:t>TCF7L2</w:t>
      </w:r>
      <w:r w:rsidRPr="00344DFC">
        <w:t xml:space="preserve"> gene were found to be increased in LADA patients to the same degree as in T2D patients </w:t>
      </w:r>
      <w:r w:rsidR="009E2A1E" w:rsidRPr="00344DFC">
        <w:rPr>
          <w:noProof/>
        </w:rPr>
        <w:t>(Cervin et al., 2008)</w:t>
      </w:r>
      <w:r w:rsidRPr="00344DFC">
        <w:t xml:space="preserve">. </w:t>
      </w:r>
      <w:r w:rsidRPr="00344DFC">
        <w:rPr>
          <w:color w:val="000000"/>
        </w:rPr>
        <w:t xml:space="preserve">Similarly, a recent GWAS of European LADA patients found that the strongest genetic risk for LADA correlated with those for T1D, but noted a weaker correlation with T2D associations </w:t>
      </w:r>
      <w:r w:rsidR="009E2A1E" w:rsidRPr="00344DFC">
        <w:rPr>
          <w:noProof/>
        </w:rPr>
        <w:t>(Cousminer et al., 2018)</w:t>
      </w:r>
      <w:r w:rsidRPr="00344DFC">
        <w:t xml:space="preserve">. </w:t>
      </w:r>
    </w:p>
    <w:p w14:paraId="6892414E" w14:textId="77777777" w:rsidR="00201A5D" w:rsidRPr="00344DFC" w:rsidRDefault="00201A5D" w:rsidP="00344DFC">
      <w:pPr>
        <w:spacing w:line="480" w:lineRule="auto"/>
        <w:contextualSpacing/>
      </w:pPr>
    </w:p>
    <w:p w14:paraId="4DE04BBD" w14:textId="353E7CB0" w:rsidR="00797E36" w:rsidRPr="00344DFC" w:rsidRDefault="00201A5D" w:rsidP="00344DFC">
      <w:pPr>
        <w:spacing w:line="480" w:lineRule="auto"/>
        <w:contextualSpacing/>
        <w:rPr>
          <w:b/>
        </w:rPr>
      </w:pPr>
      <w:r w:rsidRPr="00344DFC">
        <w:rPr>
          <w:b/>
        </w:rPr>
        <w:t xml:space="preserve">Genetics of </w:t>
      </w:r>
      <w:r w:rsidR="00325EDE" w:rsidRPr="00344DFC">
        <w:rPr>
          <w:b/>
        </w:rPr>
        <w:t>d</w:t>
      </w:r>
      <w:r w:rsidR="00325EDE">
        <w:rPr>
          <w:b/>
        </w:rPr>
        <w:t>iabetes mellitus</w:t>
      </w:r>
      <w:r w:rsidR="00325EDE" w:rsidRPr="00344DFC">
        <w:rPr>
          <w:b/>
        </w:rPr>
        <w:t xml:space="preserve"> in dogs</w:t>
      </w:r>
    </w:p>
    <w:p w14:paraId="30C67BE9" w14:textId="30AC2A4C" w:rsidR="00DD107B" w:rsidRPr="00344DFC" w:rsidRDefault="00797E36" w:rsidP="00344DFC">
      <w:pPr>
        <w:spacing w:line="480" w:lineRule="auto"/>
        <w:ind w:firstLine="720"/>
        <w:contextualSpacing/>
      </w:pPr>
      <w:r w:rsidRPr="00ED3D97">
        <w:rPr>
          <w:color w:val="000000" w:themeColor="text1"/>
        </w:rPr>
        <w:lastRenderedPageBreak/>
        <w:t xml:space="preserve">Published research into the genetics of canine DM has, to date, mostly been limited to </w:t>
      </w:r>
      <w:r w:rsidR="004C16B3" w:rsidRPr="00ED3D97">
        <w:rPr>
          <w:color w:val="000000" w:themeColor="text1"/>
        </w:rPr>
        <w:t xml:space="preserve">functional </w:t>
      </w:r>
      <w:r w:rsidRPr="00ED3D97">
        <w:rPr>
          <w:color w:val="000000" w:themeColor="text1"/>
        </w:rPr>
        <w:t>candidate gene studies</w:t>
      </w:r>
      <w:r w:rsidRPr="00344DFC">
        <w:t>, with a case:control design</w:t>
      </w:r>
      <w:r w:rsidR="00A173A6" w:rsidRPr="00344DFC">
        <w:t xml:space="preserve"> within certain breeds</w:t>
      </w:r>
      <w:r w:rsidRPr="00344DFC">
        <w:t xml:space="preserve">, based on evaluating genes implicated in human T1D and monogenic diabetes </w:t>
      </w:r>
      <w:r w:rsidR="009E2A1E" w:rsidRPr="00344DFC">
        <w:rPr>
          <w:noProof/>
        </w:rPr>
        <w:t>(Short et al., 2014)</w:t>
      </w:r>
      <w:r w:rsidRPr="00344DFC">
        <w:t>.</w:t>
      </w:r>
      <w:r w:rsidR="003754DD" w:rsidRPr="00344DFC">
        <w:t xml:space="preserve"> In many cases, diabetic dogs from multiple breeds have been studied together, often due to small sample numbers, relying on </w:t>
      </w:r>
      <w:r w:rsidR="00A173A6" w:rsidRPr="00344DFC">
        <w:t xml:space="preserve">an </w:t>
      </w:r>
      <w:r w:rsidR="003754DD" w:rsidRPr="00344DFC">
        <w:t>assumption</w:t>
      </w:r>
      <w:r w:rsidR="00A173A6" w:rsidRPr="00344DFC">
        <w:t>, which may be incorrect,</w:t>
      </w:r>
      <w:r w:rsidR="003754DD" w:rsidRPr="00344DFC">
        <w:t xml:space="preserve"> that there is little disease heterogeneity between breeds. </w:t>
      </w:r>
      <w:r w:rsidR="00A173A6" w:rsidRPr="00344DFC">
        <w:t>Nonetheless</w:t>
      </w:r>
      <w:r w:rsidR="003754DD" w:rsidRPr="00344DFC">
        <w:t xml:space="preserve">, these studies have </w:t>
      </w:r>
      <w:r w:rsidR="00F6281D" w:rsidRPr="00344DFC">
        <w:t>identified</w:t>
      </w:r>
      <w:r w:rsidR="003754DD" w:rsidRPr="00344DFC">
        <w:t xml:space="preserve"> </w:t>
      </w:r>
      <w:r w:rsidR="0008726D" w:rsidRPr="00344DFC">
        <w:t>some important genes which may</w:t>
      </w:r>
      <w:r w:rsidR="00F6281D" w:rsidRPr="00344DFC">
        <w:t xml:space="preserve"> </w:t>
      </w:r>
      <w:r w:rsidR="0008726D" w:rsidRPr="00344DFC">
        <w:t>be</w:t>
      </w:r>
      <w:r w:rsidR="003754DD" w:rsidRPr="00344DFC">
        <w:t xml:space="preserve"> </w:t>
      </w:r>
      <w:r w:rsidR="00F6281D" w:rsidRPr="00344DFC">
        <w:t>significant</w:t>
      </w:r>
      <w:r w:rsidR="0008726D" w:rsidRPr="00344DFC">
        <w:t xml:space="preserve"> in </w:t>
      </w:r>
      <w:r w:rsidR="00F6281D" w:rsidRPr="00344DFC">
        <w:t xml:space="preserve">the aetiology of </w:t>
      </w:r>
      <w:r w:rsidR="003754DD" w:rsidRPr="00344DFC">
        <w:t>canine DM and pave the way for future studies.</w:t>
      </w:r>
      <w:r w:rsidRPr="00344DFC">
        <w:t xml:space="preserve"> </w:t>
      </w:r>
      <w:r w:rsidR="00114F5A" w:rsidRPr="00344DFC">
        <w:t>Fig</w:t>
      </w:r>
      <w:r w:rsidR="005B10B7" w:rsidRPr="00344DFC">
        <w:t>.</w:t>
      </w:r>
      <w:r w:rsidR="00114F5A" w:rsidRPr="00344DFC">
        <w:t xml:space="preserve"> 3</w:t>
      </w:r>
      <w:r w:rsidR="00C83D74" w:rsidRPr="00344DFC">
        <w:t xml:space="preserve"> </w:t>
      </w:r>
      <w:r w:rsidR="00114F5A" w:rsidRPr="00344DFC">
        <w:t xml:space="preserve">illustrates some of the genes in which variants have been associated with canine DM, compared with selected genes implicated in the pathogenesis of human DM. </w:t>
      </w:r>
    </w:p>
    <w:p w14:paraId="498C62D9" w14:textId="77777777" w:rsidR="00201A5D" w:rsidRPr="00344DFC" w:rsidRDefault="00201A5D" w:rsidP="00344DFC">
      <w:pPr>
        <w:spacing w:line="480" w:lineRule="auto"/>
        <w:contextualSpacing/>
        <w:rPr>
          <w:b/>
          <w:i/>
        </w:rPr>
      </w:pPr>
      <w:r w:rsidRPr="00344DFC">
        <w:rPr>
          <w:i/>
        </w:rPr>
        <w:tab/>
      </w:r>
    </w:p>
    <w:p w14:paraId="29B90A6E" w14:textId="37A19F31" w:rsidR="00201A5D" w:rsidRPr="00344DFC" w:rsidRDefault="00612620" w:rsidP="00344DFC">
      <w:pPr>
        <w:spacing w:line="480" w:lineRule="auto"/>
        <w:contextualSpacing/>
        <w:rPr>
          <w:i/>
        </w:rPr>
      </w:pPr>
      <w:r>
        <w:rPr>
          <w:i/>
        </w:rPr>
        <w:t xml:space="preserve">The </w:t>
      </w:r>
      <w:r w:rsidR="00325EDE">
        <w:rPr>
          <w:i/>
        </w:rPr>
        <w:t>major histocompatibility c</w:t>
      </w:r>
      <w:r w:rsidR="00325EDE" w:rsidRPr="00344DFC">
        <w:rPr>
          <w:i/>
        </w:rPr>
        <w:t xml:space="preserve">omplex </w:t>
      </w:r>
      <w:r w:rsidR="00201A5D" w:rsidRPr="00344DFC">
        <w:rPr>
          <w:i/>
        </w:rPr>
        <w:t>(MHC)</w:t>
      </w:r>
    </w:p>
    <w:p w14:paraId="3AD1F182" w14:textId="0E68F985" w:rsidR="00201A5D" w:rsidRPr="00344DFC" w:rsidRDefault="00201A5D" w:rsidP="00344DFC">
      <w:pPr>
        <w:spacing w:line="480" w:lineRule="auto"/>
        <w:ind w:firstLine="720"/>
        <w:contextualSpacing/>
      </w:pPr>
      <w:r w:rsidRPr="00344DFC">
        <w:t xml:space="preserve">Since the MHC is such an important risk factor in T1D, </w:t>
      </w:r>
      <w:r w:rsidRPr="00344DFC">
        <w:rPr>
          <w:color w:val="000000"/>
        </w:rPr>
        <w:t xml:space="preserve">finding an association of particular DLA </w:t>
      </w:r>
      <w:r w:rsidRPr="00344DFC">
        <w:t xml:space="preserve"> (Dog Leucocyte Antigen) </w:t>
      </w:r>
      <w:r w:rsidRPr="00344DFC">
        <w:rPr>
          <w:color w:val="000000"/>
        </w:rPr>
        <w:t>types with canine DM would support a role for the adaptive immune response in development of the canine di</w:t>
      </w:r>
      <w:r w:rsidRPr="00304C13">
        <w:rPr>
          <w:color w:val="000000" w:themeColor="text1"/>
        </w:rPr>
        <w:t>sease. Thus, the first</w:t>
      </w:r>
      <w:r w:rsidR="004C16B3" w:rsidRPr="00304C13">
        <w:rPr>
          <w:color w:val="000000" w:themeColor="text1"/>
        </w:rPr>
        <w:t xml:space="preserve"> functional</w:t>
      </w:r>
      <w:r w:rsidRPr="00304C13">
        <w:rPr>
          <w:color w:val="000000" w:themeColor="text1"/>
        </w:rPr>
        <w:t xml:space="preserve"> candidate gene studies in canine DM focussed on the DLA genes, encoding canine MHC Class II (</w:t>
      </w:r>
      <w:r w:rsidR="00D72680" w:rsidRPr="00304C13">
        <w:rPr>
          <w:color w:val="000000" w:themeColor="text1"/>
        </w:rPr>
        <w:t xml:space="preserve">Fig. </w:t>
      </w:r>
      <w:r w:rsidR="000D2040" w:rsidRPr="00304C13">
        <w:rPr>
          <w:color w:val="000000" w:themeColor="text1"/>
        </w:rPr>
        <w:t>2</w:t>
      </w:r>
      <w:r w:rsidR="00304C13">
        <w:rPr>
          <w:color w:val="000000" w:themeColor="text1"/>
        </w:rPr>
        <w:t xml:space="preserve"> and</w:t>
      </w:r>
      <w:r w:rsidRPr="00304C13">
        <w:rPr>
          <w:color w:val="000000" w:themeColor="text1"/>
        </w:rPr>
        <w:t xml:space="preserve"> </w:t>
      </w:r>
      <w:r w:rsidR="00C83D74" w:rsidRPr="00304C13">
        <w:rPr>
          <w:color w:val="000000" w:themeColor="text1"/>
        </w:rPr>
        <w:t>4</w:t>
      </w:r>
      <w:r w:rsidR="00030156" w:rsidRPr="00304C13">
        <w:rPr>
          <w:color w:val="000000" w:themeColor="text1"/>
        </w:rPr>
        <w:t>)</w:t>
      </w:r>
      <w:r w:rsidRPr="00304C13">
        <w:rPr>
          <w:color w:val="000000" w:themeColor="text1"/>
        </w:rPr>
        <w:t xml:space="preserve"> found on canine chromosome 12. T</w:t>
      </w:r>
      <w:r w:rsidRPr="00344DFC">
        <w:t xml:space="preserve">hrough DLA typing of a wide range of breeds, DLA class II alleles and haplotypes have been found to show restricted diversity within dog breeds, but wide variation among breeds </w:t>
      </w:r>
      <w:r w:rsidR="009E2A1E" w:rsidRPr="00344DFC">
        <w:rPr>
          <w:noProof/>
        </w:rPr>
        <w:t>(</w:t>
      </w:r>
      <w:r w:rsidR="00971874" w:rsidRPr="00344DFC">
        <w:rPr>
          <w:noProof/>
        </w:rPr>
        <w:t xml:space="preserve">Kennedy et al., 2002; </w:t>
      </w:r>
      <w:r w:rsidR="009E2A1E" w:rsidRPr="00344DFC">
        <w:rPr>
          <w:noProof/>
        </w:rPr>
        <w:t>Angles et al., 2005)</w:t>
      </w:r>
      <w:r w:rsidRPr="00344DFC">
        <w:t>. This restricted MHC diversity in particular dog breeds</w:t>
      </w:r>
      <w:r w:rsidR="00A173A6" w:rsidRPr="00344DFC">
        <w:t xml:space="preserve"> is likely to</w:t>
      </w:r>
      <w:r w:rsidRPr="00344DFC">
        <w:t xml:space="preserve"> impact the immune repertoire</w:t>
      </w:r>
      <w:r w:rsidR="00A173A6" w:rsidRPr="00344DFC">
        <w:t xml:space="preserve"> within each breed </w:t>
      </w:r>
      <w:r w:rsidRPr="00344DFC">
        <w:t xml:space="preserve">by influencing thymic T cell development, as well as antigen presentation to naïve T cells in secondary lymphoid tissues. </w:t>
      </w:r>
    </w:p>
    <w:p w14:paraId="232AD003" w14:textId="77777777" w:rsidR="00B63BCE" w:rsidRPr="00EF11BB" w:rsidRDefault="00B63BCE" w:rsidP="00344DFC">
      <w:pPr>
        <w:spacing w:line="480" w:lineRule="auto"/>
        <w:ind w:firstLine="720"/>
        <w:contextualSpacing/>
        <w:rPr>
          <w:color w:val="000000" w:themeColor="text1"/>
        </w:rPr>
      </w:pPr>
    </w:p>
    <w:p w14:paraId="3C7AB704" w14:textId="63A3389A" w:rsidR="00201A5D" w:rsidRPr="00344DFC" w:rsidRDefault="00201A5D" w:rsidP="00344DFC">
      <w:pPr>
        <w:spacing w:line="480" w:lineRule="auto"/>
        <w:ind w:firstLine="720"/>
        <w:contextualSpacing/>
      </w:pPr>
      <w:r w:rsidRPr="00EF11BB">
        <w:rPr>
          <w:color w:val="000000" w:themeColor="text1"/>
        </w:rPr>
        <w:t xml:space="preserve">Sequence-based typing of exon </w:t>
      </w:r>
      <w:r w:rsidR="00EF660E" w:rsidRPr="00EF11BB">
        <w:rPr>
          <w:color w:val="000000" w:themeColor="text1"/>
        </w:rPr>
        <w:t>two</w:t>
      </w:r>
      <w:r w:rsidRPr="00EF11BB">
        <w:rPr>
          <w:color w:val="000000" w:themeColor="text1"/>
        </w:rPr>
        <w:t xml:space="preserve"> (which encodes the peptide-binding groove of the MHC molecule) of the Class II DLA genes, has identified </w:t>
      </w:r>
      <w:r w:rsidR="00EF660E" w:rsidRPr="00EF11BB">
        <w:rPr>
          <w:color w:val="000000" w:themeColor="text1"/>
        </w:rPr>
        <w:t>three</w:t>
      </w:r>
      <w:r w:rsidRPr="00EF11BB">
        <w:rPr>
          <w:color w:val="000000" w:themeColor="text1"/>
        </w:rPr>
        <w:t xml:space="preserve"> DLA-DRB</w:t>
      </w:r>
      <w:r w:rsidR="008338E6" w:rsidRPr="00EF11BB">
        <w:rPr>
          <w:color w:val="000000" w:themeColor="text1"/>
        </w:rPr>
        <w:t>--</w:t>
      </w:r>
      <w:r w:rsidRPr="00EF11BB">
        <w:rPr>
          <w:color w:val="000000" w:themeColor="text1"/>
        </w:rPr>
        <w:t>DQA</w:t>
      </w:r>
      <w:r w:rsidR="008338E6" w:rsidRPr="00EF11BB">
        <w:rPr>
          <w:color w:val="000000" w:themeColor="text1"/>
        </w:rPr>
        <w:t>--</w:t>
      </w:r>
      <w:r w:rsidRPr="00EF11BB">
        <w:rPr>
          <w:color w:val="000000" w:themeColor="text1"/>
        </w:rPr>
        <w:t>DQB haplotypes present at increased frequency in the diabetic dog popula</w:t>
      </w:r>
      <w:r w:rsidRPr="00344DFC">
        <w:rPr>
          <w:color w:val="000000"/>
        </w:rPr>
        <w:t xml:space="preserve">tion, when comparing the </w:t>
      </w:r>
      <w:r w:rsidRPr="00344DFC">
        <w:rPr>
          <w:color w:val="000000"/>
        </w:rPr>
        <w:lastRenderedPageBreak/>
        <w:t>genot</w:t>
      </w:r>
      <w:r w:rsidRPr="0032487D">
        <w:rPr>
          <w:color w:val="000000" w:themeColor="text1"/>
        </w:rPr>
        <w:t xml:space="preserve">ypes of 460 diabetic dogs to 1,047 non-diabetic controls (Table </w:t>
      </w:r>
      <w:r w:rsidR="003C78BA" w:rsidRPr="0032487D">
        <w:rPr>
          <w:color w:val="000000" w:themeColor="text1"/>
        </w:rPr>
        <w:t>1</w:t>
      </w:r>
      <w:r w:rsidRPr="0032487D">
        <w:rPr>
          <w:color w:val="000000" w:themeColor="text1"/>
        </w:rPr>
        <w:t xml:space="preserve">) </w:t>
      </w:r>
      <w:r w:rsidR="009E2A1E" w:rsidRPr="0032487D">
        <w:rPr>
          <w:noProof/>
          <w:color w:val="000000" w:themeColor="text1"/>
        </w:rPr>
        <w:t>(Kennedy et al., 2006)</w:t>
      </w:r>
      <w:r w:rsidRPr="0032487D">
        <w:rPr>
          <w:color w:val="000000" w:themeColor="text1"/>
        </w:rPr>
        <w:t>.</w:t>
      </w:r>
      <w:r w:rsidR="008B5A97" w:rsidRPr="0032487D">
        <w:rPr>
          <w:color w:val="000000" w:themeColor="text1"/>
        </w:rPr>
        <w:t xml:space="preserve"> </w:t>
      </w:r>
      <w:r w:rsidR="00E01766" w:rsidRPr="0032487D">
        <w:rPr>
          <w:color w:val="000000" w:themeColor="text1"/>
        </w:rPr>
        <w:t>D</w:t>
      </w:r>
      <w:r w:rsidR="00AB4BED" w:rsidRPr="0032487D">
        <w:rPr>
          <w:color w:val="000000" w:themeColor="text1"/>
        </w:rPr>
        <w:t xml:space="preserve">ogs from a wide range of breeds were </w:t>
      </w:r>
      <w:r w:rsidR="00E01766" w:rsidRPr="0032487D">
        <w:rPr>
          <w:color w:val="000000" w:themeColor="text1"/>
        </w:rPr>
        <w:t>combined for</w:t>
      </w:r>
      <w:r w:rsidR="00AB4BED" w:rsidRPr="0032487D">
        <w:rPr>
          <w:color w:val="000000" w:themeColor="text1"/>
        </w:rPr>
        <w:t xml:space="preserve"> this analysis</w:t>
      </w:r>
      <w:r w:rsidR="008B5A97" w:rsidRPr="0032487D">
        <w:rPr>
          <w:color w:val="000000" w:themeColor="text1"/>
        </w:rPr>
        <w:t xml:space="preserve">, </w:t>
      </w:r>
      <w:r w:rsidR="00E01766" w:rsidRPr="0032487D">
        <w:rPr>
          <w:color w:val="000000" w:themeColor="text1"/>
        </w:rPr>
        <w:t xml:space="preserve">therefore </w:t>
      </w:r>
      <w:r w:rsidR="008B5A97" w:rsidRPr="0032487D">
        <w:rPr>
          <w:color w:val="000000" w:themeColor="text1"/>
        </w:rPr>
        <w:t xml:space="preserve">the association of these three </w:t>
      </w:r>
      <w:r w:rsidR="00E01766" w:rsidRPr="0032487D">
        <w:rPr>
          <w:color w:val="000000" w:themeColor="text1"/>
        </w:rPr>
        <w:t xml:space="preserve">DLA </w:t>
      </w:r>
      <w:r w:rsidR="008B5A97" w:rsidRPr="0032487D">
        <w:rPr>
          <w:color w:val="000000" w:themeColor="text1"/>
        </w:rPr>
        <w:t>haplotypes with</w:t>
      </w:r>
      <w:r w:rsidR="00AB4BED" w:rsidRPr="0032487D">
        <w:rPr>
          <w:color w:val="000000" w:themeColor="text1"/>
        </w:rPr>
        <w:t xml:space="preserve"> canine</w:t>
      </w:r>
      <w:r w:rsidR="00C665CF" w:rsidRPr="0032487D">
        <w:rPr>
          <w:color w:val="000000" w:themeColor="text1"/>
        </w:rPr>
        <w:t xml:space="preserve"> DM</w:t>
      </w:r>
      <w:r w:rsidR="008B5A97" w:rsidRPr="0032487D">
        <w:rPr>
          <w:color w:val="000000" w:themeColor="text1"/>
        </w:rPr>
        <w:t xml:space="preserve"> suggested that they may represent ‘susceptibi</w:t>
      </w:r>
      <w:r w:rsidR="00C665CF" w:rsidRPr="0032487D">
        <w:rPr>
          <w:color w:val="000000" w:themeColor="text1"/>
        </w:rPr>
        <w:t>l</w:t>
      </w:r>
      <w:r w:rsidR="008B5A97" w:rsidRPr="0032487D">
        <w:rPr>
          <w:color w:val="000000" w:themeColor="text1"/>
        </w:rPr>
        <w:t>ity’ haplotypes</w:t>
      </w:r>
      <w:r w:rsidR="00E01766" w:rsidRPr="0032487D">
        <w:rPr>
          <w:color w:val="000000" w:themeColor="text1"/>
        </w:rPr>
        <w:t xml:space="preserve"> across several breeds</w:t>
      </w:r>
      <w:r w:rsidR="008B5A97" w:rsidRPr="0032487D">
        <w:rPr>
          <w:color w:val="000000" w:themeColor="text1"/>
        </w:rPr>
        <w:t>.</w:t>
      </w:r>
      <w:r w:rsidR="00E01766" w:rsidRPr="0032487D">
        <w:rPr>
          <w:color w:val="000000" w:themeColor="text1"/>
        </w:rPr>
        <w:t xml:space="preserve"> However, the statistical analysis may not have </w:t>
      </w:r>
      <w:r w:rsidR="007F14D7" w:rsidRPr="0032487D">
        <w:rPr>
          <w:color w:val="000000" w:themeColor="text1"/>
        </w:rPr>
        <w:t xml:space="preserve">compensated for analysis of multiple haplotypes within this population and the P-values stated may be </w:t>
      </w:r>
      <w:r w:rsidR="00277DEC" w:rsidRPr="0032487D">
        <w:rPr>
          <w:color w:val="000000" w:themeColor="text1"/>
        </w:rPr>
        <w:t>higher</w:t>
      </w:r>
      <w:r w:rsidR="007F14D7" w:rsidRPr="0032487D">
        <w:rPr>
          <w:color w:val="000000" w:themeColor="text1"/>
        </w:rPr>
        <w:t xml:space="preserve"> when corrected for multiple testing.</w:t>
      </w:r>
      <w:r w:rsidR="008B5A97" w:rsidRPr="0032487D">
        <w:rPr>
          <w:color w:val="000000" w:themeColor="text1"/>
        </w:rPr>
        <w:t xml:space="preserve"> </w:t>
      </w:r>
      <w:r w:rsidR="00152264" w:rsidRPr="0032487D">
        <w:rPr>
          <w:color w:val="000000" w:themeColor="text1"/>
        </w:rPr>
        <w:t>T</w:t>
      </w:r>
      <w:r w:rsidR="008B5A97" w:rsidRPr="0032487D">
        <w:rPr>
          <w:color w:val="000000" w:themeColor="text1"/>
        </w:rPr>
        <w:t>he authors went on to examine assoc</w:t>
      </w:r>
      <w:r w:rsidR="00AB4BED" w:rsidRPr="0032487D">
        <w:rPr>
          <w:color w:val="000000" w:themeColor="text1"/>
        </w:rPr>
        <w:t>i</w:t>
      </w:r>
      <w:r w:rsidR="008B5A97" w:rsidRPr="0032487D">
        <w:rPr>
          <w:color w:val="000000" w:themeColor="text1"/>
        </w:rPr>
        <w:t>ations of two-locus hapl</w:t>
      </w:r>
      <w:r w:rsidR="00C665CF" w:rsidRPr="0032487D">
        <w:rPr>
          <w:color w:val="000000" w:themeColor="text1"/>
        </w:rPr>
        <w:t>ot</w:t>
      </w:r>
      <w:r w:rsidR="008B5A97" w:rsidRPr="0032487D">
        <w:rPr>
          <w:color w:val="000000" w:themeColor="text1"/>
        </w:rPr>
        <w:t>ypes with DM in the population</w:t>
      </w:r>
      <w:r w:rsidR="00152264" w:rsidRPr="0032487D">
        <w:rPr>
          <w:color w:val="000000" w:themeColor="text1"/>
        </w:rPr>
        <w:t>, given that individual or pairs of loci may also influence disease risk</w:t>
      </w:r>
      <w:r w:rsidR="008B5A97" w:rsidRPr="0032487D">
        <w:rPr>
          <w:color w:val="000000" w:themeColor="text1"/>
        </w:rPr>
        <w:t xml:space="preserve">. </w:t>
      </w:r>
      <w:r w:rsidRPr="0032487D">
        <w:rPr>
          <w:color w:val="000000" w:themeColor="text1"/>
        </w:rPr>
        <w:t>On</w:t>
      </w:r>
      <w:r w:rsidRPr="00344DFC">
        <w:rPr>
          <w:color w:val="000000"/>
        </w:rPr>
        <w:t>e DLA-DQ haplotype (DQA1*004</w:t>
      </w:r>
      <w:r w:rsidR="008338E6" w:rsidRPr="00344DFC">
        <w:rPr>
          <w:color w:val="000000"/>
        </w:rPr>
        <w:t>--</w:t>
      </w:r>
      <w:r w:rsidRPr="00344DFC">
        <w:rPr>
          <w:color w:val="000000"/>
        </w:rPr>
        <w:t>DQB1*013) was found at lower frequency in diabetic dogs than controls, suggesting this may confer protection. Although there was insufficient power of the study to compare cases and controls within individual br</w:t>
      </w:r>
      <w:r w:rsidRPr="0032487D">
        <w:rPr>
          <w:color w:val="000000" w:themeColor="text1"/>
        </w:rPr>
        <w:t>eeds,</w:t>
      </w:r>
      <w:r w:rsidR="00E37B1B" w:rsidRPr="0032487D">
        <w:rPr>
          <w:color w:val="000000" w:themeColor="text1"/>
        </w:rPr>
        <w:t xml:space="preserve"> stratification of breeds </w:t>
      </w:r>
      <w:r w:rsidR="008B5A97" w:rsidRPr="0032487D">
        <w:rPr>
          <w:color w:val="000000" w:themeColor="text1"/>
        </w:rPr>
        <w:t>into ‘high’, ‘moderate’, ‘neutral’ and ‘low</w:t>
      </w:r>
      <w:r w:rsidR="00E37B1B" w:rsidRPr="0032487D">
        <w:rPr>
          <w:color w:val="000000" w:themeColor="text1"/>
        </w:rPr>
        <w:t>’</w:t>
      </w:r>
      <w:r w:rsidR="008B5A97" w:rsidRPr="0032487D">
        <w:rPr>
          <w:color w:val="000000" w:themeColor="text1"/>
        </w:rPr>
        <w:t xml:space="preserve"> risk categories</w:t>
      </w:r>
      <w:r w:rsidR="00C665CF" w:rsidRPr="0032487D">
        <w:rPr>
          <w:color w:val="000000" w:themeColor="text1"/>
        </w:rPr>
        <w:t>, based on the</w:t>
      </w:r>
      <w:r w:rsidR="008B5A97" w:rsidRPr="0032487D">
        <w:rPr>
          <w:color w:val="000000" w:themeColor="text1"/>
        </w:rPr>
        <w:t xml:space="preserve"> </w:t>
      </w:r>
      <w:r w:rsidR="00C665CF" w:rsidRPr="0032487D">
        <w:rPr>
          <w:color w:val="000000" w:themeColor="text1"/>
        </w:rPr>
        <w:t>calculated odds ratio for DM</w:t>
      </w:r>
      <w:r w:rsidR="00D2279A" w:rsidRPr="0032487D">
        <w:rPr>
          <w:color w:val="000000" w:themeColor="text1"/>
        </w:rPr>
        <w:t xml:space="preserve">, </w:t>
      </w:r>
      <w:r w:rsidR="008B5A97" w:rsidRPr="0032487D">
        <w:rPr>
          <w:color w:val="000000" w:themeColor="text1"/>
        </w:rPr>
        <w:t xml:space="preserve">was used to </w:t>
      </w:r>
      <w:r w:rsidR="00E37B1B" w:rsidRPr="0032487D">
        <w:rPr>
          <w:color w:val="000000" w:themeColor="text1"/>
        </w:rPr>
        <w:t>assess</w:t>
      </w:r>
      <w:r w:rsidR="008B5A97" w:rsidRPr="0032487D">
        <w:rPr>
          <w:color w:val="000000" w:themeColor="text1"/>
        </w:rPr>
        <w:t xml:space="preserve"> whether </w:t>
      </w:r>
      <w:r w:rsidR="00E37B1B" w:rsidRPr="0032487D">
        <w:rPr>
          <w:color w:val="000000" w:themeColor="text1"/>
        </w:rPr>
        <w:t>haplotypes would segregate with risk of DM</w:t>
      </w:r>
      <w:r w:rsidR="00152264" w:rsidRPr="0032487D">
        <w:rPr>
          <w:color w:val="000000" w:themeColor="text1"/>
        </w:rPr>
        <w:t xml:space="preserve">. </w:t>
      </w:r>
      <w:r w:rsidRPr="0032487D">
        <w:rPr>
          <w:color w:val="000000" w:themeColor="text1"/>
        </w:rPr>
        <w:t>DLA-DRB1*009</w:t>
      </w:r>
      <w:r w:rsidR="008338E6" w:rsidRPr="0032487D">
        <w:rPr>
          <w:color w:val="000000" w:themeColor="text1"/>
        </w:rPr>
        <w:t>--</w:t>
      </w:r>
      <w:r w:rsidRPr="0032487D">
        <w:rPr>
          <w:color w:val="000000" w:themeColor="text1"/>
        </w:rPr>
        <w:t>DQA1*001</w:t>
      </w:r>
      <w:r w:rsidR="00756A8E" w:rsidRPr="0032487D">
        <w:rPr>
          <w:color w:val="000000" w:themeColor="text1"/>
        </w:rPr>
        <w:t xml:space="preserve">, present in one of the </w:t>
      </w:r>
      <w:r w:rsidR="00FD1D29" w:rsidRPr="0032487D">
        <w:rPr>
          <w:color w:val="000000" w:themeColor="text1"/>
        </w:rPr>
        <w:t>three-locus</w:t>
      </w:r>
      <w:r w:rsidR="00756A8E" w:rsidRPr="0032487D">
        <w:rPr>
          <w:color w:val="000000" w:themeColor="text1"/>
        </w:rPr>
        <w:t xml:space="preserve"> ‘susceptibility’ haplotypes, </w:t>
      </w:r>
      <w:r w:rsidRPr="0032487D">
        <w:rPr>
          <w:color w:val="000000" w:themeColor="text1"/>
        </w:rPr>
        <w:t>w</w:t>
      </w:r>
      <w:r w:rsidR="00756A8E" w:rsidRPr="0032487D">
        <w:rPr>
          <w:color w:val="000000" w:themeColor="text1"/>
        </w:rPr>
        <w:t>as</w:t>
      </w:r>
      <w:r w:rsidRPr="0032487D">
        <w:rPr>
          <w:color w:val="000000" w:themeColor="text1"/>
        </w:rPr>
        <w:t xml:space="preserve"> found at high frequency in those breeds at greatest risk of DM (Samoyed, Cairn terrier and Tibetan terrier)</w:t>
      </w:r>
      <w:r w:rsidR="00756A8E" w:rsidRPr="0032487D">
        <w:rPr>
          <w:color w:val="000000" w:themeColor="text1"/>
        </w:rPr>
        <w:t xml:space="preserve"> but </w:t>
      </w:r>
      <w:r w:rsidRPr="0032487D">
        <w:rPr>
          <w:color w:val="000000" w:themeColor="text1"/>
        </w:rPr>
        <w:t>was absent from the low-risk breeds (Boxer, German Shepherd dog and Golden Retriever)</w:t>
      </w:r>
      <w:r w:rsidR="00FD1D29" w:rsidRPr="0032487D">
        <w:rPr>
          <w:color w:val="000000" w:themeColor="text1"/>
        </w:rPr>
        <w:t xml:space="preserve"> </w:t>
      </w:r>
      <w:r w:rsidR="00FD1D29" w:rsidRPr="0032487D">
        <w:rPr>
          <w:noProof/>
          <w:color w:val="000000" w:themeColor="text1"/>
        </w:rPr>
        <w:t>(Kennedy et al., 2006)</w:t>
      </w:r>
      <w:r w:rsidRPr="0032487D">
        <w:rPr>
          <w:color w:val="000000" w:themeColor="text1"/>
        </w:rPr>
        <w:t xml:space="preserve">. </w:t>
      </w:r>
      <w:r w:rsidR="00FD1D29" w:rsidRPr="0032487D">
        <w:rPr>
          <w:color w:val="000000" w:themeColor="text1"/>
        </w:rPr>
        <w:t xml:space="preserve">Another </w:t>
      </w:r>
      <w:r w:rsidRPr="0032487D">
        <w:rPr>
          <w:color w:val="000000" w:themeColor="text1"/>
        </w:rPr>
        <w:t xml:space="preserve">of the ‘high risk’ haplotypes </w:t>
      </w:r>
      <w:r w:rsidR="00FD1D29" w:rsidRPr="0032487D">
        <w:rPr>
          <w:color w:val="000000" w:themeColor="text1"/>
        </w:rPr>
        <w:t>(DRB1*015</w:t>
      </w:r>
      <w:r w:rsidR="00996710" w:rsidRPr="0032487D">
        <w:rPr>
          <w:color w:val="000000" w:themeColor="text1"/>
        </w:rPr>
        <w:t>--</w:t>
      </w:r>
      <w:r w:rsidR="00FD1D29" w:rsidRPr="0032487D">
        <w:rPr>
          <w:color w:val="000000" w:themeColor="text1"/>
        </w:rPr>
        <w:t>DQA1*006</w:t>
      </w:r>
      <w:r w:rsidR="00996710" w:rsidRPr="0032487D">
        <w:rPr>
          <w:color w:val="000000" w:themeColor="text1"/>
        </w:rPr>
        <w:t>--</w:t>
      </w:r>
      <w:r w:rsidR="00FD1D29" w:rsidRPr="0032487D">
        <w:rPr>
          <w:color w:val="000000" w:themeColor="text1"/>
        </w:rPr>
        <w:t xml:space="preserve">DQB1*023) </w:t>
      </w:r>
      <w:r w:rsidRPr="0032487D">
        <w:rPr>
          <w:color w:val="000000" w:themeColor="text1"/>
        </w:rPr>
        <w:t xml:space="preserve">was </w:t>
      </w:r>
      <w:r w:rsidR="00FD1D29" w:rsidRPr="0032487D">
        <w:rPr>
          <w:color w:val="000000" w:themeColor="text1"/>
        </w:rPr>
        <w:t xml:space="preserve">later </w:t>
      </w:r>
      <w:r w:rsidRPr="0032487D">
        <w:rPr>
          <w:color w:val="000000" w:themeColor="text1"/>
        </w:rPr>
        <w:t xml:space="preserve">found to be associated with development of anti-insulin antibodies, following initiation of insulin therapy </w:t>
      </w:r>
      <w:r w:rsidR="009E2A1E" w:rsidRPr="0032487D">
        <w:rPr>
          <w:noProof/>
          <w:color w:val="000000" w:themeColor="text1"/>
        </w:rPr>
        <w:t>(Holder et al., 2015)</w:t>
      </w:r>
      <w:r w:rsidRPr="0032487D">
        <w:rPr>
          <w:color w:val="000000" w:themeColor="text1"/>
        </w:rPr>
        <w:t xml:space="preserve">, suggesting a </w:t>
      </w:r>
      <w:r w:rsidRPr="00344DFC">
        <w:rPr>
          <w:color w:val="000000"/>
        </w:rPr>
        <w:t xml:space="preserve">role in presentation of this important pancreatic autoantigen. </w:t>
      </w:r>
    </w:p>
    <w:p w14:paraId="4ACBE992" w14:textId="77777777" w:rsidR="00201A5D" w:rsidRPr="00344DFC" w:rsidRDefault="00201A5D" w:rsidP="00344DFC">
      <w:pPr>
        <w:spacing w:line="480" w:lineRule="auto"/>
        <w:contextualSpacing/>
        <w:rPr>
          <w:color w:val="000000"/>
        </w:rPr>
      </w:pPr>
    </w:p>
    <w:p w14:paraId="2D5B84C9" w14:textId="253AEDBE" w:rsidR="00030156" w:rsidRPr="00344DFC" w:rsidRDefault="00201A5D" w:rsidP="00344DFC">
      <w:pPr>
        <w:spacing w:line="480" w:lineRule="auto"/>
        <w:ind w:firstLine="720"/>
        <w:contextualSpacing/>
        <w:rPr>
          <w:color w:val="000000"/>
        </w:rPr>
      </w:pPr>
      <w:r w:rsidRPr="00344DFC">
        <w:rPr>
          <w:color w:val="000000"/>
        </w:rPr>
        <w:t xml:space="preserve">Another study has suggested that the sequence-based typing approach may have identified associated, but not causative, polymorphisms </w:t>
      </w:r>
      <w:r w:rsidR="009E2A1E" w:rsidRPr="00344DFC">
        <w:rPr>
          <w:noProof/>
          <w:color w:val="000000"/>
        </w:rPr>
        <w:t>(Seddon et al., 2010)</w:t>
      </w:r>
      <w:r w:rsidRPr="00344DFC">
        <w:rPr>
          <w:color w:val="000000"/>
        </w:rPr>
        <w:t xml:space="preserve">. This study used SNP genotyping across a wider region of the DLA </w:t>
      </w:r>
      <w:r w:rsidR="00741597" w:rsidRPr="00344DFC">
        <w:rPr>
          <w:color w:val="000000"/>
        </w:rPr>
        <w:t>(</w:t>
      </w:r>
      <w:r w:rsidRPr="00344DFC">
        <w:rPr>
          <w:color w:val="000000"/>
        </w:rPr>
        <w:t>Seddon</w:t>
      </w:r>
      <w:r w:rsidR="00971874" w:rsidRPr="00344DFC">
        <w:rPr>
          <w:noProof/>
          <w:color w:val="000000"/>
        </w:rPr>
        <w:t xml:space="preserve"> et al.</w:t>
      </w:r>
      <w:r w:rsidR="00C37E0A" w:rsidRPr="00344DFC">
        <w:rPr>
          <w:noProof/>
          <w:color w:val="000000"/>
        </w:rPr>
        <w:t xml:space="preserve">, </w:t>
      </w:r>
      <w:r w:rsidRPr="00344DFC">
        <w:rPr>
          <w:color w:val="000000"/>
        </w:rPr>
        <w:t>2010</w:t>
      </w:r>
      <w:r w:rsidR="00741597" w:rsidRPr="00344DFC">
        <w:rPr>
          <w:color w:val="000000"/>
        </w:rPr>
        <w:t>)</w:t>
      </w:r>
      <w:r w:rsidRPr="00344DFC">
        <w:rPr>
          <w:color w:val="000000"/>
        </w:rPr>
        <w:t xml:space="preserve"> and identified an area of fixed differences between ‘susceptibility’ and ‘protective’ exon 2 haplotypes across </w:t>
      </w:r>
      <w:r w:rsidRPr="00344DFC">
        <w:rPr>
          <w:color w:val="000000"/>
        </w:rPr>
        <w:lastRenderedPageBreak/>
        <w:t xml:space="preserve">five SNPs, despite different DQA1 and DQB1 alleles. It was also noted that both protective and susceptibility haplotypes were found in diabetic dogs. </w:t>
      </w:r>
      <w:r w:rsidR="00030156" w:rsidRPr="00344DFC">
        <w:rPr>
          <w:color w:val="000000"/>
        </w:rPr>
        <w:t xml:space="preserve">Notably, the use of sequence-based typing methods have also been called into question by another study demonstrating that not all reported disease associations with DLA could be verified when an alternative SNP-genotyping method was used </w:t>
      </w:r>
      <w:r w:rsidR="00030156" w:rsidRPr="00344DFC">
        <w:rPr>
          <w:noProof/>
          <w:color w:val="000000"/>
        </w:rPr>
        <w:t>(Safra et al., 2011)</w:t>
      </w:r>
      <w:r w:rsidR="00030156" w:rsidRPr="00344DFC">
        <w:rPr>
          <w:color w:val="000000"/>
        </w:rPr>
        <w:t>.</w:t>
      </w:r>
    </w:p>
    <w:p w14:paraId="0FD5DB76" w14:textId="77777777" w:rsidR="00030156" w:rsidRPr="00344DFC" w:rsidRDefault="00030156" w:rsidP="00344DFC">
      <w:pPr>
        <w:spacing w:line="480" w:lineRule="auto"/>
        <w:ind w:firstLine="720"/>
        <w:contextualSpacing/>
        <w:rPr>
          <w:color w:val="000000"/>
        </w:rPr>
      </w:pPr>
    </w:p>
    <w:p w14:paraId="0BCC6D12" w14:textId="74E93E1F" w:rsidR="00201A5D" w:rsidRPr="00344DFC" w:rsidRDefault="00201A5D" w:rsidP="00344DFC">
      <w:pPr>
        <w:spacing w:line="480" w:lineRule="auto"/>
        <w:ind w:firstLine="720"/>
        <w:contextualSpacing/>
        <w:rPr>
          <w:color w:val="000000"/>
        </w:rPr>
      </w:pPr>
      <w:r w:rsidRPr="00344DFC">
        <w:rPr>
          <w:color w:val="000000"/>
        </w:rPr>
        <w:t xml:space="preserve">It is not just the </w:t>
      </w:r>
      <w:r w:rsidR="00030156" w:rsidRPr="00344DFC">
        <w:rPr>
          <w:color w:val="000000"/>
        </w:rPr>
        <w:t xml:space="preserve">MHC </w:t>
      </w:r>
      <w:r w:rsidRPr="00344DFC">
        <w:rPr>
          <w:color w:val="000000"/>
        </w:rPr>
        <w:t>hypervariable region that has been associated with canine DM risk. Genotyping the MHC promoter regions has identified four novel promoter alleles which were only seen in diabetic dogs, as well as a polymorphism in the X1 box</w:t>
      </w:r>
      <w:r w:rsidR="00312DE1" w:rsidRPr="00344DFC">
        <w:rPr>
          <w:color w:val="000000"/>
        </w:rPr>
        <w:t xml:space="preserve"> (a region upstream of the promoters which control the MHC gene expression)</w:t>
      </w:r>
      <w:r w:rsidRPr="00344DFC">
        <w:rPr>
          <w:color w:val="000000"/>
        </w:rPr>
        <w:t xml:space="preserve">, which might modify the expression pattern of the DQB1 haplotypes </w:t>
      </w:r>
      <w:r w:rsidR="009E2A1E" w:rsidRPr="00344DFC">
        <w:rPr>
          <w:noProof/>
          <w:color w:val="000000"/>
        </w:rPr>
        <w:t>(Seddon et al., 2010)</w:t>
      </w:r>
      <w:r w:rsidRPr="00344DFC">
        <w:rPr>
          <w:color w:val="000000"/>
        </w:rPr>
        <w:t xml:space="preserve">.  </w:t>
      </w:r>
    </w:p>
    <w:p w14:paraId="3C80F5A6" w14:textId="77777777" w:rsidR="00201A5D" w:rsidRPr="00344DFC" w:rsidRDefault="00201A5D" w:rsidP="00344DFC">
      <w:pPr>
        <w:spacing w:line="480" w:lineRule="auto"/>
        <w:ind w:firstLine="720"/>
        <w:contextualSpacing/>
        <w:rPr>
          <w:color w:val="000000"/>
        </w:rPr>
      </w:pPr>
    </w:p>
    <w:p w14:paraId="3A5CBE4B" w14:textId="784A0D21" w:rsidR="00201A5D" w:rsidRPr="008E1003" w:rsidRDefault="00201A5D" w:rsidP="00344DFC">
      <w:pPr>
        <w:spacing w:line="480" w:lineRule="auto"/>
        <w:ind w:firstLine="720"/>
        <w:contextualSpacing/>
        <w:rPr>
          <w:color w:val="000000" w:themeColor="text1"/>
        </w:rPr>
      </w:pPr>
      <w:r w:rsidRPr="00344DFC">
        <w:rPr>
          <w:color w:val="000000"/>
        </w:rPr>
        <w:t xml:space="preserve">Given the uncertain role of the immune system and the possible heterogeneity of the pathogenesis of canine DM between breeds, work is ongoing to generate extended DLA profiles of large numbers of affected and unaffected dogs within single breeds. This may identify breed-specific associations which would otherwise be masked, if they are not present in other breeds. </w:t>
      </w:r>
      <w:r w:rsidRPr="00344DFC">
        <w:t xml:space="preserve">The HLA alleles and haplotypes conferring greatest risk of human T1D differ between different ethnic groups </w:t>
      </w:r>
      <w:r w:rsidR="009E2A1E" w:rsidRPr="00344DFC">
        <w:rPr>
          <w:noProof/>
        </w:rPr>
        <w:t>(Zamani and Cassiman, 1998)</w:t>
      </w:r>
      <w:r w:rsidRPr="00344DFC">
        <w:t xml:space="preserve">, lending support to the possibility of breed-specific DLA associations with canine DM. </w:t>
      </w:r>
      <w:r w:rsidR="00C17E4D" w:rsidRPr="00344DFC">
        <w:t xml:space="preserve">A recent case:control study of </w:t>
      </w:r>
      <w:r w:rsidR="00741597" w:rsidRPr="00344DFC">
        <w:t xml:space="preserve">class </w:t>
      </w:r>
      <w:r w:rsidR="00C17E4D" w:rsidRPr="00344DFC">
        <w:t>II DLA ha</w:t>
      </w:r>
      <w:r w:rsidR="00C17E4D" w:rsidRPr="008E1003">
        <w:rPr>
          <w:color w:val="000000" w:themeColor="text1"/>
        </w:rPr>
        <w:t xml:space="preserve">plotypes in 12 </w:t>
      </w:r>
      <w:r w:rsidR="00206BB0" w:rsidRPr="008E1003">
        <w:rPr>
          <w:color w:val="000000" w:themeColor="text1"/>
        </w:rPr>
        <w:t>dog</w:t>
      </w:r>
      <w:r w:rsidR="00C17E4D" w:rsidRPr="008E1003">
        <w:rPr>
          <w:color w:val="000000" w:themeColor="text1"/>
        </w:rPr>
        <w:t xml:space="preserve"> breeds identified </w:t>
      </w:r>
      <w:r w:rsidR="00206BB0" w:rsidRPr="008E1003">
        <w:rPr>
          <w:color w:val="000000" w:themeColor="text1"/>
        </w:rPr>
        <w:t>diabetes-associated haplotypes in five individual breeds (Denyer et al.</w:t>
      </w:r>
      <w:r w:rsidR="00164D44" w:rsidRPr="008E1003">
        <w:rPr>
          <w:color w:val="000000" w:themeColor="text1"/>
        </w:rPr>
        <w:t>,</w:t>
      </w:r>
      <w:r w:rsidR="00206BB0" w:rsidRPr="008E1003">
        <w:rPr>
          <w:color w:val="000000" w:themeColor="text1"/>
        </w:rPr>
        <w:t xml:space="preserve"> </w:t>
      </w:r>
      <w:r w:rsidR="00FB24AD" w:rsidRPr="008E1003">
        <w:rPr>
          <w:color w:val="000000" w:themeColor="text1"/>
        </w:rPr>
        <w:t>2020</w:t>
      </w:r>
      <w:r w:rsidR="00206BB0" w:rsidRPr="008E1003">
        <w:rPr>
          <w:color w:val="000000" w:themeColor="text1"/>
        </w:rPr>
        <w:t xml:space="preserve">), suggesting that a breed-specific approach will be </w:t>
      </w:r>
      <w:r w:rsidR="00030156" w:rsidRPr="008E1003">
        <w:rPr>
          <w:color w:val="000000" w:themeColor="text1"/>
        </w:rPr>
        <w:t xml:space="preserve">valuable </w:t>
      </w:r>
      <w:r w:rsidR="00206BB0" w:rsidRPr="008E1003">
        <w:rPr>
          <w:color w:val="000000" w:themeColor="text1"/>
        </w:rPr>
        <w:t xml:space="preserve">in future disease studies. </w:t>
      </w:r>
    </w:p>
    <w:p w14:paraId="12FD06AF" w14:textId="77777777" w:rsidR="00201A5D" w:rsidRPr="00344DFC" w:rsidRDefault="00201A5D" w:rsidP="00344DFC">
      <w:pPr>
        <w:spacing w:line="480" w:lineRule="auto"/>
        <w:contextualSpacing/>
      </w:pPr>
    </w:p>
    <w:p w14:paraId="0FF62D56" w14:textId="77365506" w:rsidR="00201A5D" w:rsidRPr="00344DFC" w:rsidRDefault="00612620" w:rsidP="00344DFC">
      <w:pPr>
        <w:spacing w:line="480" w:lineRule="auto"/>
        <w:contextualSpacing/>
        <w:rPr>
          <w:i/>
        </w:rPr>
      </w:pPr>
      <w:r>
        <w:rPr>
          <w:i/>
        </w:rPr>
        <w:t xml:space="preserve">Other </w:t>
      </w:r>
      <w:r w:rsidR="00325EDE">
        <w:rPr>
          <w:i/>
        </w:rPr>
        <w:t>immune system g</w:t>
      </w:r>
      <w:r w:rsidR="00325EDE" w:rsidRPr="00344DFC">
        <w:rPr>
          <w:i/>
        </w:rPr>
        <w:t>enes</w:t>
      </w:r>
    </w:p>
    <w:p w14:paraId="2AD8E2C5" w14:textId="3564CE4B" w:rsidR="004567DD" w:rsidRPr="00344DFC" w:rsidRDefault="00201A5D" w:rsidP="00344DFC">
      <w:pPr>
        <w:spacing w:line="480" w:lineRule="auto"/>
        <w:ind w:firstLine="720"/>
        <w:contextualSpacing/>
        <w:rPr>
          <w:color w:val="000000"/>
        </w:rPr>
      </w:pPr>
      <w:r w:rsidRPr="002804BE">
        <w:rPr>
          <w:color w:val="000000" w:themeColor="text1"/>
        </w:rPr>
        <w:lastRenderedPageBreak/>
        <w:t>Recognition of the importance of T</w:t>
      </w:r>
      <w:r w:rsidR="00D12213">
        <w:rPr>
          <w:color w:val="000000" w:themeColor="text1"/>
        </w:rPr>
        <w:t>-</w:t>
      </w:r>
      <w:r w:rsidRPr="002804BE">
        <w:rPr>
          <w:color w:val="000000" w:themeColor="text1"/>
        </w:rPr>
        <w:t xml:space="preserve">cell signalling pathways in T1D has led to further </w:t>
      </w:r>
      <w:r w:rsidR="004C16B3" w:rsidRPr="002804BE">
        <w:rPr>
          <w:color w:val="000000" w:themeColor="text1"/>
        </w:rPr>
        <w:t xml:space="preserve">functional </w:t>
      </w:r>
      <w:r w:rsidRPr="002804BE">
        <w:rPr>
          <w:color w:val="000000" w:themeColor="text1"/>
        </w:rPr>
        <w:t xml:space="preserve">candidate gene studies in dogs, examining polymorphisms in genes encoding lymphocyte cell surface molecules and cytokines </w:t>
      </w:r>
      <w:r w:rsidR="009E2A1E" w:rsidRPr="002804BE">
        <w:rPr>
          <w:noProof/>
          <w:color w:val="000000" w:themeColor="text1"/>
        </w:rPr>
        <w:t>(Short et al.,</w:t>
      </w:r>
      <w:r w:rsidR="00971874" w:rsidRPr="002804BE">
        <w:rPr>
          <w:noProof/>
          <w:color w:val="000000" w:themeColor="text1"/>
        </w:rPr>
        <w:t xml:space="preserve"> 2007, 2009,</w:t>
      </w:r>
      <w:r w:rsidR="009E2A1E" w:rsidRPr="002804BE">
        <w:rPr>
          <w:noProof/>
          <w:color w:val="000000" w:themeColor="text1"/>
        </w:rPr>
        <w:t xml:space="preserve"> 2010)</w:t>
      </w:r>
      <w:r w:rsidR="004567DD" w:rsidRPr="002804BE">
        <w:rPr>
          <w:color w:val="000000" w:themeColor="text1"/>
        </w:rPr>
        <w:t>. Notably</w:t>
      </w:r>
      <w:r w:rsidR="00C3688F" w:rsidRPr="002804BE">
        <w:rPr>
          <w:color w:val="000000" w:themeColor="text1"/>
        </w:rPr>
        <w:t>,</w:t>
      </w:r>
      <w:r w:rsidR="004567DD" w:rsidRPr="002804BE">
        <w:rPr>
          <w:color w:val="000000" w:themeColor="text1"/>
        </w:rPr>
        <w:t xml:space="preserve"> the studies desc</w:t>
      </w:r>
      <w:r w:rsidR="004567DD" w:rsidRPr="00344DFC">
        <w:rPr>
          <w:color w:val="000000"/>
        </w:rPr>
        <w:t xml:space="preserve">ribed below show disease associations, but this does not necessarily mean that the variants identified play a causal role in disease. </w:t>
      </w:r>
    </w:p>
    <w:p w14:paraId="58F24CD3" w14:textId="77777777" w:rsidR="004567DD" w:rsidRPr="00344DFC" w:rsidRDefault="004567DD" w:rsidP="00344DFC">
      <w:pPr>
        <w:spacing w:line="480" w:lineRule="auto"/>
        <w:ind w:firstLine="720"/>
        <w:contextualSpacing/>
        <w:rPr>
          <w:color w:val="000000"/>
        </w:rPr>
      </w:pPr>
    </w:p>
    <w:p w14:paraId="7235F3D6" w14:textId="5AC3163E" w:rsidR="00201A5D" w:rsidRPr="00344DFC" w:rsidRDefault="00201A5D" w:rsidP="00344DFC">
      <w:pPr>
        <w:spacing w:line="480" w:lineRule="auto"/>
        <w:ind w:firstLine="720"/>
        <w:contextualSpacing/>
        <w:rPr>
          <w:color w:val="000000"/>
        </w:rPr>
      </w:pPr>
      <w:r w:rsidRPr="00344DFC">
        <w:rPr>
          <w:color w:val="000000"/>
        </w:rPr>
        <w:t>SNPs in the promoter region of the cytotoxic T lymphoctye-4 (</w:t>
      </w:r>
      <w:r w:rsidRPr="00344DFC">
        <w:rPr>
          <w:i/>
          <w:color w:val="000000"/>
        </w:rPr>
        <w:t>CTLA4)</w:t>
      </w:r>
      <w:r w:rsidRPr="00344DFC">
        <w:rPr>
          <w:color w:val="000000"/>
        </w:rPr>
        <w:t xml:space="preserve"> gene, a negative regulator of T-cell signalling, have been associated with canine DM in </w:t>
      </w:r>
      <w:r w:rsidR="00586F6E" w:rsidRPr="00344DFC">
        <w:rPr>
          <w:color w:val="000000"/>
        </w:rPr>
        <w:t>crossbreed dogs and in five pedigree</w:t>
      </w:r>
      <w:r w:rsidRPr="00344DFC">
        <w:rPr>
          <w:color w:val="000000"/>
        </w:rPr>
        <w:t xml:space="preserve"> breeds </w:t>
      </w:r>
      <w:r w:rsidR="009E2A1E" w:rsidRPr="00344DFC">
        <w:rPr>
          <w:noProof/>
          <w:color w:val="000000"/>
        </w:rPr>
        <w:t>(Short et al., 2010)</w:t>
      </w:r>
      <w:r w:rsidRPr="00344DFC">
        <w:rPr>
          <w:color w:val="000000"/>
        </w:rPr>
        <w:t xml:space="preserve">. Similarly, SNPs in cytokine genes, such as </w:t>
      </w:r>
      <w:r w:rsidRPr="00344DFC">
        <w:rPr>
          <w:i/>
          <w:color w:val="000000"/>
        </w:rPr>
        <w:t>IL</w:t>
      </w:r>
      <w:r w:rsidR="00F44AF8" w:rsidRPr="00344DFC">
        <w:rPr>
          <w:i/>
          <w:color w:val="000000"/>
        </w:rPr>
        <w:t>4</w:t>
      </w:r>
      <w:r w:rsidRPr="00344DFC">
        <w:rPr>
          <w:color w:val="000000"/>
        </w:rPr>
        <w:t xml:space="preserve"> and </w:t>
      </w:r>
      <w:r w:rsidRPr="00344DFC">
        <w:rPr>
          <w:i/>
          <w:color w:val="000000"/>
        </w:rPr>
        <w:t>IL10</w:t>
      </w:r>
      <w:r w:rsidRPr="00344DFC">
        <w:rPr>
          <w:color w:val="000000"/>
        </w:rPr>
        <w:t xml:space="preserve">, have been </w:t>
      </w:r>
      <w:r w:rsidR="00030156" w:rsidRPr="00344DFC">
        <w:rPr>
          <w:color w:val="000000"/>
        </w:rPr>
        <w:t>associated with</w:t>
      </w:r>
      <w:r w:rsidRPr="00344DFC">
        <w:rPr>
          <w:color w:val="000000"/>
        </w:rPr>
        <w:t xml:space="preserve"> ‘protection’ or ‘risk’ in single or small numbers of breeds </w:t>
      </w:r>
      <w:r w:rsidR="009E2A1E" w:rsidRPr="00344DFC">
        <w:rPr>
          <w:noProof/>
          <w:color w:val="000000"/>
        </w:rPr>
        <w:t>(Short et al., 200</w:t>
      </w:r>
      <w:r w:rsidR="00971874" w:rsidRPr="00344DFC">
        <w:rPr>
          <w:noProof/>
          <w:color w:val="000000"/>
        </w:rPr>
        <w:t>7</w:t>
      </w:r>
      <w:r w:rsidR="009E2A1E" w:rsidRPr="00344DFC">
        <w:rPr>
          <w:noProof/>
          <w:color w:val="000000"/>
        </w:rPr>
        <w:t>, 200</w:t>
      </w:r>
      <w:r w:rsidR="00971874" w:rsidRPr="00344DFC">
        <w:rPr>
          <w:noProof/>
          <w:color w:val="000000"/>
        </w:rPr>
        <w:t>9</w:t>
      </w:r>
      <w:r w:rsidR="009E2A1E" w:rsidRPr="00344DFC">
        <w:rPr>
          <w:noProof/>
          <w:color w:val="000000"/>
        </w:rPr>
        <w:t>)</w:t>
      </w:r>
      <w:r w:rsidRPr="00344DFC">
        <w:rPr>
          <w:color w:val="000000"/>
        </w:rPr>
        <w:t xml:space="preserve">. In some cases, SNPs were found to be protective in one breed, but to </w:t>
      </w:r>
      <w:r w:rsidR="00030156" w:rsidRPr="00344DFC">
        <w:rPr>
          <w:color w:val="000000"/>
        </w:rPr>
        <w:t>be associated with risk</w:t>
      </w:r>
      <w:r w:rsidRPr="00344DFC">
        <w:rPr>
          <w:color w:val="000000"/>
        </w:rPr>
        <w:t xml:space="preserve"> in another. However, the results of these studies have not yet been replicated by other methods and the low sample numbers make it difficult to assess the significance of these findings in individual breeds. In addition, none of the identified SNPs altered the protein sequence of any of the genes</w:t>
      </w:r>
      <w:r w:rsidR="009F0346" w:rsidRPr="00344DFC">
        <w:rPr>
          <w:color w:val="000000"/>
        </w:rPr>
        <w:t xml:space="preserve">, therefore these </w:t>
      </w:r>
      <w:r w:rsidR="007D5281" w:rsidRPr="00344DFC">
        <w:rPr>
          <w:color w:val="000000"/>
        </w:rPr>
        <w:t>associations require further research to support causality</w:t>
      </w:r>
      <w:r w:rsidRPr="00344DFC">
        <w:rPr>
          <w:color w:val="000000"/>
        </w:rPr>
        <w:t xml:space="preserve">. Nonetheless, these findings do appear to implicate the immune system in the pathogenesis of canine DM. </w:t>
      </w:r>
    </w:p>
    <w:p w14:paraId="1AD85068" w14:textId="77777777" w:rsidR="00201A5D" w:rsidRPr="00E4310F" w:rsidRDefault="00201A5D" w:rsidP="00344DFC">
      <w:pPr>
        <w:spacing w:line="480" w:lineRule="auto"/>
        <w:contextualSpacing/>
        <w:rPr>
          <w:color w:val="000000" w:themeColor="text1"/>
        </w:rPr>
      </w:pPr>
      <w:r w:rsidRPr="00344DFC">
        <w:rPr>
          <w:color w:val="000000"/>
        </w:rPr>
        <w:tab/>
      </w:r>
    </w:p>
    <w:p w14:paraId="77915C67" w14:textId="65B88207" w:rsidR="00201A5D" w:rsidRPr="00E4310F" w:rsidRDefault="00612620" w:rsidP="00344DFC">
      <w:pPr>
        <w:spacing w:line="480" w:lineRule="auto"/>
        <w:contextualSpacing/>
        <w:rPr>
          <w:i/>
          <w:color w:val="000000" w:themeColor="text1"/>
        </w:rPr>
      </w:pPr>
      <w:r>
        <w:rPr>
          <w:i/>
          <w:color w:val="000000" w:themeColor="text1"/>
        </w:rPr>
        <w:t xml:space="preserve">Pancreatic </w:t>
      </w:r>
      <w:r w:rsidR="00325EDE">
        <w:rPr>
          <w:i/>
          <w:color w:val="000000" w:themeColor="text1"/>
        </w:rPr>
        <w:t>beta cell g</w:t>
      </w:r>
      <w:r w:rsidR="00325EDE" w:rsidRPr="00E4310F">
        <w:rPr>
          <w:i/>
          <w:color w:val="000000" w:themeColor="text1"/>
        </w:rPr>
        <w:t>enes</w:t>
      </w:r>
    </w:p>
    <w:p w14:paraId="1E92C538" w14:textId="4EE510D6" w:rsidR="00201A5D" w:rsidRPr="00344DFC" w:rsidRDefault="00201A5D" w:rsidP="00344DFC">
      <w:pPr>
        <w:spacing w:line="480" w:lineRule="auto"/>
        <w:ind w:firstLine="720"/>
        <w:contextualSpacing/>
        <w:rPr>
          <w:color w:val="000000"/>
        </w:rPr>
      </w:pPr>
      <w:r w:rsidRPr="00E4310F">
        <w:rPr>
          <w:color w:val="000000" w:themeColor="text1"/>
        </w:rPr>
        <w:t xml:space="preserve">An additional </w:t>
      </w:r>
      <w:r w:rsidR="004C16B3" w:rsidRPr="00E4310F">
        <w:rPr>
          <w:color w:val="000000" w:themeColor="text1"/>
        </w:rPr>
        <w:t xml:space="preserve">functional </w:t>
      </w:r>
      <w:r w:rsidRPr="00E4310F">
        <w:rPr>
          <w:color w:val="000000" w:themeColor="text1"/>
        </w:rPr>
        <w:t xml:space="preserve">candidate gene study in dogs focussed on the genes implicated in human monogenic diabetes, by performing SNP genotyping </w:t>
      </w:r>
      <w:r w:rsidR="0008155F" w:rsidRPr="00E4310F">
        <w:rPr>
          <w:color w:val="000000" w:themeColor="text1"/>
        </w:rPr>
        <w:t>in selected monogenic DM ge</w:t>
      </w:r>
      <w:r w:rsidR="0008155F" w:rsidRPr="00344DFC">
        <w:rPr>
          <w:color w:val="000000"/>
        </w:rPr>
        <w:t xml:space="preserve">nes </w:t>
      </w:r>
      <w:r w:rsidRPr="00E4310F">
        <w:rPr>
          <w:color w:val="000000" w:themeColor="text1"/>
        </w:rPr>
        <w:t>across a range of breeds</w:t>
      </w:r>
      <w:r w:rsidR="004567DD" w:rsidRPr="00E4310F">
        <w:rPr>
          <w:color w:val="000000" w:themeColor="text1"/>
        </w:rPr>
        <w:t xml:space="preserve"> </w:t>
      </w:r>
      <w:r w:rsidR="009E2A1E" w:rsidRPr="00344DFC">
        <w:rPr>
          <w:noProof/>
          <w:color w:val="000000"/>
        </w:rPr>
        <w:t>(Short et al., 2014)</w:t>
      </w:r>
      <w:r w:rsidRPr="00344DFC">
        <w:rPr>
          <w:color w:val="000000"/>
        </w:rPr>
        <w:t xml:space="preserve">. Although six variants were associated with diabetes in some breeds, these generally only reached significance in a single breed </w:t>
      </w:r>
      <w:r w:rsidR="009E2A1E" w:rsidRPr="00344DFC">
        <w:rPr>
          <w:noProof/>
          <w:color w:val="000000"/>
        </w:rPr>
        <w:t>(Short et al., 2014)</w:t>
      </w:r>
      <w:r w:rsidRPr="00344DFC">
        <w:rPr>
          <w:color w:val="000000"/>
        </w:rPr>
        <w:t xml:space="preserve"> and</w:t>
      </w:r>
      <w:r w:rsidR="00312DE1" w:rsidRPr="00344DFC">
        <w:rPr>
          <w:color w:val="000000"/>
        </w:rPr>
        <w:t>,</w:t>
      </w:r>
      <w:r w:rsidRPr="00344DFC">
        <w:rPr>
          <w:color w:val="000000"/>
        </w:rPr>
        <w:t xml:space="preserve"> similar to the cytokine gene study described above, all were either intronic or synonymous coding variants</w:t>
      </w:r>
      <w:r w:rsidR="004567DD" w:rsidRPr="00344DFC">
        <w:rPr>
          <w:color w:val="000000"/>
        </w:rPr>
        <w:t xml:space="preserve">. </w:t>
      </w:r>
      <w:r w:rsidRPr="00344DFC">
        <w:rPr>
          <w:color w:val="000000"/>
        </w:rPr>
        <w:t xml:space="preserve">For example, a SNP in </w:t>
      </w:r>
      <w:r w:rsidRPr="00344DFC">
        <w:rPr>
          <w:i/>
          <w:color w:val="000000"/>
        </w:rPr>
        <w:t>HNF4A</w:t>
      </w:r>
      <w:r w:rsidRPr="00344DFC">
        <w:rPr>
          <w:color w:val="000000"/>
        </w:rPr>
        <w:t xml:space="preserve"> was </w:t>
      </w:r>
      <w:r w:rsidRPr="00344DFC">
        <w:rPr>
          <w:color w:val="000000"/>
        </w:rPr>
        <w:lastRenderedPageBreak/>
        <w:t xml:space="preserve">associated with diabetes only in the Miniature Dachshund, while SNPs in three </w:t>
      </w:r>
      <w:r w:rsidR="00F811A4" w:rsidRPr="00344DFC">
        <w:rPr>
          <w:color w:val="000000"/>
        </w:rPr>
        <w:t xml:space="preserve">other </w:t>
      </w:r>
      <w:r w:rsidRPr="00344DFC">
        <w:rPr>
          <w:color w:val="000000"/>
        </w:rPr>
        <w:t>monogenic DM genes (</w:t>
      </w:r>
      <w:r w:rsidRPr="00344DFC">
        <w:rPr>
          <w:i/>
          <w:color w:val="000000"/>
        </w:rPr>
        <w:t>INS, PAX4, MT</w:t>
      </w:r>
      <w:r w:rsidR="00134969" w:rsidRPr="00344DFC">
        <w:rPr>
          <w:i/>
          <w:color w:val="000000"/>
        </w:rPr>
        <w:t>-</w:t>
      </w:r>
      <w:r w:rsidRPr="00344DFC">
        <w:rPr>
          <w:i/>
          <w:color w:val="000000"/>
        </w:rPr>
        <w:t>TL1</w:t>
      </w:r>
      <w:r w:rsidRPr="00344DFC">
        <w:rPr>
          <w:color w:val="000000"/>
        </w:rPr>
        <w:t xml:space="preserve">) were associated with DM in Cocker Spaniels but no other breeds. There was no evidence for monogenic DM in most of the breeds assessed (total n = 17), but notably the Keeshond breed, in which congenital beta cell aplasia has been reported </w:t>
      </w:r>
      <w:r w:rsidR="009E2A1E" w:rsidRPr="00344DFC">
        <w:rPr>
          <w:noProof/>
          <w:color w:val="000000"/>
        </w:rPr>
        <w:t>(Kramer et al., 1980)</w:t>
      </w:r>
      <w:r w:rsidRPr="00344DFC">
        <w:rPr>
          <w:color w:val="000000"/>
        </w:rPr>
        <w:t xml:space="preserve"> was not included in this study. </w:t>
      </w:r>
    </w:p>
    <w:p w14:paraId="7FA4BB19" w14:textId="77777777" w:rsidR="00201A5D" w:rsidRPr="00344DFC" w:rsidRDefault="00201A5D" w:rsidP="00344DFC">
      <w:pPr>
        <w:spacing w:line="480" w:lineRule="auto"/>
        <w:contextualSpacing/>
        <w:rPr>
          <w:color w:val="000000"/>
        </w:rPr>
      </w:pPr>
    </w:p>
    <w:p w14:paraId="6DAAB267" w14:textId="42FCF49A" w:rsidR="00201A5D" w:rsidRPr="00344DFC" w:rsidRDefault="00C003E1" w:rsidP="00344DFC">
      <w:pPr>
        <w:spacing w:line="480" w:lineRule="auto"/>
        <w:ind w:firstLine="720"/>
        <w:contextualSpacing/>
      </w:pPr>
      <w:r w:rsidRPr="007E09A0">
        <w:rPr>
          <w:color w:val="000000" w:themeColor="text1"/>
        </w:rPr>
        <w:t>A</w:t>
      </w:r>
      <w:r w:rsidR="00002C2B" w:rsidRPr="007E09A0">
        <w:rPr>
          <w:color w:val="000000" w:themeColor="text1"/>
        </w:rPr>
        <w:t xml:space="preserve">nother SNP-based analysis </w:t>
      </w:r>
      <w:r w:rsidRPr="007E09A0">
        <w:rPr>
          <w:color w:val="000000" w:themeColor="text1"/>
          <w:shd w:val="clear" w:color="auto" w:fill="FFFFFF"/>
        </w:rPr>
        <w:t>examined</w:t>
      </w:r>
      <w:r w:rsidRPr="007E09A0">
        <w:rPr>
          <w:color w:val="000000" w:themeColor="text1"/>
        </w:rPr>
        <w:t xml:space="preserve"> </w:t>
      </w:r>
      <w:r w:rsidR="001B2B4C" w:rsidRPr="007E09A0">
        <w:rPr>
          <w:color w:val="000000" w:themeColor="text1"/>
        </w:rPr>
        <w:t>selected</w:t>
      </w:r>
      <w:r w:rsidRPr="007E09A0">
        <w:rPr>
          <w:color w:val="000000" w:themeColor="text1"/>
        </w:rPr>
        <w:t xml:space="preserve"> SNPs in the </w:t>
      </w:r>
      <w:r w:rsidRPr="007E09A0">
        <w:rPr>
          <w:i/>
          <w:color w:val="000000" w:themeColor="text1"/>
        </w:rPr>
        <w:t xml:space="preserve">INS </w:t>
      </w:r>
      <w:r w:rsidRPr="007E09A0">
        <w:rPr>
          <w:color w:val="000000" w:themeColor="text1"/>
        </w:rPr>
        <w:t xml:space="preserve">gene in a cohort of </w:t>
      </w:r>
      <w:r w:rsidRPr="007E09A0">
        <w:rPr>
          <w:color w:val="000000" w:themeColor="text1"/>
          <w:shd w:val="clear" w:color="auto" w:fill="FFFFFF"/>
        </w:rPr>
        <w:t xml:space="preserve">483 diabetic dogs and 869 controls, from 30 breeds. </w:t>
      </w:r>
      <w:r w:rsidRPr="007E09A0">
        <w:rPr>
          <w:color w:val="000000" w:themeColor="text1"/>
        </w:rPr>
        <w:t>Of the</w:t>
      </w:r>
      <w:r w:rsidR="001B2B4C" w:rsidRPr="007E09A0">
        <w:rPr>
          <w:color w:val="000000" w:themeColor="text1"/>
        </w:rPr>
        <w:t xml:space="preserve"> six</w:t>
      </w:r>
      <w:r w:rsidRPr="007E09A0">
        <w:rPr>
          <w:color w:val="000000" w:themeColor="text1"/>
        </w:rPr>
        <w:t xml:space="preserve"> SNPs</w:t>
      </w:r>
      <w:r w:rsidR="001B2B4C" w:rsidRPr="007E09A0">
        <w:rPr>
          <w:color w:val="000000" w:themeColor="text1"/>
        </w:rPr>
        <w:t xml:space="preserve"> evaluated</w:t>
      </w:r>
      <w:r w:rsidRPr="007E09A0">
        <w:rPr>
          <w:color w:val="000000" w:themeColor="text1"/>
        </w:rPr>
        <w:t>,</w:t>
      </w:r>
      <w:r w:rsidR="00201A5D" w:rsidRPr="007E09A0">
        <w:rPr>
          <w:color w:val="000000" w:themeColor="text1"/>
        </w:rPr>
        <w:t xml:space="preserve"> associations with diabetes </w:t>
      </w:r>
      <w:r w:rsidRPr="007E09A0">
        <w:rPr>
          <w:color w:val="000000" w:themeColor="text1"/>
        </w:rPr>
        <w:t xml:space="preserve">were </w:t>
      </w:r>
      <w:r w:rsidR="00201A5D" w:rsidRPr="007E09A0">
        <w:rPr>
          <w:color w:val="000000" w:themeColor="text1"/>
        </w:rPr>
        <w:t xml:space="preserve">found within single breeds: two conferring protection and one conferring risk of diabetes </w:t>
      </w:r>
      <w:r w:rsidR="009E2A1E" w:rsidRPr="007E09A0">
        <w:rPr>
          <w:noProof/>
          <w:color w:val="000000" w:themeColor="text1"/>
        </w:rPr>
        <w:t>(Short et al., 2007)</w:t>
      </w:r>
      <w:r w:rsidR="00201A5D" w:rsidRPr="007E09A0">
        <w:rPr>
          <w:color w:val="000000" w:themeColor="text1"/>
        </w:rPr>
        <w:t xml:space="preserve">. </w:t>
      </w:r>
      <w:r w:rsidR="00F950AB" w:rsidRPr="007E09A0">
        <w:rPr>
          <w:color w:val="000000" w:themeColor="text1"/>
        </w:rPr>
        <w:t xml:space="preserve">None </w:t>
      </w:r>
      <w:r w:rsidR="00201A5D" w:rsidRPr="007E09A0">
        <w:rPr>
          <w:color w:val="000000" w:themeColor="text1"/>
        </w:rPr>
        <w:t xml:space="preserve">of these </w:t>
      </w:r>
      <w:r w:rsidR="00F950AB" w:rsidRPr="007E09A0">
        <w:rPr>
          <w:color w:val="000000" w:themeColor="text1"/>
        </w:rPr>
        <w:t xml:space="preserve">three </w:t>
      </w:r>
      <w:r w:rsidR="00201A5D" w:rsidRPr="007E09A0">
        <w:rPr>
          <w:color w:val="000000" w:themeColor="text1"/>
        </w:rPr>
        <w:t>variants alter t</w:t>
      </w:r>
      <w:r w:rsidR="00201A5D" w:rsidRPr="00344DFC">
        <w:rPr>
          <w:color w:val="000000"/>
        </w:rPr>
        <w:t xml:space="preserve">he amino acid sequence of insulin and </w:t>
      </w:r>
      <w:r w:rsidR="00201A5D" w:rsidRPr="002E7A50">
        <w:rPr>
          <w:color w:val="000000"/>
        </w:rPr>
        <w:t>it is also p</w:t>
      </w:r>
      <w:r w:rsidR="00201A5D" w:rsidRPr="00344DFC">
        <w:rPr>
          <w:color w:val="000000"/>
        </w:rPr>
        <w:t xml:space="preserve">ossible that these SNPs form protective/risk haplotypes with the adjacent </w:t>
      </w:r>
      <w:r w:rsidR="00201A5D" w:rsidRPr="00344DFC">
        <w:rPr>
          <w:i/>
          <w:color w:val="000000"/>
        </w:rPr>
        <w:t>IGF2</w:t>
      </w:r>
      <w:r w:rsidR="00201A5D" w:rsidRPr="00344DFC">
        <w:rPr>
          <w:color w:val="000000"/>
        </w:rPr>
        <w:t xml:space="preserve"> gene</w:t>
      </w:r>
      <w:r w:rsidR="00A173A6" w:rsidRPr="00344DFC">
        <w:rPr>
          <w:color w:val="000000"/>
        </w:rPr>
        <w:t>, encoding insulin-like growth factor 2</w:t>
      </w:r>
      <w:r w:rsidR="00201A5D" w:rsidRPr="00344DFC">
        <w:rPr>
          <w:color w:val="000000"/>
        </w:rPr>
        <w:t xml:space="preserve">. Unlike </w:t>
      </w:r>
      <w:r w:rsidR="00A173A6" w:rsidRPr="00344DFC">
        <w:rPr>
          <w:color w:val="000000"/>
        </w:rPr>
        <w:t xml:space="preserve">in </w:t>
      </w:r>
      <w:r w:rsidR="00201A5D" w:rsidRPr="00344DFC">
        <w:rPr>
          <w:color w:val="000000"/>
        </w:rPr>
        <w:t xml:space="preserve">humans, there is no VNTR in the canine </w:t>
      </w:r>
      <w:r w:rsidR="00201A5D" w:rsidRPr="00344DFC">
        <w:rPr>
          <w:i/>
          <w:color w:val="000000"/>
        </w:rPr>
        <w:t>INS</w:t>
      </w:r>
      <w:r w:rsidR="00201A5D" w:rsidRPr="00344DFC">
        <w:rPr>
          <w:color w:val="000000"/>
        </w:rPr>
        <w:t xml:space="preserve"> promoter, although a VNTR has been identified at the 5’ end of intron 2 </w:t>
      </w:r>
      <w:r w:rsidR="009E2A1E" w:rsidRPr="00344DFC">
        <w:rPr>
          <w:noProof/>
          <w:color w:val="000000"/>
        </w:rPr>
        <w:t>(Catchpole et al., 2013)</w:t>
      </w:r>
      <w:r w:rsidR="00201A5D" w:rsidRPr="00344DFC">
        <w:rPr>
          <w:color w:val="000000"/>
        </w:rPr>
        <w:t xml:space="preserve">. Dogs were found to possess either two or three copies of this VTNR, although no clear associations with diabetes have been identified </w:t>
      </w:r>
      <w:r w:rsidR="009E2A1E" w:rsidRPr="00344DFC">
        <w:rPr>
          <w:noProof/>
          <w:color w:val="000000"/>
        </w:rPr>
        <w:t>(Catchpole et al., 2013)</w:t>
      </w:r>
      <w:r w:rsidR="00201A5D" w:rsidRPr="00344DFC">
        <w:rPr>
          <w:color w:val="000000"/>
        </w:rPr>
        <w:t xml:space="preserve">. </w:t>
      </w:r>
    </w:p>
    <w:p w14:paraId="488B113A" w14:textId="77777777" w:rsidR="00201A5D" w:rsidRPr="00344DFC" w:rsidRDefault="00201A5D" w:rsidP="00344DFC">
      <w:pPr>
        <w:spacing w:line="480" w:lineRule="auto"/>
        <w:contextualSpacing/>
        <w:rPr>
          <w:color w:val="000000"/>
        </w:rPr>
      </w:pPr>
    </w:p>
    <w:p w14:paraId="1A20C8FF" w14:textId="37218898" w:rsidR="00201A5D" w:rsidRPr="00344DFC" w:rsidRDefault="00201A5D" w:rsidP="00344DFC">
      <w:pPr>
        <w:spacing w:line="480" w:lineRule="auto"/>
        <w:ind w:firstLine="720"/>
        <w:contextualSpacing/>
        <w:rPr>
          <w:color w:val="000000"/>
        </w:rPr>
      </w:pPr>
      <w:r w:rsidRPr="00344DFC">
        <w:rPr>
          <w:color w:val="000000"/>
        </w:rPr>
        <w:t xml:space="preserve">The majority of genes/loci associated with T2D are yet to be investigated in dogs, but could hold promise for identifying novel genes and pathways involved in canine DM. The emerging concept of </w:t>
      </w:r>
      <w:r w:rsidR="0008155F">
        <w:rPr>
          <w:color w:val="000000"/>
        </w:rPr>
        <w:t>‘</w:t>
      </w:r>
      <w:r w:rsidRPr="00344DFC">
        <w:rPr>
          <w:color w:val="000000"/>
        </w:rPr>
        <w:t xml:space="preserve">beta cell fragility’ as a risk factor in T1D and T2D </w:t>
      </w:r>
      <w:r w:rsidR="009E2A1E" w:rsidRPr="00344DFC">
        <w:rPr>
          <w:noProof/>
          <w:color w:val="000000"/>
        </w:rPr>
        <w:t>(Dooley et al., 2016; Liston et al., 2017)</w:t>
      </w:r>
      <w:r w:rsidRPr="00344DFC">
        <w:rPr>
          <w:color w:val="000000"/>
        </w:rPr>
        <w:t xml:space="preserve"> could </w:t>
      </w:r>
      <w:r w:rsidR="004567DD" w:rsidRPr="00344DFC">
        <w:rPr>
          <w:color w:val="000000"/>
        </w:rPr>
        <w:t>be very relevant to</w:t>
      </w:r>
      <w:r w:rsidRPr="00344DFC">
        <w:rPr>
          <w:color w:val="000000"/>
        </w:rPr>
        <w:t xml:space="preserve"> the pathogenesis of canine DM and insulinoma, especially when considering the apparent inverse relationship of DM and insulinoma risk in breeds such as the Boxer</w:t>
      </w:r>
      <w:r w:rsidR="00586F6E" w:rsidRPr="00344DFC">
        <w:rPr>
          <w:color w:val="000000"/>
        </w:rPr>
        <w:t xml:space="preserve"> (</w:t>
      </w:r>
      <w:r w:rsidR="00586F6E" w:rsidRPr="00344DFC">
        <w:rPr>
          <w:noProof/>
        </w:rPr>
        <w:t>Catchpole et al., 2013; Caywood et al., 1988)</w:t>
      </w:r>
      <w:r w:rsidR="00F811A4" w:rsidRPr="00344DFC">
        <w:rPr>
          <w:color w:val="000000"/>
        </w:rPr>
        <w:t>. If this theory is correct, these</w:t>
      </w:r>
      <w:r w:rsidR="00A173A6" w:rsidRPr="00344DFC">
        <w:rPr>
          <w:color w:val="000000"/>
        </w:rPr>
        <w:t xml:space="preserve"> diabetes-resistant</w:t>
      </w:r>
      <w:r w:rsidR="00F811A4" w:rsidRPr="00344DFC">
        <w:rPr>
          <w:color w:val="000000"/>
        </w:rPr>
        <w:t xml:space="preserve"> breeds may have beta</w:t>
      </w:r>
      <w:r w:rsidR="00AD6D1D" w:rsidRPr="00344DFC">
        <w:rPr>
          <w:color w:val="000000"/>
        </w:rPr>
        <w:t xml:space="preserve"> </w:t>
      </w:r>
      <w:r w:rsidR="00F811A4" w:rsidRPr="00344DFC">
        <w:rPr>
          <w:color w:val="000000"/>
        </w:rPr>
        <w:t xml:space="preserve">cells with </w:t>
      </w:r>
      <w:r w:rsidR="00AD6D1D" w:rsidRPr="00344DFC">
        <w:rPr>
          <w:color w:val="000000"/>
        </w:rPr>
        <w:t xml:space="preserve">a </w:t>
      </w:r>
      <w:r w:rsidR="00F811A4" w:rsidRPr="00344DFC">
        <w:rPr>
          <w:color w:val="000000"/>
        </w:rPr>
        <w:t>greater resistance to apoptosis</w:t>
      </w:r>
      <w:r w:rsidR="00AD6D1D" w:rsidRPr="00344DFC">
        <w:rPr>
          <w:color w:val="000000"/>
        </w:rPr>
        <w:t>,</w:t>
      </w:r>
      <w:r w:rsidR="00F811A4" w:rsidRPr="00344DFC">
        <w:rPr>
          <w:color w:val="000000"/>
        </w:rPr>
        <w:t xml:space="preserve"> or with a greater capacity for regeneration</w:t>
      </w:r>
      <w:r w:rsidR="00AD6D1D" w:rsidRPr="00344DFC">
        <w:rPr>
          <w:color w:val="000000"/>
        </w:rPr>
        <w:t xml:space="preserve"> than other breeds, which protects from </w:t>
      </w:r>
      <w:r w:rsidR="00AD6D1D" w:rsidRPr="00344DFC">
        <w:rPr>
          <w:color w:val="000000"/>
        </w:rPr>
        <w:lastRenderedPageBreak/>
        <w:t xml:space="preserve">DM but predisposes them to malignant transformation. </w:t>
      </w:r>
      <w:r w:rsidRPr="00344DFC">
        <w:rPr>
          <w:color w:val="000000"/>
        </w:rPr>
        <w:t xml:space="preserve">While genetic factors might determine the </w:t>
      </w:r>
      <w:r w:rsidR="00AD6D1D" w:rsidRPr="00344DFC">
        <w:rPr>
          <w:color w:val="000000"/>
        </w:rPr>
        <w:t>beta cell</w:t>
      </w:r>
      <w:r w:rsidRPr="00344DFC">
        <w:rPr>
          <w:color w:val="000000"/>
        </w:rPr>
        <w:t xml:space="preserve"> fragility or robustness</w:t>
      </w:r>
      <w:r w:rsidR="00AD6D1D" w:rsidRPr="00344DFC">
        <w:rPr>
          <w:color w:val="000000"/>
        </w:rPr>
        <w:t xml:space="preserve">, </w:t>
      </w:r>
      <w:r w:rsidRPr="00344DFC">
        <w:rPr>
          <w:color w:val="000000"/>
        </w:rPr>
        <w:t>other genetic and environmental factors could influence the balance between apoptosis and regeneration to determine which individuals develop DM or insulinoma.</w:t>
      </w:r>
    </w:p>
    <w:p w14:paraId="76CB99D4" w14:textId="77777777" w:rsidR="00201A5D" w:rsidRPr="00344DFC" w:rsidRDefault="00201A5D" w:rsidP="00344DFC">
      <w:pPr>
        <w:spacing w:line="480" w:lineRule="auto"/>
        <w:contextualSpacing/>
        <w:rPr>
          <w:color w:val="000000"/>
        </w:rPr>
      </w:pPr>
    </w:p>
    <w:p w14:paraId="7BD946E2" w14:textId="0C8B2953" w:rsidR="00201A5D" w:rsidRPr="00344DFC" w:rsidRDefault="00201A5D" w:rsidP="00344DFC">
      <w:pPr>
        <w:spacing w:line="480" w:lineRule="auto"/>
        <w:ind w:firstLine="720"/>
        <w:contextualSpacing/>
        <w:rPr>
          <w:color w:val="000000"/>
        </w:rPr>
      </w:pPr>
      <w:r w:rsidRPr="00BD2E04">
        <w:rPr>
          <w:color w:val="000000" w:themeColor="text1"/>
        </w:rPr>
        <w:t xml:space="preserve">The </w:t>
      </w:r>
      <w:r w:rsidR="004C16B3" w:rsidRPr="00BD2E04">
        <w:rPr>
          <w:color w:val="000000" w:themeColor="text1"/>
        </w:rPr>
        <w:t xml:space="preserve">functional </w:t>
      </w:r>
      <w:r w:rsidRPr="00BD2E04">
        <w:rPr>
          <w:color w:val="000000" w:themeColor="text1"/>
        </w:rPr>
        <w:t>candidate gene studies ou</w:t>
      </w:r>
      <w:r w:rsidRPr="00344DFC">
        <w:t>tlined here have made an important contribution to our understanding of canine DM</w:t>
      </w:r>
      <w:r w:rsidR="007D5281" w:rsidRPr="00344DFC">
        <w:t>, however they are inherently limited in their scope to discover new genes and regions</w:t>
      </w:r>
      <w:r w:rsidR="004567DD" w:rsidRPr="00344DFC">
        <w:t>. They implicate</w:t>
      </w:r>
      <w:r w:rsidRPr="00344DFC">
        <w:t xml:space="preserve"> the immune system in the pathogenesis of disease in some breeds, but also reveal the genetic heterogeneity between breeds and therefore the likely heterogeneity in the pathogenesis of the underlying beta cell dysfunction</w:t>
      </w:r>
      <w:r w:rsidR="007D5281" w:rsidRPr="00344DFC">
        <w:t xml:space="preserve">. </w:t>
      </w:r>
      <w:r w:rsidRPr="00344DFC">
        <w:t>The LUPA consortium, a European-wide initiative using the dog as a model for the genetic basis of human diseases, employed GWA</w:t>
      </w:r>
      <w:r w:rsidR="00741597" w:rsidRPr="00344DFC">
        <w:t>S</w:t>
      </w:r>
      <w:r w:rsidRPr="00344DFC">
        <w:t xml:space="preserve"> to investigate both monogenic and complex diseases </w:t>
      </w:r>
      <w:r w:rsidR="009E2A1E" w:rsidRPr="00344DFC">
        <w:rPr>
          <w:noProof/>
        </w:rPr>
        <w:t>(Lequarré et al., 2011)</w:t>
      </w:r>
      <w:r w:rsidRPr="00344DFC">
        <w:t>. However</w:t>
      </w:r>
      <w:r w:rsidR="00A173A6" w:rsidRPr="00344DFC">
        <w:t xml:space="preserve"> </w:t>
      </w:r>
      <w:r w:rsidRPr="00344DFC">
        <w:t>there are no published data using genome-wide technologies such as GWAS and NGS</w:t>
      </w:r>
      <w:r w:rsidR="00A173A6" w:rsidRPr="00344DFC">
        <w:t xml:space="preserve"> in canine DM to date</w:t>
      </w:r>
      <w:r w:rsidRPr="00344DFC">
        <w:t xml:space="preserve">. </w:t>
      </w:r>
    </w:p>
    <w:p w14:paraId="59814975" w14:textId="77777777" w:rsidR="00201A5D" w:rsidRPr="00344DFC" w:rsidRDefault="00201A5D" w:rsidP="00344DFC">
      <w:pPr>
        <w:spacing w:line="480" w:lineRule="auto"/>
        <w:contextualSpacing/>
        <w:rPr>
          <w:color w:val="000000"/>
        </w:rPr>
      </w:pPr>
    </w:p>
    <w:p w14:paraId="4FEBE2FF" w14:textId="7FE2EDC2" w:rsidR="008851B6" w:rsidRPr="00344DFC" w:rsidRDefault="00201A5D" w:rsidP="00344DFC">
      <w:pPr>
        <w:spacing w:line="480" w:lineRule="auto"/>
        <w:contextualSpacing/>
        <w:rPr>
          <w:b/>
        </w:rPr>
      </w:pPr>
      <w:r w:rsidRPr="00344DFC">
        <w:rPr>
          <w:b/>
        </w:rPr>
        <w:t xml:space="preserve">Future </w:t>
      </w:r>
      <w:r w:rsidR="00325EDE" w:rsidRPr="00344DFC">
        <w:rPr>
          <w:b/>
        </w:rPr>
        <w:t>avenues of genetic research</w:t>
      </w:r>
    </w:p>
    <w:p w14:paraId="45E0B8F4" w14:textId="27FF5D4E" w:rsidR="00640A13" w:rsidRPr="00344DFC" w:rsidRDefault="00344516" w:rsidP="00344DFC">
      <w:pPr>
        <w:spacing w:line="480" w:lineRule="auto"/>
        <w:ind w:firstLine="720"/>
        <w:contextualSpacing/>
        <w:rPr>
          <w:color w:val="000000"/>
        </w:rPr>
      </w:pPr>
      <w:r w:rsidRPr="00344DFC">
        <w:rPr>
          <w:color w:val="000000"/>
        </w:rPr>
        <w:t xml:space="preserve">The study of </w:t>
      </w:r>
      <w:r w:rsidR="0008155F">
        <w:rPr>
          <w:color w:val="000000"/>
        </w:rPr>
        <w:t>DM</w:t>
      </w:r>
      <w:r w:rsidRPr="00344DFC">
        <w:rPr>
          <w:color w:val="000000"/>
        </w:rPr>
        <w:t xml:space="preserve"> genetics in dogs</w:t>
      </w:r>
      <w:r w:rsidR="00A650AE" w:rsidRPr="00344DFC">
        <w:rPr>
          <w:color w:val="000000"/>
        </w:rPr>
        <w:t>,</w:t>
      </w:r>
      <w:r w:rsidRPr="00344DFC">
        <w:rPr>
          <w:color w:val="000000"/>
        </w:rPr>
        <w:t xml:space="preserve"> as part of a ‘One Health’ approach</w:t>
      </w:r>
      <w:r w:rsidR="00A650AE" w:rsidRPr="00344DFC">
        <w:rPr>
          <w:color w:val="000000"/>
        </w:rPr>
        <w:t>,</w:t>
      </w:r>
      <w:r w:rsidRPr="00344DFC">
        <w:rPr>
          <w:color w:val="000000"/>
        </w:rPr>
        <w:t xml:space="preserve"> has the potential to improve both canine and human health </w:t>
      </w:r>
      <w:r w:rsidRPr="00344DFC">
        <w:rPr>
          <w:noProof/>
          <w:color w:val="000000"/>
        </w:rPr>
        <w:t>(Karlsson and Lindblad-Toh</w:t>
      </w:r>
      <w:r w:rsidR="00C740EA" w:rsidRPr="00344DFC">
        <w:rPr>
          <w:noProof/>
          <w:color w:val="000000"/>
        </w:rPr>
        <w:t>,</w:t>
      </w:r>
      <w:r w:rsidRPr="00344DFC">
        <w:rPr>
          <w:noProof/>
          <w:color w:val="000000"/>
        </w:rPr>
        <w:t xml:space="preserve"> 2008; O’Kell et al.</w:t>
      </w:r>
      <w:r w:rsidR="00F950AB" w:rsidRPr="00344DFC">
        <w:rPr>
          <w:noProof/>
          <w:color w:val="000000"/>
        </w:rPr>
        <w:t>,</w:t>
      </w:r>
      <w:r w:rsidRPr="00344DFC">
        <w:rPr>
          <w:noProof/>
          <w:color w:val="000000"/>
        </w:rPr>
        <w:t xml:space="preserve"> 2017)</w:t>
      </w:r>
      <w:r w:rsidRPr="00344DFC">
        <w:rPr>
          <w:color w:val="000000"/>
        </w:rPr>
        <w:t xml:space="preserve">. The advent of new technologies such as WGS of high and low DM-risk breeds, in addition to GWAS studies, should allow rapid progress to be made. Ongoing </w:t>
      </w:r>
      <w:r w:rsidR="008851B6" w:rsidRPr="00344DFC">
        <w:rPr>
          <w:color w:val="000000"/>
        </w:rPr>
        <w:t xml:space="preserve">genetic studies in canine DM </w:t>
      </w:r>
      <w:r w:rsidRPr="00344DFC">
        <w:rPr>
          <w:color w:val="000000"/>
        </w:rPr>
        <w:t xml:space="preserve">are </w:t>
      </w:r>
      <w:r w:rsidR="008851B6" w:rsidRPr="00344DFC">
        <w:rPr>
          <w:color w:val="000000"/>
        </w:rPr>
        <w:t>benefit</w:t>
      </w:r>
      <w:r w:rsidRPr="00344DFC">
        <w:rPr>
          <w:color w:val="000000"/>
        </w:rPr>
        <w:t>ting</w:t>
      </w:r>
      <w:r w:rsidR="008851B6" w:rsidRPr="00344DFC">
        <w:rPr>
          <w:color w:val="000000"/>
        </w:rPr>
        <w:t xml:space="preserve"> from lessons learned in human DM research. </w:t>
      </w:r>
      <w:r w:rsidR="00494DCB" w:rsidRPr="00344DFC">
        <w:rPr>
          <w:color w:val="000000"/>
        </w:rPr>
        <w:t xml:space="preserve">These include the value of more precise phenotyping, stratification of studies by MHC haplotype and consideration of environmental factors </w:t>
      </w:r>
      <w:r w:rsidR="0008155F">
        <w:rPr>
          <w:color w:val="000000"/>
        </w:rPr>
        <w:t xml:space="preserve">also </w:t>
      </w:r>
      <w:r w:rsidR="00494DCB" w:rsidRPr="00344DFC">
        <w:rPr>
          <w:color w:val="000000"/>
        </w:rPr>
        <w:t>in</w:t>
      </w:r>
      <w:r w:rsidR="0008155F">
        <w:rPr>
          <w:color w:val="000000"/>
        </w:rPr>
        <w:t>fluencing</w:t>
      </w:r>
      <w:r w:rsidR="00494DCB" w:rsidRPr="00344DFC">
        <w:rPr>
          <w:color w:val="000000"/>
        </w:rPr>
        <w:t xml:space="preserve"> disease risk. </w:t>
      </w:r>
      <w:r w:rsidR="008851B6" w:rsidRPr="00344DFC">
        <w:rPr>
          <w:color w:val="000000"/>
        </w:rPr>
        <w:t xml:space="preserve">Since the disease is recognised as increasingly complex and heterogeneous within the human type 1 </w:t>
      </w:r>
      <w:r w:rsidR="008851B6" w:rsidRPr="00344DFC">
        <w:rPr>
          <w:color w:val="000000"/>
        </w:rPr>
        <w:lastRenderedPageBreak/>
        <w:t xml:space="preserve">and 2 classifications </w:t>
      </w:r>
      <w:r w:rsidR="009E2A1E" w:rsidRPr="00344DFC">
        <w:rPr>
          <w:noProof/>
          <w:color w:val="000000"/>
        </w:rPr>
        <w:t>(Tuomi et al., 2014)</w:t>
      </w:r>
      <w:r w:rsidR="008851B6" w:rsidRPr="00344DFC">
        <w:rPr>
          <w:color w:val="000000"/>
        </w:rPr>
        <w:t>, we can expect that the same may be true for canine DM, among or even within different dog breeds.</w:t>
      </w:r>
    </w:p>
    <w:p w14:paraId="168D2B50" w14:textId="77777777" w:rsidR="00201A5D" w:rsidRPr="00344DFC" w:rsidRDefault="00201A5D" w:rsidP="00344DFC">
      <w:pPr>
        <w:spacing w:line="480" w:lineRule="auto"/>
        <w:contextualSpacing/>
        <w:rPr>
          <w:color w:val="000000"/>
        </w:rPr>
      </w:pPr>
    </w:p>
    <w:p w14:paraId="40C3548F" w14:textId="605CE989" w:rsidR="00201A5D" w:rsidRPr="00344DFC" w:rsidRDefault="00201A5D" w:rsidP="00344DFC">
      <w:pPr>
        <w:spacing w:line="480" w:lineRule="auto"/>
        <w:ind w:firstLine="720"/>
        <w:contextualSpacing/>
        <w:rPr>
          <w:color w:val="000000"/>
        </w:rPr>
      </w:pPr>
      <w:r w:rsidRPr="00344DFC">
        <w:rPr>
          <w:color w:val="000000"/>
        </w:rPr>
        <w:t>Additional challenges when studying canine genetic disease relate to the availability of data about the structure and function of the canine genome. Improved knowledge of the normal genetic variation in different dog breeds is necessary to assess the significance of potentially disease-causing variants. Progress has been made by a number of consortia in improving the availability of infor</w:t>
      </w:r>
      <w:r w:rsidRPr="00B07A5B">
        <w:rPr>
          <w:color w:val="000000" w:themeColor="text1"/>
        </w:rPr>
        <w:t>mation, such as the Dog Biomedical Variant Database Consortium, DogSD</w:t>
      </w:r>
      <w:r w:rsidR="00515197" w:rsidRPr="00B07A5B">
        <w:rPr>
          <w:rStyle w:val="FootnoteReference"/>
          <w:color w:val="000000" w:themeColor="text1"/>
        </w:rPr>
        <w:footnoteReference w:id="2"/>
      </w:r>
      <w:r w:rsidRPr="00B07A5B">
        <w:rPr>
          <w:color w:val="000000" w:themeColor="text1"/>
        </w:rPr>
        <w:t xml:space="preserve"> </w:t>
      </w:r>
      <w:r w:rsidRPr="00B07A5B">
        <w:rPr>
          <w:noProof/>
          <w:color w:val="000000" w:themeColor="text1"/>
        </w:rPr>
        <w:t>(Bai et al.</w:t>
      </w:r>
      <w:r w:rsidR="00F950AB" w:rsidRPr="00B07A5B">
        <w:rPr>
          <w:noProof/>
          <w:color w:val="000000" w:themeColor="text1"/>
        </w:rPr>
        <w:t>,</w:t>
      </w:r>
      <w:r w:rsidRPr="00B07A5B">
        <w:rPr>
          <w:noProof/>
          <w:color w:val="000000" w:themeColor="text1"/>
        </w:rPr>
        <w:t xml:space="preserve"> 2015</w:t>
      </w:r>
      <w:r w:rsidR="00F950AB" w:rsidRPr="00B07A5B">
        <w:rPr>
          <w:noProof/>
          <w:color w:val="000000" w:themeColor="text1"/>
        </w:rPr>
        <w:t>; Jagannathan et al., 2019</w:t>
      </w:r>
      <w:r w:rsidRPr="00B07A5B">
        <w:rPr>
          <w:noProof/>
          <w:color w:val="000000" w:themeColor="text1"/>
        </w:rPr>
        <w:t>)</w:t>
      </w:r>
      <w:r w:rsidRPr="00B07A5B">
        <w:rPr>
          <w:color w:val="000000" w:themeColor="text1"/>
        </w:rPr>
        <w:t>, the Give a Dog A Genome project</w:t>
      </w:r>
      <w:r w:rsidR="00322710" w:rsidRPr="00B07A5B">
        <w:rPr>
          <w:color w:val="000000" w:themeColor="text1"/>
        </w:rPr>
        <w:t xml:space="preserve"> (Mellersh C., 2008)</w:t>
      </w:r>
      <w:r w:rsidRPr="00B07A5B">
        <w:rPr>
          <w:color w:val="000000" w:themeColor="text1"/>
        </w:rPr>
        <w:t xml:space="preserve"> and the Dog 10K Genomes project</w:t>
      </w:r>
      <w:r w:rsidR="00515197" w:rsidRPr="00B07A5B">
        <w:rPr>
          <w:rStyle w:val="FootnoteReference"/>
          <w:color w:val="000000" w:themeColor="text1"/>
        </w:rPr>
        <w:footnoteReference w:id="3"/>
      </w:r>
      <w:r w:rsidRPr="00B07A5B">
        <w:rPr>
          <w:color w:val="000000" w:themeColor="text1"/>
        </w:rPr>
        <w:t xml:space="preserve"> but the amount of available </w:t>
      </w:r>
      <w:r w:rsidR="008C6355" w:rsidRPr="00B07A5B">
        <w:rPr>
          <w:color w:val="000000" w:themeColor="text1"/>
        </w:rPr>
        <w:t xml:space="preserve">breed-specific </w:t>
      </w:r>
      <w:r w:rsidRPr="00B07A5B">
        <w:rPr>
          <w:color w:val="000000" w:themeColor="text1"/>
        </w:rPr>
        <w:t xml:space="preserve">canine reference data </w:t>
      </w:r>
      <w:r w:rsidR="00344516" w:rsidRPr="00B07A5B">
        <w:rPr>
          <w:color w:val="000000" w:themeColor="text1"/>
        </w:rPr>
        <w:t>remains</w:t>
      </w:r>
      <w:r w:rsidRPr="00B07A5B">
        <w:rPr>
          <w:color w:val="000000" w:themeColor="text1"/>
        </w:rPr>
        <w:t xml:space="preserve"> a limiting factor in research progress</w:t>
      </w:r>
      <w:r w:rsidR="00344516" w:rsidRPr="00B07A5B">
        <w:rPr>
          <w:color w:val="000000" w:themeColor="text1"/>
        </w:rPr>
        <w:t xml:space="preserve"> compared to human studies</w:t>
      </w:r>
      <w:r w:rsidRPr="00B07A5B">
        <w:rPr>
          <w:color w:val="000000" w:themeColor="text1"/>
        </w:rPr>
        <w:t xml:space="preserve">. There </w:t>
      </w:r>
      <w:r w:rsidR="00506A76" w:rsidRPr="00B07A5B">
        <w:rPr>
          <w:color w:val="000000" w:themeColor="text1"/>
        </w:rPr>
        <w:t>are</w:t>
      </w:r>
      <w:r w:rsidRPr="00B07A5B">
        <w:rPr>
          <w:color w:val="000000" w:themeColor="text1"/>
        </w:rPr>
        <w:t xml:space="preserve"> still only </w:t>
      </w:r>
      <w:r w:rsidR="00506A76" w:rsidRPr="00B07A5B">
        <w:rPr>
          <w:color w:val="000000" w:themeColor="text1"/>
        </w:rPr>
        <w:t>a small number of</w:t>
      </w:r>
      <w:r w:rsidRPr="00B07A5B">
        <w:rPr>
          <w:color w:val="000000" w:themeColor="text1"/>
        </w:rPr>
        <w:t xml:space="preserve"> published complete canine genome</w:t>
      </w:r>
      <w:r w:rsidR="00506A76" w:rsidRPr="00B07A5B">
        <w:rPr>
          <w:color w:val="000000" w:themeColor="text1"/>
        </w:rPr>
        <w:t>s (Boxer, Basenji</w:t>
      </w:r>
      <w:r w:rsidR="00322710" w:rsidRPr="00B07A5B">
        <w:rPr>
          <w:color w:val="000000" w:themeColor="text1"/>
        </w:rPr>
        <w:t xml:space="preserve">, </w:t>
      </w:r>
      <w:r w:rsidR="00506A76" w:rsidRPr="00B07A5B">
        <w:rPr>
          <w:color w:val="000000" w:themeColor="text1"/>
        </w:rPr>
        <w:t>Great Dane</w:t>
      </w:r>
      <w:r w:rsidR="00322710" w:rsidRPr="00B07A5B">
        <w:rPr>
          <w:color w:val="000000" w:themeColor="text1"/>
        </w:rPr>
        <w:t xml:space="preserve"> and German Shepherd</w:t>
      </w:r>
      <w:r w:rsidR="002B0354" w:rsidRPr="00B07A5B">
        <w:rPr>
          <w:color w:val="000000" w:themeColor="text1"/>
        </w:rPr>
        <w:t xml:space="preserve"> </w:t>
      </w:r>
      <w:r w:rsidR="00506A76" w:rsidRPr="00B07A5B">
        <w:rPr>
          <w:color w:val="000000" w:themeColor="text1"/>
        </w:rPr>
        <w:t xml:space="preserve">in </w:t>
      </w:r>
      <w:r w:rsidR="00322710" w:rsidRPr="00B07A5B">
        <w:rPr>
          <w:color w:val="000000" w:themeColor="text1"/>
        </w:rPr>
        <w:t>mid-</w:t>
      </w:r>
      <w:r w:rsidR="00506A76" w:rsidRPr="00B07A5B">
        <w:rPr>
          <w:color w:val="000000" w:themeColor="text1"/>
        </w:rPr>
        <w:t>2020),</w:t>
      </w:r>
      <w:r w:rsidRPr="00B07A5B">
        <w:rPr>
          <w:color w:val="000000" w:themeColor="text1"/>
        </w:rPr>
        <w:t xml:space="preserve"> </w:t>
      </w:r>
      <w:r w:rsidR="002B0354" w:rsidRPr="00B07A5B">
        <w:rPr>
          <w:color w:val="000000" w:themeColor="text1"/>
        </w:rPr>
        <w:t>therefore</w:t>
      </w:r>
      <w:r w:rsidRPr="00B07A5B">
        <w:rPr>
          <w:color w:val="000000" w:themeColor="text1"/>
        </w:rPr>
        <w:t xml:space="preserve"> comparison of any canine genome with </w:t>
      </w:r>
      <w:r w:rsidR="00506A76" w:rsidRPr="00B07A5B">
        <w:rPr>
          <w:color w:val="000000" w:themeColor="text1"/>
        </w:rPr>
        <w:t>a</w:t>
      </w:r>
      <w:r w:rsidRPr="00B07A5B">
        <w:rPr>
          <w:color w:val="000000" w:themeColor="text1"/>
        </w:rPr>
        <w:t xml:space="preserve"> reference sequence </w:t>
      </w:r>
      <w:r w:rsidR="008C6355" w:rsidRPr="00B07A5B">
        <w:rPr>
          <w:color w:val="000000" w:themeColor="text1"/>
        </w:rPr>
        <w:t>usually requires</w:t>
      </w:r>
      <w:r w:rsidRPr="00B07A5B">
        <w:rPr>
          <w:color w:val="000000" w:themeColor="text1"/>
        </w:rPr>
        <w:t xml:space="preserve"> comparison with the genome of a dog from</w:t>
      </w:r>
      <w:r w:rsidR="00506A76" w:rsidRPr="00B07A5B">
        <w:rPr>
          <w:color w:val="000000" w:themeColor="text1"/>
        </w:rPr>
        <w:t xml:space="preserve"> a different breed</w:t>
      </w:r>
      <w:r w:rsidR="0008155F">
        <w:rPr>
          <w:color w:val="000000" w:themeColor="text1"/>
        </w:rPr>
        <w:t>,</w:t>
      </w:r>
      <w:r w:rsidR="002B0354" w:rsidRPr="00B07A5B">
        <w:rPr>
          <w:color w:val="000000" w:themeColor="text1"/>
        </w:rPr>
        <w:t xml:space="preserve"> with different genetic disease susce</w:t>
      </w:r>
      <w:r w:rsidR="002B0354" w:rsidRPr="00344DFC">
        <w:rPr>
          <w:color w:val="000000"/>
        </w:rPr>
        <w:t>ptibilities</w:t>
      </w:r>
      <w:r w:rsidRPr="00344DFC">
        <w:rPr>
          <w:color w:val="000000"/>
        </w:rPr>
        <w:t xml:space="preserve">. </w:t>
      </w:r>
    </w:p>
    <w:p w14:paraId="208FCA24" w14:textId="77777777" w:rsidR="00201A5D" w:rsidRPr="00344DFC" w:rsidRDefault="00201A5D" w:rsidP="00344DFC">
      <w:pPr>
        <w:spacing w:line="480" w:lineRule="auto"/>
        <w:ind w:firstLine="720"/>
        <w:contextualSpacing/>
        <w:rPr>
          <w:color w:val="000000"/>
        </w:rPr>
      </w:pPr>
    </w:p>
    <w:p w14:paraId="474A98E6" w14:textId="3661752F" w:rsidR="00201A5D" w:rsidRPr="00344DFC" w:rsidRDefault="00201A5D" w:rsidP="00344DFC">
      <w:pPr>
        <w:spacing w:line="480" w:lineRule="auto"/>
        <w:ind w:firstLine="720"/>
        <w:contextualSpacing/>
      </w:pPr>
      <w:r w:rsidRPr="00344DFC">
        <w:rPr>
          <w:color w:val="000000"/>
        </w:rPr>
        <w:t xml:space="preserve">Another important factor in any future canine diabetes genetics studies is the availability of case samples and appropriate non-diabetic control samples from a wide variety of breeds. It is particularly important to age-match control samples to cases, since diabetes does not usually manifest until 7 years of age or older. A resource of particular value to the study of canine </w:t>
      </w:r>
      <w:r w:rsidR="008C6355" w:rsidRPr="00344DFC">
        <w:rPr>
          <w:color w:val="000000"/>
        </w:rPr>
        <w:t xml:space="preserve">DM </w:t>
      </w:r>
      <w:r w:rsidRPr="00344DFC">
        <w:rPr>
          <w:color w:val="000000"/>
        </w:rPr>
        <w:t xml:space="preserve">continues to be the UK Canine Diabetes Register, which has been maintained at the Royal Veterinary College (RVC) since 2000. The archive consists of clinical data and blood samples from diabetic dogs, submitted by first opinion practitioners </w:t>
      </w:r>
      <w:r w:rsidRPr="00344DFC">
        <w:rPr>
          <w:color w:val="000000"/>
        </w:rPr>
        <w:lastRenderedPageBreak/>
        <w:t xml:space="preserve">for the measurement of serum fructosamine and HbA1c </w:t>
      </w:r>
      <w:r w:rsidR="009E2A1E" w:rsidRPr="00344DFC">
        <w:rPr>
          <w:noProof/>
          <w:color w:val="000000"/>
        </w:rPr>
        <w:t>(Davison et al., 20</w:t>
      </w:r>
      <w:r w:rsidR="009F0346" w:rsidRPr="00344DFC">
        <w:rPr>
          <w:noProof/>
          <w:color w:val="000000"/>
        </w:rPr>
        <w:t>01)</w:t>
      </w:r>
      <w:r w:rsidRPr="00344DFC">
        <w:rPr>
          <w:color w:val="000000"/>
        </w:rPr>
        <w:t xml:space="preserve">. During the 20 years since the establishment of this archive, clinical samples from almost 2,000 diabetic dogs have been collected and used in several of the candidate gene studies described previously </w:t>
      </w:r>
      <w:r w:rsidR="009E2A1E" w:rsidRPr="00344DFC">
        <w:rPr>
          <w:noProof/>
          <w:color w:val="000000"/>
        </w:rPr>
        <w:t xml:space="preserve"> </w:t>
      </w:r>
      <w:r w:rsidR="00971874" w:rsidRPr="00344DFC">
        <w:rPr>
          <w:noProof/>
          <w:color w:val="000000"/>
        </w:rPr>
        <w:t>(</w:t>
      </w:r>
      <w:r w:rsidR="009E2A1E" w:rsidRPr="00344DFC">
        <w:rPr>
          <w:noProof/>
          <w:color w:val="000000"/>
        </w:rPr>
        <w:t>Kennedy et al., 2006; Short et al., 20</w:t>
      </w:r>
      <w:r w:rsidR="00971874" w:rsidRPr="00344DFC">
        <w:rPr>
          <w:noProof/>
          <w:color w:val="000000"/>
        </w:rPr>
        <w:t>09</w:t>
      </w:r>
      <w:r w:rsidR="009E2A1E" w:rsidRPr="00344DFC">
        <w:rPr>
          <w:noProof/>
          <w:color w:val="000000"/>
        </w:rPr>
        <w:t>, 2010, 20</w:t>
      </w:r>
      <w:r w:rsidR="00971874" w:rsidRPr="00344DFC">
        <w:rPr>
          <w:noProof/>
          <w:color w:val="000000"/>
        </w:rPr>
        <w:t>14; Davison et al., 2017</w:t>
      </w:r>
      <w:r w:rsidR="0008155F">
        <w:rPr>
          <w:noProof/>
          <w:color w:val="000000"/>
        </w:rPr>
        <w:t>; Denyer et al., 2020</w:t>
      </w:r>
      <w:r w:rsidR="009E2A1E" w:rsidRPr="00344DFC">
        <w:rPr>
          <w:noProof/>
          <w:color w:val="000000"/>
        </w:rPr>
        <w:t>)</w:t>
      </w:r>
      <w:r w:rsidRPr="00344DFC">
        <w:rPr>
          <w:color w:val="000000"/>
        </w:rPr>
        <w:t xml:space="preserve"> as well as an early epidemiological study </w:t>
      </w:r>
      <w:r w:rsidR="00D715CF" w:rsidRPr="00344DFC">
        <w:rPr>
          <w:noProof/>
          <w:color w:val="000000"/>
        </w:rPr>
        <w:t>(Davison</w:t>
      </w:r>
      <w:r w:rsidR="00515197" w:rsidRPr="00344DFC">
        <w:rPr>
          <w:noProof/>
          <w:color w:val="000000"/>
        </w:rPr>
        <w:t xml:space="preserve"> et al., </w:t>
      </w:r>
      <w:r w:rsidR="00D715CF" w:rsidRPr="00344DFC">
        <w:rPr>
          <w:noProof/>
          <w:color w:val="000000"/>
        </w:rPr>
        <w:t>2005)</w:t>
      </w:r>
      <w:r w:rsidRPr="00344DFC">
        <w:rPr>
          <w:color w:val="000000"/>
        </w:rPr>
        <w:t xml:space="preserve">. Recruitment </w:t>
      </w:r>
      <w:r w:rsidR="00370BC1" w:rsidRPr="00344DFC">
        <w:rPr>
          <w:color w:val="000000"/>
        </w:rPr>
        <w:t xml:space="preserve">of samples </w:t>
      </w:r>
      <w:r w:rsidRPr="00344DFC">
        <w:rPr>
          <w:color w:val="000000"/>
        </w:rPr>
        <w:t>is ongoing</w:t>
      </w:r>
      <w:r w:rsidR="00325EDE">
        <w:rPr>
          <w:color w:val="000000"/>
        </w:rPr>
        <w:t xml:space="preserve"> </w:t>
      </w:r>
      <w:r w:rsidR="00370BC1" w:rsidRPr="00344DFC">
        <w:rPr>
          <w:rStyle w:val="FootnoteReference"/>
          <w:color w:val="000000"/>
        </w:rPr>
        <w:footnoteReference w:id="4"/>
      </w:r>
      <w:r w:rsidR="00370BC1" w:rsidRPr="00344DFC">
        <w:rPr>
          <w:color w:val="000000"/>
        </w:rPr>
        <w:t>.</w:t>
      </w:r>
    </w:p>
    <w:p w14:paraId="13D896E2" w14:textId="77777777" w:rsidR="00201A5D" w:rsidRPr="00344DFC" w:rsidRDefault="00201A5D" w:rsidP="00344DFC">
      <w:pPr>
        <w:spacing w:line="480" w:lineRule="auto"/>
        <w:ind w:firstLine="720"/>
        <w:contextualSpacing/>
        <w:rPr>
          <w:color w:val="000000"/>
        </w:rPr>
      </w:pPr>
    </w:p>
    <w:p w14:paraId="1BA8CFD6" w14:textId="77777777" w:rsidR="00400C64" w:rsidRPr="00344DFC" w:rsidRDefault="008851B6" w:rsidP="00344DFC">
      <w:pPr>
        <w:spacing w:line="480" w:lineRule="auto"/>
        <w:ind w:firstLine="720"/>
        <w:contextualSpacing/>
      </w:pPr>
      <w:r w:rsidRPr="00344DFC">
        <w:rPr>
          <w:color w:val="000000"/>
        </w:rPr>
        <w:t>Many of the most successful research efforts in human T1D and T2D have been made by large consortia, including the Type 1 Diabetes Genetics Consortium (T1D) and GoT2D (T2D) among others, enabling large-scale analyses, involving tens of thousands of individuals. The power of these studies allows identification of novel risk loci, even those conferring a relatively small effect and containing genes of unknown function, which can then be investigated for their functional significance.</w:t>
      </w:r>
      <w:r w:rsidR="00400C64" w:rsidRPr="00344DFC">
        <w:rPr>
          <w:color w:val="000000"/>
        </w:rPr>
        <w:t xml:space="preserve"> </w:t>
      </w:r>
      <w:r w:rsidR="00201A5D" w:rsidRPr="00344DFC">
        <w:t xml:space="preserve">Underpinned by the </w:t>
      </w:r>
      <w:r w:rsidR="00201A5D" w:rsidRPr="00344DFC">
        <w:rPr>
          <w:color w:val="000000"/>
        </w:rPr>
        <w:t>UK Canine Diabetes Register</w:t>
      </w:r>
      <w:r w:rsidR="00201A5D" w:rsidRPr="00344DFC">
        <w:t xml:space="preserve">, the Canine Diabetes Genetics Partnership (CDGP) was established in </w:t>
      </w:r>
      <w:r w:rsidR="008C6355" w:rsidRPr="00344DFC">
        <w:t xml:space="preserve">November </w:t>
      </w:r>
      <w:r w:rsidR="00201A5D" w:rsidRPr="00344DFC">
        <w:t>2017, with the</w:t>
      </w:r>
      <w:r w:rsidR="00201A5D" w:rsidRPr="00344DFC">
        <w:rPr>
          <w:color w:val="000000"/>
        </w:rPr>
        <w:t xml:space="preserve"> purpose of using WGS and other NGS techniques to explore the genetic risk of DM and insulinoma in different dog breeds</w:t>
      </w:r>
      <w:r w:rsidR="00515197" w:rsidRPr="00344DFC">
        <w:rPr>
          <w:rStyle w:val="FootnoteReference"/>
        </w:rPr>
        <w:footnoteReference w:id="5"/>
      </w:r>
      <w:r w:rsidR="00201A5D" w:rsidRPr="00344DFC">
        <w:t xml:space="preserve">. </w:t>
      </w:r>
      <w:r w:rsidR="00201A5D" w:rsidRPr="00344DFC">
        <w:rPr>
          <w:color w:val="000000"/>
        </w:rPr>
        <w:t>Such unbiased approaches will facilitate identification of new diabetes susceptibility genes and non-coding elements of the genome which affect disease risk, and may offer new therapeutic and preventative targets.</w:t>
      </w:r>
      <w:r w:rsidR="00201A5D" w:rsidRPr="00344DFC">
        <w:t xml:space="preserve"> </w:t>
      </w:r>
    </w:p>
    <w:p w14:paraId="5B448FEA" w14:textId="7665BBE4" w:rsidR="00400C64" w:rsidRPr="00344DFC" w:rsidRDefault="00400C64" w:rsidP="00344DFC">
      <w:pPr>
        <w:spacing w:line="480" w:lineRule="auto"/>
        <w:contextualSpacing/>
        <w:rPr>
          <w:color w:val="000000"/>
        </w:rPr>
      </w:pPr>
    </w:p>
    <w:p w14:paraId="37E604E7" w14:textId="3E658AA3" w:rsidR="00400C64" w:rsidRPr="00344DFC" w:rsidRDefault="00400C64" w:rsidP="00344DFC">
      <w:pPr>
        <w:spacing w:line="480" w:lineRule="auto"/>
        <w:contextualSpacing/>
        <w:rPr>
          <w:b/>
          <w:color w:val="000000"/>
        </w:rPr>
      </w:pPr>
      <w:r w:rsidRPr="00344DFC">
        <w:rPr>
          <w:b/>
          <w:color w:val="000000"/>
        </w:rPr>
        <w:t>Conclusion</w:t>
      </w:r>
      <w:r w:rsidR="00325EDE">
        <w:rPr>
          <w:b/>
          <w:color w:val="000000"/>
        </w:rPr>
        <w:t>s</w:t>
      </w:r>
    </w:p>
    <w:p w14:paraId="30A63726" w14:textId="71B94E99" w:rsidR="00201A5D" w:rsidRPr="00344DFC" w:rsidRDefault="00201A5D" w:rsidP="00344DFC">
      <w:pPr>
        <w:spacing w:line="480" w:lineRule="auto"/>
        <w:ind w:firstLine="720"/>
        <w:contextualSpacing/>
        <w:rPr>
          <w:color w:val="000000"/>
        </w:rPr>
      </w:pPr>
      <w:r w:rsidRPr="00344DFC">
        <w:rPr>
          <w:color w:val="000000"/>
        </w:rPr>
        <w:t xml:space="preserve">While canine genetic research has previously been dominated by studies of monogenic disease, recent technological advances will enable rapid progress in our understanding of canine DM and other complex genetic disorders. As well as contributing to </w:t>
      </w:r>
      <w:r w:rsidRPr="00344DFC">
        <w:rPr>
          <w:color w:val="000000"/>
        </w:rPr>
        <w:lastRenderedPageBreak/>
        <w:t xml:space="preserve">improved understanding of diabetes pathogenesis in all species, including humans, this work is also likely to reveal exciting opportunities for precision medicine in veterinary patients. </w:t>
      </w:r>
    </w:p>
    <w:p w14:paraId="739E6B71" w14:textId="77777777" w:rsidR="00201A5D" w:rsidRPr="00344DFC" w:rsidRDefault="00201A5D" w:rsidP="00344DFC">
      <w:pPr>
        <w:spacing w:line="480" w:lineRule="auto"/>
        <w:contextualSpacing/>
      </w:pPr>
    </w:p>
    <w:p w14:paraId="1F8CC890" w14:textId="77777777" w:rsidR="007D7ACA" w:rsidRPr="00344DFC" w:rsidRDefault="007D7ACA" w:rsidP="00344DFC">
      <w:pPr>
        <w:spacing w:line="480" w:lineRule="auto"/>
        <w:contextualSpacing/>
        <w:rPr>
          <w:b/>
        </w:rPr>
      </w:pPr>
      <w:r w:rsidRPr="00344DFC">
        <w:rPr>
          <w:b/>
        </w:rPr>
        <w:t>Acknowledgements</w:t>
      </w:r>
    </w:p>
    <w:p w14:paraId="1576F8BE" w14:textId="4B4F1498" w:rsidR="00C7509C" w:rsidRPr="000F20D5" w:rsidRDefault="000F20D5" w:rsidP="000F20D5">
      <w:pPr>
        <w:spacing w:line="480" w:lineRule="auto"/>
        <w:ind w:firstLineChars="295" w:firstLine="708"/>
        <w:contextualSpacing/>
      </w:pPr>
      <w:r w:rsidRPr="00063CEE">
        <w:t xml:space="preserve">The members of the Canine Diabetes Genetics Partnership (in alphabetical order) are: </w:t>
      </w:r>
      <w:r>
        <w:t xml:space="preserve">V. </w:t>
      </w:r>
      <w:r w:rsidRPr="00063CEE">
        <w:t xml:space="preserve">Bergomi (University of Cambridge, UK), </w:t>
      </w:r>
      <w:r>
        <w:t xml:space="preserve">B. </w:t>
      </w:r>
      <w:r w:rsidRPr="00063CEE">
        <w:t xml:space="preserve">Catchpole (Royal Veterinary College, UK), </w:t>
      </w:r>
      <w:r>
        <w:t xml:space="preserve">L. J. </w:t>
      </w:r>
      <w:r w:rsidRPr="00063CEE">
        <w:t xml:space="preserve">Davison (Royal Veterinary College and University of Oxford, UK), </w:t>
      </w:r>
      <w:r>
        <w:t xml:space="preserve">A. L. </w:t>
      </w:r>
      <w:r w:rsidRPr="00063CEE">
        <w:t xml:space="preserve">Denyer (Royal Veterinary College, UK), </w:t>
      </w:r>
      <w:r>
        <w:t xml:space="preserve">M. E. </w:t>
      </w:r>
      <w:r w:rsidRPr="00063CEE">
        <w:t xml:space="preserve">Herrtage (University of Cambridge, UK), </w:t>
      </w:r>
      <w:r>
        <w:t xml:space="preserve">K. </w:t>
      </w:r>
      <w:r w:rsidRPr="00063CEE">
        <w:t xml:space="preserve">Hughes (University of Cambridge, UK), </w:t>
      </w:r>
      <w:r>
        <w:t xml:space="preserve">L. J. </w:t>
      </w:r>
      <w:r w:rsidRPr="00063CEE">
        <w:t xml:space="preserve">Kennedy (University of Manchester, UK), </w:t>
      </w:r>
      <w:r>
        <w:t xml:space="preserve">C. </w:t>
      </w:r>
      <w:r w:rsidRPr="00063CEE">
        <w:t xml:space="preserve">Mellersh (University of Cambridge, UK and formerly Animal Health Trust, UK), </w:t>
      </w:r>
      <w:r>
        <w:t xml:space="preserve">C. A. </w:t>
      </w:r>
      <w:r w:rsidRPr="00063CEE">
        <w:t xml:space="preserve">O’Callaghan (University of Oxford, UK), </w:t>
      </w:r>
      <w:r>
        <w:t xml:space="preserve">A. </w:t>
      </w:r>
      <w:r w:rsidRPr="00063CEE">
        <w:t xml:space="preserve">Psifidi (Royal Veterinary College, UK), </w:t>
      </w:r>
      <w:r>
        <w:t xml:space="preserve">I. K. </w:t>
      </w:r>
      <w:r w:rsidRPr="00063CEE">
        <w:t xml:space="preserve">Ramsey (University of Glasgow, UK), </w:t>
      </w:r>
      <w:r>
        <w:t xml:space="preserve">S. L. </w:t>
      </w:r>
      <w:r w:rsidRPr="00063CEE">
        <w:t xml:space="preserve">Ricketts (University of Cambridge, UK and formerly Animal Health Trust, UK), </w:t>
      </w:r>
      <w:r>
        <w:t xml:space="preserve">E. </w:t>
      </w:r>
      <w:r w:rsidRPr="00063CEE">
        <w:t xml:space="preserve">Schofield (University of Cambridge, UK and formerly Animal Health Trust, UK), </w:t>
      </w:r>
      <w:r>
        <w:t xml:space="preserve">M. D. </w:t>
      </w:r>
      <w:r w:rsidRPr="00063CEE">
        <w:t xml:space="preserve">Wallace (Royal Veterinary College, UK), </w:t>
      </w:r>
      <w:r>
        <w:t xml:space="preserve">P. J. </w:t>
      </w:r>
      <w:r w:rsidRPr="00063CEE">
        <w:t xml:space="preserve">Watson (University of Cambridge, UK), </w:t>
      </w:r>
      <w:r>
        <w:t xml:space="preserve">G. </w:t>
      </w:r>
      <w:r w:rsidRPr="00063CEE">
        <w:t xml:space="preserve">Williams (Dechra Ltd.), </w:t>
      </w:r>
      <w:r>
        <w:t xml:space="preserve">and D. </w:t>
      </w:r>
      <w:r w:rsidRPr="00063CEE">
        <w:t xml:space="preserve">Xia (Royal Veterinary College, UK), </w:t>
      </w:r>
      <w:r>
        <w:t xml:space="preserve">N. </w:t>
      </w:r>
      <w:r w:rsidRPr="00063CEE">
        <w:t>Zimmerman (Dechra Ltd</w:t>
      </w:r>
      <w:r>
        <w:t>.</w:t>
      </w:r>
      <w:r w:rsidRPr="00063CEE">
        <w:t xml:space="preserve">). </w:t>
      </w:r>
      <w:r w:rsidR="009347AF" w:rsidRPr="00344DFC">
        <w:t>We would also like to thank the owners of dogs with diabetes who gave permission for their dogs to participate in our studies and the veterinary surgeons who have submitted samples.</w:t>
      </w:r>
      <w:r>
        <w:t xml:space="preserve"> </w:t>
      </w:r>
      <w:r w:rsidR="0086728D" w:rsidRPr="00344DFC">
        <w:t>The Canine Diabetes Genetics Partnership is supported by a grant from the PetPlan Charitable Trust (</w:t>
      </w:r>
      <w:r w:rsidR="0086728D" w:rsidRPr="00344DFC">
        <w:rPr>
          <w:bCs/>
        </w:rPr>
        <w:t>S17-423-461)</w:t>
      </w:r>
      <w:r w:rsidR="0086728D" w:rsidRPr="00344DFC">
        <w:rPr>
          <w:b/>
          <w:bCs/>
        </w:rPr>
        <w:t> </w:t>
      </w:r>
      <w:r w:rsidR="0086728D" w:rsidRPr="00344DFC">
        <w:t>and by Dechra Ltd. ALD is supported by a LIDo Doctoral Training Program (BBSRC funded) and by Dechra Ltd</w:t>
      </w:r>
      <w:r w:rsidR="00612620">
        <w:t>.</w:t>
      </w:r>
      <w:r w:rsidR="0086728D" w:rsidRPr="00344DFC">
        <w:t xml:space="preserve"> (industrial partner for iCASE studentship). ALD is also grateful for funding from the 2018 International Canine Health Awards, administrated by </w:t>
      </w:r>
      <w:hyperlink r:id="rId9" w:history="1">
        <w:r w:rsidR="0086728D" w:rsidRPr="00344DFC">
          <w:rPr>
            <w:rStyle w:val="Hyperlink"/>
            <w:color w:val="auto"/>
            <w:u w:val="none"/>
          </w:rPr>
          <w:t>the Kennel Club Charitable Trust</w:t>
        </w:r>
      </w:hyperlink>
      <w:r w:rsidR="0086728D" w:rsidRPr="00344DFC">
        <w:t xml:space="preserve"> and donated by Vernon and Shirley Hill of </w:t>
      </w:r>
      <w:hyperlink r:id="rId10" w:history="1">
        <w:r w:rsidR="0086728D" w:rsidRPr="00344DFC">
          <w:rPr>
            <w:rStyle w:val="Hyperlink"/>
            <w:color w:val="auto"/>
            <w:u w:val="none"/>
          </w:rPr>
          <w:t>Metro Bank</w:t>
        </w:r>
      </w:hyperlink>
      <w:r w:rsidR="0086728D" w:rsidRPr="00344DFC">
        <w:t>. LJD is supported by an MRC Clinician Scientist Fellowship (</w:t>
      </w:r>
      <w:r w:rsidR="0086728D" w:rsidRPr="00344DFC">
        <w:rPr>
          <w:bCs/>
        </w:rPr>
        <w:t>MR/R007977/1</w:t>
      </w:r>
      <w:r w:rsidR="0086728D" w:rsidRPr="00344DFC">
        <w:t>).</w:t>
      </w:r>
      <w:r w:rsidR="0086728D" w:rsidRPr="00344DFC">
        <w:rPr>
          <w:iCs/>
        </w:rPr>
        <w:t xml:space="preserve"> </w:t>
      </w:r>
      <w:r w:rsidR="0086728D" w:rsidRPr="00344DFC">
        <w:t xml:space="preserve">The UK Canine Diabetes Register and Archive has been </w:t>
      </w:r>
      <w:r w:rsidR="0086728D" w:rsidRPr="00344DFC">
        <w:lastRenderedPageBreak/>
        <w:t>supported by the Kennel Club Charitable Trust, BSAVA Petsavers, the European Commission (FP7-LUPA, GA-201370) and MSD Animal Health.</w:t>
      </w:r>
      <w:r w:rsidR="00B12464" w:rsidRPr="00344DFC">
        <w:t xml:space="preserve"> </w:t>
      </w:r>
    </w:p>
    <w:p w14:paraId="10315164" w14:textId="77777777" w:rsidR="00F21A1A" w:rsidRPr="00344DFC" w:rsidRDefault="00F21A1A" w:rsidP="00344DFC">
      <w:pPr>
        <w:spacing w:line="480" w:lineRule="auto"/>
        <w:contextualSpacing/>
      </w:pPr>
    </w:p>
    <w:p w14:paraId="4F0C1DED" w14:textId="77777777" w:rsidR="00F21A1A" w:rsidRPr="00344DFC" w:rsidRDefault="00F21A1A" w:rsidP="00344DFC">
      <w:pPr>
        <w:pStyle w:val="NoSpacing"/>
        <w:spacing w:line="480" w:lineRule="auto"/>
        <w:contextualSpacing/>
        <w:rPr>
          <w:rFonts w:ascii="Times New Roman" w:hAnsi="Times New Roman"/>
          <w:sz w:val="24"/>
          <w:szCs w:val="24"/>
        </w:rPr>
      </w:pPr>
      <w:r w:rsidRPr="00344DFC">
        <w:rPr>
          <w:rFonts w:ascii="Times New Roman" w:hAnsi="Times New Roman"/>
          <w:b/>
          <w:sz w:val="24"/>
          <w:szCs w:val="24"/>
        </w:rPr>
        <w:t>Conflict of interest statement</w:t>
      </w:r>
    </w:p>
    <w:p w14:paraId="516D74FA" w14:textId="49940A5B" w:rsidR="00B63BCE" w:rsidRPr="00344DFC" w:rsidRDefault="00F21A1A" w:rsidP="0023752D">
      <w:pPr>
        <w:pStyle w:val="NoSpacing"/>
        <w:spacing w:line="480" w:lineRule="auto"/>
        <w:ind w:firstLineChars="295" w:firstLine="708"/>
        <w:contextualSpacing/>
        <w:rPr>
          <w:rFonts w:ascii="Times New Roman" w:hAnsi="Times New Roman"/>
          <w:sz w:val="24"/>
          <w:szCs w:val="24"/>
        </w:rPr>
      </w:pPr>
      <w:r w:rsidRPr="00344DFC">
        <w:rPr>
          <w:rFonts w:ascii="Times New Roman" w:hAnsi="Times New Roman"/>
          <w:sz w:val="24"/>
          <w:szCs w:val="24"/>
        </w:rPr>
        <w:t>None of the authors of this paper has a financial or personal relationship with other people or organisations that could inappropriately influence or bias the content of the paper.</w:t>
      </w:r>
    </w:p>
    <w:p w14:paraId="4F5E2125" w14:textId="77777777" w:rsidR="00C37E0A" w:rsidRPr="00344DFC" w:rsidRDefault="00C37E0A" w:rsidP="00344DFC">
      <w:pPr>
        <w:pStyle w:val="NoSpacing"/>
        <w:spacing w:line="480" w:lineRule="auto"/>
        <w:contextualSpacing/>
        <w:rPr>
          <w:rFonts w:ascii="Times New Roman" w:hAnsi="Times New Roman"/>
          <w:sz w:val="24"/>
          <w:szCs w:val="24"/>
        </w:rPr>
      </w:pPr>
    </w:p>
    <w:p w14:paraId="10BBD377" w14:textId="2BC6ADD6" w:rsidR="006032CD" w:rsidRPr="00E835C4" w:rsidRDefault="0030362F" w:rsidP="00E835C4">
      <w:pPr>
        <w:widowControl w:val="0"/>
        <w:autoSpaceDE w:val="0"/>
        <w:autoSpaceDN w:val="0"/>
        <w:adjustRightInd w:val="0"/>
        <w:spacing w:line="480" w:lineRule="auto"/>
        <w:contextualSpacing/>
      </w:pPr>
      <w:r w:rsidRPr="00344DFC">
        <w:rPr>
          <w:b/>
        </w:rPr>
        <w:t>References</w:t>
      </w:r>
    </w:p>
    <w:p w14:paraId="10AC3A6D" w14:textId="6EBE1E25"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Andersen, M.K., Lundgren, V., Turunen, J.A., Forsblom, C., Isomaa, B.O., Groop, P.H., Groop, L., Tuomi, T., 2010. Latent </w:t>
      </w:r>
      <w:r w:rsidR="000F20D5" w:rsidRPr="00344DFC">
        <w:rPr>
          <w:noProof/>
          <w:lang w:val="en-US"/>
        </w:rPr>
        <w:t xml:space="preserve">autoimmune diabetes in adults differs genetically from classical </w:t>
      </w:r>
      <w:r w:rsidR="0021603E">
        <w:rPr>
          <w:noProof/>
          <w:lang w:val="en-US"/>
        </w:rPr>
        <w:t>t</w:t>
      </w:r>
      <w:r w:rsidRPr="00344DFC">
        <w:rPr>
          <w:noProof/>
          <w:lang w:val="en-US"/>
        </w:rPr>
        <w:t xml:space="preserve">ype 1 </w:t>
      </w:r>
      <w:r w:rsidR="000F20D5" w:rsidRPr="00344DFC">
        <w:rPr>
          <w:noProof/>
          <w:lang w:val="en-US"/>
        </w:rPr>
        <w:t xml:space="preserve">diabetes diagnosed after the age </w:t>
      </w:r>
      <w:r w:rsidRPr="00344DFC">
        <w:rPr>
          <w:noProof/>
          <w:lang w:val="en-US"/>
        </w:rPr>
        <w:t>of 35 Years.</w:t>
      </w:r>
      <w:r w:rsidR="006032CD" w:rsidRPr="00344DFC">
        <w:rPr>
          <w:noProof/>
          <w:lang w:val="en-US"/>
        </w:rPr>
        <w:t xml:space="preserve"> Diabetes Care 33</w:t>
      </w:r>
      <w:r w:rsidR="00821820">
        <w:rPr>
          <w:noProof/>
          <w:lang w:val="en-US"/>
        </w:rPr>
        <w:t xml:space="preserve">, </w:t>
      </w:r>
      <w:r w:rsidR="006032CD" w:rsidRPr="00344DFC">
        <w:rPr>
          <w:noProof/>
          <w:lang w:val="en-US"/>
        </w:rPr>
        <w:t>2062</w:t>
      </w:r>
      <w:r w:rsidR="00821820">
        <w:rPr>
          <w:noProof/>
          <w:lang w:val="en-US"/>
        </w:rPr>
        <w:t>-</w:t>
      </w:r>
      <w:r w:rsidR="006032CD" w:rsidRPr="00344DFC">
        <w:rPr>
          <w:noProof/>
          <w:lang w:val="en-US"/>
        </w:rPr>
        <w:t>4.</w:t>
      </w:r>
      <w:r w:rsidRPr="00344DFC">
        <w:rPr>
          <w:noProof/>
          <w:lang w:val="en-US"/>
        </w:rPr>
        <w:t xml:space="preserve"> </w:t>
      </w:r>
    </w:p>
    <w:p w14:paraId="3A4A11EF" w14:textId="77777777" w:rsidR="006032CD" w:rsidRPr="00344DFC" w:rsidRDefault="006032CD" w:rsidP="009E2A1E">
      <w:pPr>
        <w:widowControl w:val="0"/>
        <w:autoSpaceDE w:val="0"/>
        <w:autoSpaceDN w:val="0"/>
        <w:adjustRightInd w:val="0"/>
        <w:ind w:left="480" w:hanging="480"/>
        <w:rPr>
          <w:noProof/>
          <w:lang w:val="en-US"/>
        </w:rPr>
      </w:pPr>
    </w:p>
    <w:p w14:paraId="469EC95A"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Angles, J.M., Kennedy, L.J., Pedersen, N.C., 2005. Frequency and distribution of alleles of canine MHC-II DLA-DQB1, DLA-DQA1 and DLA-DRB1 in 25 representative American Kennel Club breeds. Tissue Antigens 66, 173–184. </w:t>
      </w:r>
    </w:p>
    <w:p w14:paraId="549F5F21" w14:textId="77777777" w:rsidR="006032CD" w:rsidRPr="00344DFC" w:rsidRDefault="006032CD" w:rsidP="009E2A1E">
      <w:pPr>
        <w:widowControl w:val="0"/>
        <w:autoSpaceDE w:val="0"/>
        <w:autoSpaceDN w:val="0"/>
        <w:adjustRightInd w:val="0"/>
        <w:ind w:left="480" w:hanging="480"/>
        <w:rPr>
          <w:noProof/>
          <w:lang w:val="en-US"/>
        </w:rPr>
      </w:pPr>
    </w:p>
    <w:p w14:paraId="0111623D" w14:textId="5186E1BE"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Ashcroft, F.M., Rorsman, P., 2012. Diabetes </w:t>
      </w:r>
      <w:r w:rsidR="000F20D5">
        <w:rPr>
          <w:noProof/>
          <w:lang w:val="en-US"/>
        </w:rPr>
        <w:t>m</w:t>
      </w:r>
      <w:r w:rsidRPr="00344DFC">
        <w:rPr>
          <w:noProof/>
          <w:lang w:val="en-US"/>
        </w:rPr>
        <w:t xml:space="preserve">ellitus and the β Cell: The </w:t>
      </w:r>
      <w:r w:rsidR="000F20D5" w:rsidRPr="00344DFC">
        <w:rPr>
          <w:noProof/>
          <w:lang w:val="en-US"/>
        </w:rPr>
        <w:t>last ten years</w:t>
      </w:r>
      <w:r w:rsidRPr="00344DFC">
        <w:rPr>
          <w:noProof/>
          <w:lang w:val="en-US"/>
        </w:rPr>
        <w:t xml:space="preserve">. Cell 148, 1160–1171. </w:t>
      </w:r>
    </w:p>
    <w:p w14:paraId="12F26B32" w14:textId="77777777" w:rsidR="006032CD" w:rsidRPr="00344DFC" w:rsidRDefault="006032CD" w:rsidP="009E2A1E">
      <w:pPr>
        <w:widowControl w:val="0"/>
        <w:autoSpaceDE w:val="0"/>
        <w:autoSpaceDN w:val="0"/>
        <w:adjustRightInd w:val="0"/>
        <w:ind w:left="480" w:hanging="480"/>
        <w:rPr>
          <w:noProof/>
          <w:lang w:val="en-US"/>
        </w:rPr>
      </w:pPr>
    </w:p>
    <w:p w14:paraId="79071702"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Bai, B., Zhao, W.M., Tang, B.X., Wang, Y.Q., Wang, L., Zhang, Z., Yang, H.C., Liu, Y.H., Zhu, J.W., Irwin, D.M.</w:t>
      </w:r>
      <w:r w:rsidR="006032CD" w:rsidRPr="00344DFC">
        <w:rPr>
          <w:noProof/>
          <w:lang w:val="en-US"/>
        </w:rPr>
        <w:t xml:space="preserve"> et al.</w:t>
      </w:r>
      <w:r w:rsidRPr="00344DFC">
        <w:rPr>
          <w:noProof/>
          <w:lang w:val="en-US"/>
        </w:rPr>
        <w:t>, 2015. DoGSD: The dog and Wolf genome SNP database. Nucleic Acids Res</w:t>
      </w:r>
      <w:r w:rsidR="006032CD" w:rsidRPr="00344DFC">
        <w:rPr>
          <w:noProof/>
          <w:lang w:val="en-US"/>
        </w:rPr>
        <w:t>earch</w:t>
      </w:r>
      <w:r w:rsidRPr="00344DFC">
        <w:rPr>
          <w:noProof/>
          <w:lang w:val="en-US"/>
        </w:rPr>
        <w:t xml:space="preserve"> 43, D777–D783. </w:t>
      </w:r>
    </w:p>
    <w:p w14:paraId="200A95C3" w14:textId="77777777" w:rsidR="006032CD" w:rsidRPr="00344DFC" w:rsidRDefault="006032CD" w:rsidP="009E2A1E">
      <w:pPr>
        <w:widowControl w:val="0"/>
        <w:autoSpaceDE w:val="0"/>
        <w:autoSpaceDN w:val="0"/>
        <w:adjustRightInd w:val="0"/>
        <w:ind w:left="480" w:hanging="480"/>
        <w:rPr>
          <w:noProof/>
          <w:lang w:val="en-US"/>
        </w:rPr>
      </w:pPr>
    </w:p>
    <w:p w14:paraId="5120169B" w14:textId="3EE997FA"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Bakay, M., Pandey, R., Grant, S.F.A., Hakonarson, H., 2019. The </w:t>
      </w:r>
      <w:r w:rsidR="000F20D5" w:rsidRPr="00344DFC">
        <w:rPr>
          <w:noProof/>
          <w:lang w:val="en-US"/>
        </w:rPr>
        <w:t xml:space="preserve">genetic contribution </w:t>
      </w:r>
      <w:r w:rsidRPr="00344DFC">
        <w:rPr>
          <w:noProof/>
          <w:lang w:val="en-US"/>
        </w:rPr>
        <w:t xml:space="preserve">to </w:t>
      </w:r>
      <w:r w:rsidR="0021603E">
        <w:rPr>
          <w:noProof/>
          <w:lang w:val="en-US"/>
        </w:rPr>
        <w:t>t</w:t>
      </w:r>
      <w:r w:rsidRPr="00344DFC">
        <w:rPr>
          <w:noProof/>
          <w:lang w:val="en-US"/>
        </w:rPr>
        <w:t>ype 1 Diabetes. Curr</w:t>
      </w:r>
      <w:r w:rsidR="006032CD" w:rsidRPr="00344DFC">
        <w:rPr>
          <w:noProof/>
          <w:lang w:val="en-US"/>
        </w:rPr>
        <w:t>ent</w:t>
      </w:r>
      <w:r w:rsidRPr="00344DFC">
        <w:rPr>
          <w:noProof/>
          <w:lang w:val="en-US"/>
        </w:rPr>
        <w:t xml:space="preserve"> Diab</w:t>
      </w:r>
      <w:r w:rsidR="006032CD" w:rsidRPr="00344DFC">
        <w:rPr>
          <w:noProof/>
          <w:lang w:val="en-US"/>
        </w:rPr>
        <w:t>etes</w:t>
      </w:r>
      <w:r w:rsidRPr="00344DFC">
        <w:rPr>
          <w:noProof/>
          <w:lang w:val="en-US"/>
        </w:rPr>
        <w:t xml:space="preserve"> Rep</w:t>
      </w:r>
      <w:r w:rsidR="006032CD" w:rsidRPr="00344DFC">
        <w:rPr>
          <w:noProof/>
          <w:lang w:val="en-US"/>
        </w:rPr>
        <w:t>orts</w:t>
      </w:r>
      <w:r w:rsidRPr="00344DFC">
        <w:rPr>
          <w:noProof/>
          <w:lang w:val="en-US"/>
        </w:rPr>
        <w:t xml:space="preserve"> </w:t>
      </w:r>
      <w:r w:rsidR="006032CD" w:rsidRPr="00344DFC">
        <w:rPr>
          <w:noProof/>
          <w:lang w:val="en-US"/>
        </w:rPr>
        <w:t>19, 116.</w:t>
      </w:r>
    </w:p>
    <w:p w14:paraId="57101E0F" w14:textId="77777777" w:rsidR="006032CD" w:rsidRPr="00344DFC" w:rsidRDefault="006032CD" w:rsidP="009E2A1E">
      <w:pPr>
        <w:widowControl w:val="0"/>
        <w:autoSpaceDE w:val="0"/>
        <w:autoSpaceDN w:val="0"/>
        <w:adjustRightInd w:val="0"/>
        <w:ind w:left="480" w:hanging="480"/>
        <w:rPr>
          <w:noProof/>
          <w:lang w:val="en-US"/>
        </w:rPr>
      </w:pPr>
    </w:p>
    <w:p w14:paraId="205E18EA"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Barrett, J.C., Clayton, D., Concannon, P., Akolkar, B., Cooper, J.D., Erlich, H.A., Julier, C., Morahan, G., Nerup, J., Nierras, C.</w:t>
      </w:r>
      <w:r w:rsidR="006032CD" w:rsidRPr="00344DFC">
        <w:rPr>
          <w:noProof/>
          <w:lang w:val="en-US"/>
        </w:rPr>
        <w:t xml:space="preserve"> et al.</w:t>
      </w:r>
      <w:r w:rsidRPr="00344DFC">
        <w:rPr>
          <w:noProof/>
          <w:lang w:val="en-US"/>
        </w:rPr>
        <w:t>, 2009. Genome-wide association study and meta-analysis finds over 40 loci affect risk of type 1 diabetes</w:t>
      </w:r>
      <w:r w:rsidR="00D8114F" w:rsidRPr="00344DFC">
        <w:rPr>
          <w:noProof/>
          <w:lang w:val="en-US"/>
        </w:rPr>
        <w:t xml:space="preserve">. </w:t>
      </w:r>
      <w:r w:rsidRPr="00344DFC">
        <w:rPr>
          <w:noProof/>
          <w:lang w:val="en-US"/>
        </w:rPr>
        <w:t>Nat</w:t>
      </w:r>
      <w:r w:rsidR="006032CD" w:rsidRPr="00344DFC">
        <w:rPr>
          <w:noProof/>
          <w:lang w:val="en-US"/>
        </w:rPr>
        <w:t>ure</w:t>
      </w:r>
      <w:r w:rsidRPr="00344DFC">
        <w:rPr>
          <w:noProof/>
          <w:lang w:val="en-US"/>
        </w:rPr>
        <w:t xml:space="preserve"> Genet</w:t>
      </w:r>
      <w:r w:rsidR="006032CD" w:rsidRPr="00344DFC">
        <w:rPr>
          <w:noProof/>
          <w:lang w:val="en-US"/>
        </w:rPr>
        <w:t>ics</w:t>
      </w:r>
      <w:r w:rsidRPr="00344DFC">
        <w:rPr>
          <w:noProof/>
          <w:lang w:val="en-US"/>
        </w:rPr>
        <w:t xml:space="preserve"> 41, 703–707. </w:t>
      </w:r>
    </w:p>
    <w:p w14:paraId="54EE9F53" w14:textId="77777777" w:rsidR="006032CD" w:rsidRPr="00344DFC" w:rsidRDefault="006032CD" w:rsidP="009E2A1E">
      <w:pPr>
        <w:widowControl w:val="0"/>
        <w:autoSpaceDE w:val="0"/>
        <w:autoSpaceDN w:val="0"/>
        <w:adjustRightInd w:val="0"/>
        <w:ind w:left="480" w:hanging="480"/>
        <w:rPr>
          <w:noProof/>
          <w:lang w:val="en-US"/>
        </w:rPr>
      </w:pPr>
    </w:p>
    <w:p w14:paraId="61631695"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Bennett, S.T., Lucassen, A.M., Gough, S.C.L., Powell, E.E., Undlien, D.E., Pritchard, L.E., Merriman, M.E., Kawaguchi, Y., Dronsfield, M.J., Pociot, F.</w:t>
      </w:r>
      <w:r w:rsidR="00F72069" w:rsidRPr="00344DFC">
        <w:rPr>
          <w:noProof/>
          <w:lang w:val="en-US"/>
        </w:rPr>
        <w:t xml:space="preserve"> et al.</w:t>
      </w:r>
      <w:r w:rsidRPr="00344DFC">
        <w:rPr>
          <w:noProof/>
          <w:lang w:val="en-US"/>
        </w:rPr>
        <w:t>, 1995. Susceptibility to human type 1 diabetes at IDDM2 is determined by tandem repeat variation at the insulin gene minisatellite locus. Nat</w:t>
      </w:r>
      <w:r w:rsidR="00F72069" w:rsidRPr="00344DFC">
        <w:rPr>
          <w:noProof/>
          <w:lang w:val="en-US"/>
        </w:rPr>
        <w:t>ure Genetics</w:t>
      </w:r>
      <w:r w:rsidRPr="00344DFC">
        <w:rPr>
          <w:noProof/>
          <w:lang w:val="en-US"/>
        </w:rPr>
        <w:t xml:space="preserve"> 9, 284–292. </w:t>
      </w:r>
    </w:p>
    <w:p w14:paraId="31662D65" w14:textId="77777777" w:rsidR="00A81E27" w:rsidRPr="00344DFC" w:rsidRDefault="00A81E27" w:rsidP="009E2A1E">
      <w:pPr>
        <w:widowControl w:val="0"/>
        <w:autoSpaceDE w:val="0"/>
        <w:autoSpaceDN w:val="0"/>
        <w:adjustRightInd w:val="0"/>
        <w:ind w:left="480" w:hanging="480"/>
        <w:rPr>
          <w:noProof/>
          <w:lang w:val="en-US"/>
        </w:rPr>
      </w:pPr>
    </w:p>
    <w:p w14:paraId="37E8384F"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Bottini, N., Musumeci, L., Alonso, A., Rahmouni, S., Nika, K., Rostamkhani, M., Macmurray, J., Meloni, G.F., Lucarelli, P., Pellecchia, M.</w:t>
      </w:r>
      <w:r w:rsidR="00F72069" w:rsidRPr="00344DFC">
        <w:rPr>
          <w:noProof/>
          <w:lang w:val="en-US"/>
        </w:rPr>
        <w:t xml:space="preserve"> et al.</w:t>
      </w:r>
      <w:r w:rsidRPr="00344DFC">
        <w:rPr>
          <w:noProof/>
          <w:lang w:val="en-US"/>
        </w:rPr>
        <w:t xml:space="preserve">, 2004. A functional variant of lymphoid tyrosine phosphatase is associated with type I diabetes. </w:t>
      </w:r>
      <w:r w:rsidR="00F72069" w:rsidRPr="00344DFC">
        <w:rPr>
          <w:noProof/>
          <w:lang w:val="en-US"/>
        </w:rPr>
        <w:t>Nature Genetics 36, 337-8.</w:t>
      </w:r>
    </w:p>
    <w:p w14:paraId="62C50683" w14:textId="77777777" w:rsidR="00F72069" w:rsidRPr="00344DFC" w:rsidRDefault="00F72069" w:rsidP="009E2A1E">
      <w:pPr>
        <w:widowControl w:val="0"/>
        <w:autoSpaceDE w:val="0"/>
        <w:autoSpaceDN w:val="0"/>
        <w:adjustRightInd w:val="0"/>
        <w:ind w:left="480" w:hanging="480"/>
        <w:rPr>
          <w:noProof/>
          <w:lang w:val="en-US"/>
        </w:rPr>
      </w:pPr>
    </w:p>
    <w:p w14:paraId="3B97CB4C" w14:textId="5196414C" w:rsidR="009E2A1E" w:rsidRPr="00344DFC" w:rsidRDefault="009E2A1E" w:rsidP="009E2A1E">
      <w:pPr>
        <w:widowControl w:val="0"/>
        <w:autoSpaceDE w:val="0"/>
        <w:autoSpaceDN w:val="0"/>
        <w:adjustRightInd w:val="0"/>
        <w:ind w:left="480" w:hanging="480"/>
        <w:rPr>
          <w:noProof/>
          <w:lang w:val="en-US"/>
        </w:rPr>
      </w:pPr>
      <w:r w:rsidRPr="00344DFC">
        <w:rPr>
          <w:noProof/>
          <w:lang w:val="en-US"/>
        </w:rPr>
        <w:lastRenderedPageBreak/>
        <w:t xml:space="preserve">Bowman, P., Flanagan, S.E., Hattersley, A.T., 2018. Future </w:t>
      </w:r>
      <w:r w:rsidR="000F20D5" w:rsidRPr="00344DFC">
        <w:rPr>
          <w:noProof/>
          <w:lang w:val="en-US"/>
        </w:rPr>
        <w:t xml:space="preserve">roadmaps for precision medicine applied to diabetes: </w:t>
      </w:r>
      <w:r w:rsidR="000F20D5">
        <w:rPr>
          <w:noProof/>
          <w:lang w:val="en-US"/>
        </w:rPr>
        <w:t>R</w:t>
      </w:r>
      <w:r w:rsidR="000F20D5" w:rsidRPr="00344DFC">
        <w:rPr>
          <w:noProof/>
          <w:lang w:val="en-US"/>
        </w:rPr>
        <w:t>ising to the challenge of heteroge</w:t>
      </w:r>
      <w:r w:rsidRPr="00344DFC">
        <w:rPr>
          <w:noProof/>
          <w:lang w:val="en-US"/>
        </w:rPr>
        <w:t>neity. J</w:t>
      </w:r>
      <w:r w:rsidR="00F72069" w:rsidRPr="00344DFC">
        <w:rPr>
          <w:noProof/>
          <w:lang w:val="en-US"/>
        </w:rPr>
        <w:t>ournal of</w:t>
      </w:r>
      <w:r w:rsidRPr="00344DFC">
        <w:rPr>
          <w:noProof/>
          <w:lang w:val="en-US"/>
        </w:rPr>
        <w:t xml:space="preserve"> Diabetes Res</w:t>
      </w:r>
      <w:r w:rsidR="00F72069" w:rsidRPr="00344DFC">
        <w:rPr>
          <w:noProof/>
          <w:lang w:val="en-US"/>
        </w:rPr>
        <w:t>earch</w:t>
      </w:r>
      <w:r w:rsidRPr="00344DFC">
        <w:rPr>
          <w:noProof/>
          <w:lang w:val="en-US"/>
        </w:rPr>
        <w:t xml:space="preserve"> 2018, 1–12. </w:t>
      </w:r>
    </w:p>
    <w:p w14:paraId="495EF82D" w14:textId="77777777" w:rsidR="00F72069" w:rsidRPr="00344DFC" w:rsidRDefault="00F72069" w:rsidP="009E2A1E">
      <w:pPr>
        <w:widowControl w:val="0"/>
        <w:autoSpaceDE w:val="0"/>
        <w:autoSpaceDN w:val="0"/>
        <w:adjustRightInd w:val="0"/>
        <w:ind w:left="480" w:hanging="480"/>
        <w:rPr>
          <w:noProof/>
          <w:lang w:val="en-US"/>
        </w:rPr>
      </w:pPr>
    </w:p>
    <w:p w14:paraId="5B63C0D2" w14:textId="460870AD"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Bradfield, J.P., Qu, H.-Q., Wang, K., Zhang, H., Sleiman, P.M., 2011. A </w:t>
      </w:r>
      <w:r w:rsidR="000F20D5" w:rsidRPr="00344DFC">
        <w:rPr>
          <w:noProof/>
          <w:lang w:val="en-US"/>
        </w:rPr>
        <w:t xml:space="preserve">genome-wide meta-analysis of six </w:t>
      </w:r>
      <w:r w:rsidR="0021603E">
        <w:rPr>
          <w:noProof/>
          <w:lang w:val="en-US"/>
        </w:rPr>
        <w:t>t</w:t>
      </w:r>
      <w:r w:rsidR="000F20D5" w:rsidRPr="00344DFC">
        <w:rPr>
          <w:noProof/>
          <w:lang w:val="en-US"/>
        </w:rPr>
        <w:t>ype 1 diabetes cohorts identifies multiple associated loci</w:t>
      </w:r>
      <w:r w:rsidRPr="00344DFC">
        <w:rPr>
          <w:noProof/>
          <w:lang w:val="en-US"/>
        </w:rPr>
        <w:t>. PLoS Genet</w:t>
      </w:r>
      <w:r w:rsidR="00F72069" w:rsidRPr="00344DFC">
        <w:rPr>
          <w:noProof/>
          <w:lang w:val="en-US"/>
        </w:rPr>
        <w:t>ics</w:t>
      </w:r>
      <w:r w:rsidRPr="00344DFC">
        <w:rPr>
          <w:noProof/>
          <w:lang w:val="en-US"/>
        </w:rPr>
        <w:t xml:space="preserve"> 7, 1002293. </w:t>
      </w:r>
    </w:p>
    <w:p w14:paraId="1CE91667" w14:textId="77777777" w:rsidR="00F72069" w:rsidRPr="00344DFC" w:rsidRDefault="00F72069" w:rsidP="009E2A1E">
      <w:pPr>
        <w:widowControl w:val="0"/>
        <w:autoSpaceDE w:val="0"/>
        <w:autoSpaceDN w:val="0"/>
        <w:adjustRightInd w:val="0"/>
        <w:ind w:left="480" w:hanging="480"/>
        <w:rPr>
          <w:noProof/>
          <w:lang w:val="en-US"/>
        </w:rPr>
      </w:pPr>
    </w:p>
    <w:p w14:paraId="350D264A"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Burton, P.R., Clayton, D.G., Cardon, L.R., Craddock, N., Deloukas, P., Duncanson, A., Kwiatkowski, D.P., McCarthy, M.I., Ouwehand, W.H., Samani, N.J., </w:t>
      </w:r>
      <w:r w:rsidR="00F72069" w:rsidRPr="00344DFC">
        <w:rPr>
          <w:noProof/>
          <w:lang w:val="en-US"/>
        </w:rPr>
        <w:t>et al.</w:t>
      </w:r>
      <w:r w:rsidRPr="00344DFC">
        <w:rPr>
          <w:noProof/>
          <w:lang w:val="en-US"/>
        </w:rPr>
        <w:t xml:space="preserve">, 2007. Genome-wide association study of 14,000 cases of seven common diseases and 3,000 shared controls. Nature 447, 661–678. </w:t>
      </w:r>
    </w:p>
    <w:p w14:paraId="5482B98D" w14:textId="77777777" w:rsidR="00F72069" w:rsidRPr="00344DFC" w:rsidRDefault="00F72069" w:rsidP="009E2A1E">
      <w:pPr>
        <w:widowControl w:val="0"/>
        <w:autoSpaceDE w:val="0"/>
        <w:autoSpaceDN w:val="0"/>
        <w:adjustRightInd w:val="0"/>
        <w:ind w:left="480" w:hanging="480"/>
        <w:rPr>
          <w:noProof/>
          <w:lang w:val="en-US"/>
        </w:rPr>
      </w:pPr>
    </w:p>
    <w:p w14:paraId="361539CE" w14:textId="0DC9F695"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Catchpole, B., Adams, J.P., Holder, A.L., Short, A.D., Ollier, W.E.R., Kennedy, L.J., 2013. Genetics of canine diabetes mellitus : Are the diabetes susceptibility genes identified in humans involved in breed susceptibility to diabetes mellitus in dogs ? </w:t>
      </w:r>
      <w:r w:rsidR="00F72069" w:rsidRPr="00344DFC">
        <w:rPr>
          <w:noProof/>
          <w:lang w:val="en-US"/>
        </w:rPr>
        <w:t xml:space="preserve">The Veterinary Journal </w:t>
      </w:r>
      <w:r w:rsidRPr="00344DFC">
        <w:rPr>
          <w:noProof/>
          <w:lang w:val="en-US"/>
        </w:rPr>
        <w:t xml:space="preserve">195, 139–147. </w:t>
      </w:r>
    </w:p>
    <w:p w14:paraId="18055C2B" w14:textId="3CCEF6A6" w:rsidR="00586F6E" w:rsidRPr="00344DFC" w:rsidRDefault="00586F6E" w:rsidP="009E2A1E">
      <w:pPr>
        <w:widowControl w:val="0"/>
        <w:autoSpaceDE w:val="0"/>
        <w:autoSpaceDN w:val="0"/>
        <w:adjustRightInd w:val="0"/>
        <w:ind w:left="480" w:hanging="480"/>
        <w:rPr>
          <w:noProof/>
          <w:lang w:val="en-US"/>
        </w:rPr>
      </w:pPr>
    </w:p>
    <w:p w14:paraId="6AD91D16" w14:textId="29BC2FA0" w:rsidR="00586F6E" w:rsidRPr="00344DFC" w:rsidRDefault="00586F6E" w:rsidP="00586F6E">
      <w:pPr>
        <w:widowControl w:val="0"/>
        <w:autoSpaceDE w:val="0"/>
        <w:autoSpaceDN w:val="0"/>
        <w:adjustRightInd w:val="0"/>
        <w:ind w:left="480" w:hanging="480"/>
        <w:rPr>
          <w:noProof/>
          <w:lang w:val="en-US"/>
        </w:rPr>
      </w:pPr>
      <w:r w:rsidRPr="00344DFC">
        <w:rPr>
          <w:noProof/>
          <w:lang w:val="en-US"/>
        </w:rPr>
        <w:t xml:space="preserve">Caywood, D.D., Klausner, J.S., O’Leary, T.P., Withrow, S.J., Richardson, R.C., Harvey, H.J., Norris, A.M., Henderson, R.A., Johnston, S.D., 1988. Pancreatic insulin-secreting neoplasma: </w:t>
      </w:r>
      <w:r w:rsidR="0021603E">
        <w:rPr>
          <w:noProof/>
          <w:lang w:val="en-US"/>
        </w:rPr>
        <w:t>C</w:t>
      </w:r>
      <w:r w:rsidRPr="00344DFC">
        <w:rPr>
          <w:noProof/>
          <w:lang w:val="en-US"/>
        </w:rPr>
        <w:t>linical, diagnostic, and prognostic features in 73 dogs. The Journal of the American Animal Hospital Association 24, 577-84.</w:t>
      </w:r>
    </w:p>
    <w:p w14:paraId="675756AB" w14:textId="77777777" w:rsidR="00F72069" w:rsidRPr="00344DFC" w:rsidRDefault="00F72069" w:rsidP="009E2A1E">
      <w:pPr>
        <w:widowControl w:val="0"/>
        <w:autoSpaceDE w:val="0"/>
        <w:autoSpaceDN w:val="0"/>
        <w:adjustRightInd w:val="0"/>
        <w:ind w:left="480" w:hanging="480"/>
        <w:rPr>
          <w:noProof/>
          <w:lang w:val="en-US"/>
        </w:rPr>
      </w:pPr>
    </w:p>
    <w:p w14:paraId="1CA4DF3A" w14:textId="3EDC42C3"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Cervin, C., Lyssenko, V., Bakhtadze, E., Lindholm, E., Nilsson, P., Tuomi, T., Cilio, C.M., Groop, L., 2008. Genetic </w:t>
      </w:r>
      <w:r w:rsidR="000F20D5" w:rsidRPr="00344DFC">
        <w:rPr>
          <w:noProof/>
          <w:lang w:val="en-US"/>
        </w:rPr>
        <w:t>similarities between latent autoimmune diabetes in adults</w:t>
      </w:r>
      <w:r w:rsidRPr="00344DFC">
        <w:rPr>
          <w:noProof/>
          <w:lang w:val="en-US"/>
        </w:rPr>
        <w:t xml:space="preserve">, </w:t>
      </w:r>
      <w:r w:rsidR="0021603E" w:rsidRPr="00344DFC">
        <w:rPr>
          <w:noProof/>
          <w:lang w:val="en-US"/>
        </w:rPr>
        <w:t xml:space="preserve">type 1 </w:t>
      </w:r>
      <w:r w:rsidR="0021603E">
        <w:rPr>
          <w:noProof/>
          <w:lang w:val="en-US"/>
        </w:rPr>
        <w:t>d</w:t>
      </w:r>
      <w:r w:rsidR="0021603E" w:rsidRPr="00344DFC">
        <w:rPr>
          <w:noProof/>
          <w:lang w:val="en-US"/>
        </w:rPr>
        <w:t xml:space="preserve">iabetes, and type </w:t>
      </w:r>
      <w:r w:rsidRPr="00344DFC">
        <w:rPr>
          <w:noProof/>
          <w:lang w:val="en-US"/>
        </w:rPr>
        <w:t xml:space="preserve">2 </w:t>
      </w:r>
      <w:r w:rsidR="000F20D5">
        <w:rPr>
          <w:noProof/>
          <w:lang w:val="en-US"/>
        </w:rPr>
        <w:t>d</w:t>
      </w:r>
      <w:r w:rsidRPr="00344DFC">
        <w:rPr>
          <w:noProof/>
          <w:lang w:val="en-US"/>
        </w:rPr>
        <w:t xml:space="preserve">iabetes. </w:t>
      </w:r>
      <w:r w:rsidR="00F72069" w:rsidRPr="00344DFC">
        <w:rPr>
          <w:noProof/>
          <w:lang w:val="en-US"/>
        </w:rPr>
        <w:t>Diabetes 57, 1433-7.</w:t>
      </w:r>
    </w:p>
    <w:p w14:paraId="7C146645" w14:textId="77777777" w:rsidR="00F72069" w:rsidRPr="00344DFC" w:rsidRDefault="00F72069" w:rsidP="009E2A1E">
      <w:pPr>
        <w:widowControl w:val="0"/>
        <w:autoSpaceDE w:val="0"/>
        <w:autoSpaceDN w:val="0"/>
        <w:adjustRightInd w:val="0"/>
        <w:ind w:left="480" w:hanging="480"/>
        <w:rPr>
          <w:noProof/>
          <w:lang w:val="en-US"/>
        </w:rPr>
      </w:pPr>
    </w:p>
    <w:p w14:paraId="35A459BB"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Colombo, C., Porzio, O., Liu, M., Massa, O., Vasta, M., Salardi, S., Beccaria, L., Monciotti, C., Toni, S., Pedersen, O.</w:t>
      </w:r>
      <w:r w:rsidR="00F72069" w:rsidRPr="00344DFC">
        <w:rPr>
          <w:noProof/>
          <w:lang w:val="en-US"/>
        </w:rPr>
        <w:t xml:space="preserve"> et al.</w:t>
      </w:r>
      <w:r w:rsidRPr="00344DFC">
        <w:rPr>
          <w:noProof/>
          <w:lang w:val="en-US"/>
        </w:rPr>
        <w:t xml:space="preserve">, Early Onset Diabetes Study Group of the Italian Society of Pediatric Endocrinology and Diabetes (SIEDP), 2008. Seven mutations in the human insulin gene linked to permanent neonatal/infancy-onset diabetes mellitus. </w:t>
      </w:r>
      <w:r w:rsidR="00F72069" w:rsidRPr="00344DFC">
        <w:rPr>
          <w:noProof/>
          <w:lang w:val="en-US"/>
        </w:rPr>
        <w:t xml:space="preserve">The Journal of Clinical Investigation </w:t>
      </w:r>
      <w:r w:rsidRPr="00344DFC">
        <w:rPr>
          <w:noProof/>
          <w:lang w:val="en-US"/>
        </w:rPr>
        <w:t xml:space="preserve">118, 2148–56. </w:t>
      </w:r>
    </w:p>
    <w:p w14:paraId="7D132DBA" w14:textId="77777777" w:rsidR="00F72069" w:rsidRPr="00344DFC" w:rsidRDefault="00F72069" w:rsidP="009E2A1E">
      <w:pPr>
        <w:widowControl w:val="0"/>
        <w:autoSpaceDE w:val="0"/>
        <w:autoSpaceDN w:val="0"/>
        <w:adjustRightInd w:val="0"/>
        <w:ind w:left="480" w:hanging="480"/>
        <w:rPr>
          <w:noProof/>
          <w:lang w:val="en-US"/>
        </w:rPr>
      </w:pPr>
    </w:p>
    <w:p w14:paraId="63CE2DC2" w14:textId="767EEEF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Concannon, P., Rich, S.S., Nepom, G.T., 2009. Genetics of </w:t>
      </w:r>
      <w:r w:rsidR="0021603E">
        <w:rPr>
          <w:noProof/>
          <w:lang w:val="en-US"/>
        </w:rPr>
        <w:t>t</w:t>
      </w:r>
      <w:r w:rsidRPr="00344DFC">
        <w:rPr>
          <w:noProof/>
          <w:lang w:val="en-US"/>
        </w:rPr>
        <w:t xml:space="preserve">ype 1A </w:t>
      </w:r>
      <w:r w:rsidR="000F20D5">
        <w:rPr>
          <w:noProof/>
          <w:lang w:val="en-US"/>
        </w:rPr>
        <w:t>d</w:t>
      </w:r>
      <w:r w:rsidRPr="00344DFC">
        <w:rPr>
          <w:noProof/>
          <w:lang w:val="en-US"/>
        </w:rPr>
        <w:t>iabetes. N</w:t>
      </w:r>
      <w:r w:rsidR="00F72069" w:rsidRPr="00344DFC">
        <w:rPr>
          <w:noProof/>
          <w:lang w:val="en-US"/>
        </w:rPr>
        <w:t>ew</w:t>
      </w:r>
      <w:r w:rsidRPr="00344DFC">
        <w:rPr>
          <w:noProof/>
          <w:lang w:val="en-US"/>
        </w:rPr>
        <w:t xml:space="preserve"> Engl</w:t>
      </w:r>
      <w:r w:rsidR="00F72069" w:rsidRPr="00344DFC">
        <w:rPr>
          <w:noProof/>
          <w:lang w:val="en-US"/>
        </w:rPr>
        <w:t>and</w:t>
      </w:r>
      <w:r w:rsidRPr="00344DFC">
        <w:rPr>
          <w:noProof/>
          <w:lang w:val="en-US"/>
        </w:rPr>
        <w:t xml:space="preserve"> J</w:t>
      </w:r>
      <w:r w:rsidR="00F72069" w:rsidRPr="00344DFC">
        <w:rPr>
          <w:noProof/>
          <w:lang w:val="en-US"/>
        </w:rPr>
        <w:t>ournal of</w:t>
      </w:r>
      <w:r w:rsidRPr="00344DFC">
        <w:rPr>
          <w:noProof/>
          <w:lang w:val="en-US"/>
        </w:rPr>
        <w:t xml:space="preserve"> Med</w:t>
      </w:r>
      <w:r w:rsidR="00F72069" w:rsidRPr="00344DFC">
        <w:rPr>
          <w:noProof/>
          <w:lang w:val="en-US"/>
        </w:rPr>
        <w:t>icine</w:t>
      </w:r>
      <w:r w:rsidRPr="00344DFC">
        <w:rPr>
          <w:noProof/>
          <w:lang w:val="en-US"/>
        </w:rPr>
        <w:t xml:space="preserve"> 360, 1646–1654. </w:t>
      </w:r>
    </w:p>
    <w:p w14:paraId="0802EB59" w14:textId="0A7808B3" w:rsidR="00654F03" w:rsidRPr="00344DFC" w:rsidRDefault="00654F03" w:rsidP="009E2A1E">
      <w:pPr>
        <w:widowControl w:val="0"/>
        <w:autoSpaceDE w:val="0"/>
        <w:autoSpaceDN w:val="0"/>
        <w:adjustRightInd w:val="0"/>
        <w:ind w:left="480" w:hanging="480"/>
        <w:rPr>
          <w:noProof/>
          <w:lang w:val="en-US"/>
        </w:rPr>
      </w:pPr>
    </w:p>
    <w:p w14:paraId="39F26823" w14:textId="5A6C7D70" w:rsidR="00654F03" w:rsidRPr="0023752D" w:rsidRDefault="00654F03" w:rsidP="0023752D">
      <w:pPr>
        <w:ind w:left="566" w:hangingChars="236" w:hanging="566"/>
        <w:rPr>
          <w:color w:val="000000" w:themeColor="text1"/>
          <w:shd w:val="clear" w:color="auto" w:fill="FFFFFF"/>
        </w:rPr>
      </w:pPr>
      <w:r w:rsidRPr="00344DFC">
        <w:rPr>
          <w:color w:val="000000" w:themeColor="text1"/>
          <w:shd w:val="clear" w:color="auto" w:fill="FFFFFF"/>
        </w:rPr>
        <w:t xml:space="preserve">Cotsapas, C., Voight, B. F., Rossin, E., Lage, K., Neale, B. M., Wallace, C., Abecasis, G. R., Barrett, J. C., Behrens, T., Cho, J. </w:t>
      </w:r>
      <w:r w:rsidR="0035111A" w:rsidRPr="00344DFC">
        <w:rPr>
          <w:color w:val="000000" w:themeColor="text1"/>
          <w:shd w:val="clear" w:color="auto" w:fill="FFFFFF"/>
        </w:rPr>
        <w:t>et al.,</w:t>
      </w:r>
      <w:r w:rsidRPr="00344DFC">
        <w:rPr>
          <w:color w:val="000000" w:themeColor="text1"/>
          <w:shd w:val="clear" w:color="auto" w:fill="FFFFFF"/>
        </w:rPr>
        <w:t xml:space="preserve"> 2011</w:t>
      </w:r>
      <w:r w:rsidR="0035111A" w:rsidRPr="00344DFC">
        <w:rPr>
          <w:color w:val="000000" w:themeColor="text1"/>
          <w:shd w:val="clear" w:color="auto" w:fill="FFFFFF"/>
        </w:rPr>
        <w:t>.</w:t>
      </w:r>
      <w:r w:rsidRPr="00344DFC">
        <w:rPr>
          <w:color w:val="000000" w:themeColor="text1"/>
          <w:shd w:val="clear" w:color="auto" w:fill="FFFFFF"/>
        </w:rPr>
        <w:t xml:space="preserve"> Pervasive sharing of genetic effects in autoimmune disease. </w:t>
      </w:r>
      <w:r w:rsidRPr="00344DFC">
        <w:rPr>
          <w:iCs/>
          <w:color w:val="000000" w:themeColor="text1"/>
          <w:shd w:val="clear" w:color="auto" w:fill="FFFFFF"/>
        </w:rPr>
        <w:t>PLoS genetics</w:t>
      </w:r>
      <w:r w:rsidR="00697290" w:rsidRPr="00344DFC">
        <w:rPr>
          <w:color w:val="000000" w:themeColor="text1"/>
          <w:shd w:val="clear" w:color="auto" w:fill="FFFFFF"/>
        </w:rPr>
        <w:t xml:space="preserve"> </w:t>
      </w:r>
      <w:r w:rsidRPr="00344DFC">
        <w:rPr>
          <w:iCs/>
          <w:color w:val="000000" w:themeColor="text1"/>
          <w:shd w:val="clear" w:color="auto" w:fill="FFFFFF"/>
        </w:rPr>
        <w:t>7</w:t>
      </w:r>
      <w:r w:rsidRPr="00344DFC">
        <w:rPr>
          <w:color w:val="000000" w:themeColor="text1"/>
          <w:shd w:val="clear" w:color="auto" w:fill="FFFFFF"/>
        </w:rPr>
        <w:t>, e1002254.</w:t>
      </w:r>
    </w:p>
    <w:p w14:paraId="77BE489C" w14:textId="77777777" w:rsidR="00F72069" w:rsidRPr="00344DFC" w:rsidRDefault="00F72069" w:rsidP="009E2A1E">
      <w:pPr>
        <w:widowControl w:val="0"/>
        <w:autoSpaceDE w:val="0"/>
        <w:autoSpaceDN w:val="0"/>
        <w:adjustRightInd w:val="0"/>
        <w:ind w:left="480" w:hanging="480"/>
        <w:rPr>
          <w:noProof/>
          <w:lang w:val="en-US"/>
        </w:rPr>
      </w:pPr>
    </w:p>
    <w:p w14:paraId="59F48068" w14:textId="097B56D7" w:rsidR="009E2A1E" w:rsidRPr="00344DFC" w:rsidRDefault="009E2A1E" w:rsidP="009E2A1E">
      <w:pPr>
        <w:widowControl w:val="0"/>
        <w:autoSpaceDE w:val="0"/>
        <w:autoSpaceDN w:val="0"/>
        <w:adjustRightInd w:val="0"/>
        <w:ind w:left="480" w:hanging="480"/>
        <w:rPr>
          <w:noProof/>
          <w:lang w:val="en-US"/>
        </w:rPr>
      </w:pPr>
      <w:r w:rsidRPr="00344DFC">
        <w:rPr>
          <w:noProof/>
          <w:lang w:val="en-US"/>
        </w:rPr>
        <w:t>Cousminer, D.L., Ahlqvist, E., Mishra, R., Andersen, M.K., Chesi, A., Hawa, M.I., Davis, A., Hodge, K.M., Bradfield, J.P., Zhou, K.</w:t>
      </w:r>
      <w:r w:rsidR="00F72069" w:rsidRPr="00344DFC">
        <w:rPr>
          <w:noProof/>
          <w:lang w:val="en-US"/>
        </w:rPr>
        <w:t xml:space="preserve"> et al.</w:t>
      </w:r>
      <w:r w:rsidRPr="00344DFC">
        <w:rPr>
          <w:noProof/>
          <w:lang w:val="en-US"/>
        </w:rPr>
        <w:t xml:space="preserve">, 2018. First </w:t>
      </w:r>
      <w:r w:rsidR="000F20D5" w:rsidRPr="00344DFC">
        <w:rPr>
          <w:noProof/>
          <w:lang w:val="en-US"/>
        </w:rPr>
        <w:t>genome-wide association study of latent autoimmune diabetes in adults reveals novel insights linking immune and metabolic dia</w:t>
      </w:r>
      <w:r w:rsidRPr="00344DFC">
        <w:rPr>
          <w:noProof/>
          <w:lang w:val="en-US"/>
        </w:rPr>
        <w:t xml:space="preserve">betes. Diabetes Care 41, 2396–2403. </w:t>
      </w:r>
    </w:p>
    <w:p w14:paraId="13EEF9D0" w14:textId="77777777" w:rsidR="00F72069" w:rsidRPr="00344DFC" w:rsidRDefault="00F72069" w:rsidP="009E2A1E">
      <w:pPr>
        <w:widowControl w:val="0"/>
        <w:autoSpaceDE w:val="0"/>
        <w:autoSpaceDN w:val="0"/>
        <w:adjustRightInd w:val="0"/>
        <w:ind w:left="480" w:hanging="480"/>
        <w:rPr>
          <w:noProof/>
          <w:lang w:val="en-US"/>
        </w:rPr>
      </w:pPr>
    </w:p>
    <w:p w14:paraId="51F266D8"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Cucca, F., Lampis, R., Congia, M., Angius, E., Nutland, S., Bain, S.C., Barnett, A.H., Todd, J.A., 2001. A correlation between the relative predisposition of MHC class II alleles to type 1 diabetes and the structure of their proteins. Hum</w:t>
      </w:r>
      <w:r w:rsidR="00F72069" w:rsidRPr="00344DFC">
        <w:rPr>
          <w:noProof/>
          <w:lang w:val="en-US"/>
        </w:rPr>
        <w:t>an</w:t>
      </w:r>
      <w:r w:rsidRPr="00344DFC">
        <w:rPr>
          <w:noProof/>
          <w:lang w:val="en-US"/>
        </w:rPr>
        <w:t xml:space="preserve"> Mol</w:t>
      </w:r>
      <w:r w:rsidR="00F72069" w:rsidRPr="00344DFC">
        <w:rPr>
          <w:noProof/>
          <w:lang w:val="en-US"/>
        </w:rPr>
        <w:t>ecular</w:t>
      </w:r>
      <w:r w:rsidRPr="00344DFC">
        <w:rPr>
          <w:noProof/>
          <w:lang w:val="en-US"/>
        </w:rPr>
        <w:t xml:space="preserve"> Genet</w:t>
      </w:r>
      <w:r w:rsidR="00F72069" w:rsidRPr="00344DFC">
        <w:rPr>
          <w:noProof/>
          <w:lang w:val="en-US"/>
        </w:rPr>
        <w:t>ics</w:t>
      </w:r>
      <w:r w:rsidRPr="00344DFC">
        <w:rPr>
          <w:noProof/>
          <w:lang w:val="en-US"/>
        </w:rPr>
        <w:t xml:space="preserve"> 10, 2025–37.</w:t>
      </w:r>
    </w:p>
    <w:p w14:paraId="5B6054D8" w14:textId="77777777" w:rsidR="00F72069" w:rsidRPr="00344DFC" w:rsidRDefault="00F72069" w:rsidP="009E2A1E">
      <w:pPr>
        <w:widowControl w:val="0"/>
        <w:autoSpaceDE w:val="0"/>
        <w:autoSpaceDN w:val="0"/>
        <w:adjustRightInd w:val="0"/>
        <w:ind w:left="480" w:hanging="480"/>
        <w:rPr>
          <w:noProof/>
          <w:lang w:val="en-US"/>
        </w:rPr>
      </w:pPr>
    </w:p>
    <w:p w14:paraId="677F2F2D" w14:textId="7526E47B" w:rsidR="009F0346" w:rsidRPr="00344DFC" w:rsidRDefault="009F0346" w:rsidP="0023752D">
      <w:pPr>
        <w:ind w:left="566" w:hangingChars="236" w:hanging="566"/>
      </w:pPr>
      <w:r w:rsidRPr="00344DFC">
        <w:rPr>
          <w:noProof/>
          <w:lang w:val="en-US"/>
        </w:rPr>
        <w:lastRenderedPageBreak/>
        <w:t xml:space="preserve">Davison, L.J., Catchpole, B., Ristic, J., Herrtage, M.E., </w:t>
      </w:r>
      <w:r w:rsidRPr="00344DFC">
        <w:t>2001. Research into canine diabetes mellitus. Veterinary Record 148, 352.</w:t>
      </w:r>
    </w:p>
    <w:p w14:paraId="39A152B1" w14:textId="77777777" w:rsidR="00F72069" w:rsidRPr="00344DFC" w:rsidRDefault="00F72069" w:rsidP="009E2A1E">
      <w:pPr>
        <w:widowControl w:val="0"/>
        <w:autoSpaceDE w:val="0"/>
        <w:autoSpaceDN w:val="0"/>
        <w:adjustRightInd w:val="0"/>
        <w:ind w:left="480" w:hanging="480"/>
        <w:rPr>
          <w:noProof/>
          <w:lang w:val="en-US"/>
        </w:rPr>
      </w:pPr>
    </w:p>
    <w:p w14:paraId="7CEE1A7A"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Davison, L.J., Herrtage, M.E., Catchpole, B., 2005. Study of 253 dogs in the United Kingdom with diabetes mellitus. Vet</w:t>
      </w:r>
      <w:r w:rsidR="00F72069" w:rsidRPr="00344DFC">
        <w:rPr>
          <w:noProof/>
          <w:lang w:val="en-US"/>
        </w:rPr>
        <w:t>erinary</w:t>
      </w:r>
      <w:r w:rsidRPr="00344DFC">
        <w:rPr>
          <w:noProof/>
          <w:lang w:val="en-US"/>
        </w:rPr>
        <w:t xml:space="preserve"> Rec</w:t>
      </w:r>
      <w:r w:rsidR="00F72069" w:rsidRPr="00344DFC">
        <w:rPr>
          <w:noProof/>
          <w:lang w:val="en-US"/>
        </w:rPr>
        <w:t>ord</w:t>
      </w:r>
      <w:r w:rsidRPr="00344DFC">
        <w:rPr>
          <w:noProof/>
          <w:lang w:val="en-US"/>
        </w:rPr>
        <w:t xml:space="preserve"> 156, 467–471. </w:t>
      </w:r>
    </w:p>
    <w:p w14:paraId="557AB3C7" w14:textId="77777777" w:rsidR="00F72069" w:rsidRPr="00344DFC" w:rsidRDefault="00F72069" w:rsidP="009E2A1E">
      <w:pPr>
        <w:widowControl w:val="0"/>
        <w:autoSpaceDE w:val="0"/>
        <w:autoSpaceDN w:val="0"/>
        <w:adjustRightInd w:val="0"/>
        <w:ind w:left="480" w:hanging="480"/>
        <w:rPr>
          <w:noProof/>
          <w:lang w:val="en-US"/>
        </w:rPr>
      </w:pPr>
    </w:p>
    <w:p w14:paraId="5F4FC410" w14:textId="099A8B71"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Davison, L.J., Holder, A., Catchpole, B., O’Callaghan, C.A., 2017. The Canine POMC Gene, </w:t>
      </w:r>
      <w:r w:rsidR="000F20D5" w:rsidRPr="00344DFC">
        <w:rPr>
          <w:noProof/>
          <w:lang w:val="en-US"/>
        </w:rPr>
        <w:t>obesity in labrador retrievers and susceptibility to diabetes mellitus</w:t>
      </w:r>
      <w:r w:rsidRPr="00344DFC">
        <w:rPr>
          <w:noProof/>
          <w:lang w:val="en-US"/>
        </w:rPr>
        <w:t>. J</w:t>
      </w:r>
      <w:r w:rsidR="00CA4522" w:rsidRPr="00344DFC">
        <w:rPr>
          <w:noProof/>
          <w:lang w:val="en-US"/>
        </w:rPr>
        <w:t>ournal of</w:t>
      </w:r>
      <w:r w:rsidRPr="00344DFC">
        <w:rPr>
          <w:noProof/>
          <w:lang w:val="en-US"/>
        </w:rPr>
        <w:t xml:space="preserve"> Vet</w:t>
      </w:r>
      <w:r w:rsidR="00CA4522" w:rsidRPr="00344DFC">
        <w:rPr>
          <w:noProof/>
          <w:lang w:val="en-US"/>
        </w:rPr>
        <w:t>erinary</w:t>
      </w:r>
      <w:r w:rsidRPr="00344DFC">
        <w:rPr>
          <w:noProof/>
          <w:lang w:val="en-US"/>
        </w:rPr>
        <w:t xml:space="preserve"> Intern</w:t>
      </w:r>
      <w:r w:rsidR="00CA4522" w:rsidRPr="00344DFC">
        <w:rPr>
          <w:noProof/>
          <w:lang w:val="en-US"/>
        </w:rPr>
        <w:t>al</w:t>
      </w:r>
      <w:r w:rsidRPr="00344DFC">
        <w:rPr>
          <w:noProof/>
          <w:lang w:val="en-US"/>
        </w:rPr>
        <w:t xml:space="preserve"> Med</w:t>
      </w:r>
      <w:r w:rsidR="00CA4522" w:rsidRPr="00344DFC">
        <w:rPr>
          <w:noProof/>
          <w:lang w:val="en-US"/>
        </w:rPr>
        <w:t>icine</w:t>
      </w:r>
      <w:r w:rsidRPr="00344DFC">
        <w:rPr>
          <w:noProof/>
          <w:lang w:val="en-US"/>
        </w:rPr>
        <w:t xml:space="preserve"> 31, 343–348. </w:t>
      </w:r>
    </w:p>
    <w:p w14:paraId="7D288007" w14:textId="51B55D8F" w:rsidR="00763771" w:rsidRPr="00344DFC" w:rsidRDefault="00763771" w:rsidP="009E2A1E">
      <w:pPr>
        <w:widowControl w:val="0"/>
        <w:autoSpaceDE w:val="0"/>
        <w:autoSpaceDN w:val="0"/>
        <w:adjustRightInd w:val="0"/>
        <w:ind w:left="480" w:hanging="480"/>
        <w:rPr>
          <w:noProof/>
          <w:lang w:val="en-US"/>
        </w:rPr>
      </w:pPr>
    </w:p>
    <w:p w14:paraId="35D3252B" w14:textId="271026D7" w:rsidR="00763771" w:rsidRPr="00344DFC" w:rsidRDefault="00763771" w:rsidP="00763771">
      <w:pPr>
        <w:widowControl w:val="0"/>
        <w:autoSpaceDE w:val="0"/>
        <w:autoSpaceDN w:val="0"/>
        <w:adjustRightInd w:val="0"/>
        <w:ind w:left="480" w:hanging="480"/>
        <w:rPr>
          <w:noProof/>
          <w:lang w:val="en-US"/>
        </w:rPr>
      </w:pPr>
      <w:r w:rsidRPr="00344DFC">
        <w:rPr>
          <w:noProof/>
          <w:lang w:val="en-US"/>
        </w:rPr>
        <w:t xml:space="preserve">Debenham, S.L., Hart, E.A., Ashurst, J.L., Howe, K.L, Quail, M.A., Ollier, W.E., Binns M.M., 2005. Genomic sequence of the class II region of the canine MHC: </w:t>
      </w:r>
      <w:r w:rsidR="000F20D5">
        <w:rPr>
          <w:noProof/>
          <w:lang w:val="en-US"/>
        </w:rPr>
        <w:t>C</w:t>
      </w:r>
      <w:r w:rsidRPr="00344DFC">
        <w:rPr>
          <w:noProof/>
          <w:lang w:val="en-US"/>
        </w:rPr>
        <w:t>omparison with the MHC of other mammalian species. Genomics 85, 48-59.</w:t>
      </w:r>
    </w:p>
    <w:p w14:paraId="4DC00D26" w14:textId="77777777" w:rsidR="00880A7B" w:rsidRPr="00344DFC" w:rsidRDefault="00880A7B" w:rsidP="00763771">
      <w:pPr>
        <w:widowControl w:val="0"/>
        <w:autoSpaceDE w:val="0"/>
        <w:autoSpaceDN w:val="0"/>
        <w:adjustRightInd w:val="0"/>
        <w:ind w:left="480" w:hanging="480"/>
        <w:rPr>
          <w:noProof/>
          <w:lang w:val="en-US"/>
        </w:rPr>
      </w:pPr>
    </w:p>
    <w:p w14:paraId="430E67C3" w14:textId="13FDE960" w:rsidR="00880A7B" w:rsidRPr="00344DFC" w:rsidRDefault="00880A7B" w:rsidP="00821820">
      <w:pPr>
        <w:widowControl w:val="0"/>
        <w:autoSpaceDE w:val="0"/>
        <w:autoSpaceDN w:val="0"/>
        <w:adjustRightInd w:val="0"/>
        <w:ind w:left="480" w:hanging="480"/>
        <w:rPr>
          <w:noProof/>
          <w:lang w:val="en-US"/>
        </w:rPr>
      </w:pPr>
      <w:r w:rsidRPr="0023752D">
        <w:rPr>
          <w:noProof/>
          <w:lang w:val="en-US"/>
        </w:rPr>
        <w:t>Denyer A. L., Massey J. P., Davison L. J., Ollier W. E. R., Catchpole B.</w:t>
      </w:r>
      <w:r w:rsidR="00821820">
        <w:rPr>
          <w:noProof/>
          <w:lang w:val="en-US"/>
        </w:rPr>
        <w:t>,</w:t>
      </w:r>
      <w:r w:rsidRPr="0023752D">
        <w:rPr>
          <w:noProof/>
          <w:lang w:val="en-US"/>
        </w:rPr>
        <w:t xml:space="preserve"> Kennedy L. J., 2020. Dog leucocyte antigen (DLA) class II haplotypes and risk of canine diabetes mellitus in specific dog breeds. Canine Medicine and Genetics 7, 15.</w:t>
      </w:r>
      <w:r w:rsidRPr="00344DFC">
        <w:rPr>
          <w:noProof/>
          <w:lang w:val="en-US"/>
        </w:rPr>
        <w:t xml:space="preserve"> </w:t>
      </w:r>
    </w:p>
    <w:p w14:paraId="122193CD" w14:textId="7D4D0736" w:rsidR="00F72069" w:rsidRPr="00344DFC" w:rsidRDefault="00F72069" w:rsidP="00880A7B">
      <w:pPr>
        <w:widowControl w:val="0"/>
        <w:autoSpaceDE w:val="0"/>
        <w:autoSpaceDN w:val="0"/>
        <w:adjustRightInd w:val="0"/>
        <w:rPr>
          <w:noProof/>
          <w:lang w:val="en-US"/>
        </w:rPr>
      </w:pPr>
    </w:p>
    <w:p w14:paraId="2D2FC7DC" w14:textId="25E3D0FD" w:rsidR="009E2A1E" w:rsidRPr="00344DFC" w:rsidRDefault="009E2A1E" w:rsidP="009E2A1E">
      <w:pPr>
        <w:widowControl w:val="0"/>
        <w:autoSpaceDE w:val="0"/>
        <w:autoSpaceDN w:val="0"/>
        <w:adjustRightInd w:val="0"/>
        <w:ind w:left="480" w:hanging="480"/>
        <w:rPr>
          <w:noProof/>
          <w:lang w:val="en-US"/>
        </w:rPr>
      </w:pPr>
      <w:r w:rsidRPr="00344DFC">
        <w:rPr>
          <w:noProof/>
          <w:lang w:val="en-US"/>
        </w:rPr>
        <w:t>Desai, M., Zeggini, E., Horton, V.A., Owen, K.R., Hattersley, A.T., Levy, J.C., Hitman, G.A., Walker, M., Holman, R.R., Mccarthy,</w:t>
      </w:r>
      <w:r w:rsidR="000F20D5">
        <w:rPr>
          <w:noProof/>
          <w:lang w:val="en-US"/>
        </w:rPr>
        <w:t xml:space="preserve"> et al</w:t>
      </w:r>
      <w:r w:rsidRPr="00344DFC">
        <w:rPr>
          <w:noProof/>
          <w:lang w:val="en-US"/>
        </w:rPr>
        <w:t xml:space="preserve">., 2006. The </w:t>
      </w:r>
      <w:r w:rsidR="000F20D5" w:rsidRPr="00344DFC">
        <w:rPr>
          <w:noProof/>
          <w:lang w:val="en-US"/>
        </w:rPr>
        <w:t>variable number of tandem repeats upstream of the insulin gene is a susceptibility locus for latent autoimmune diabetes in ad</w:t>
      </w:r>
      <w:r w:rsidRPr="00344DFC">
        <w:rPr>
          <w:noProof/>
          <w:lang w:val="en-US"/>
        </w:rPr>
        <w:t xml:space="preserve">ults. Diabetes 55, 1890–1894. </w:t>
      </w:r>
    </w:p>
    <w:p w14:paraId="1D131918" w14:textId="77777777" w:rsidR="00CA4522" w:rsidRPr="00344DFC" w:rsidRDefault="00CA4522" w:rsidP="009E2A1E">
      <w:pPr>
        <w:widowControl w:val="0"/>
        <w:autoSpaceDE w:val="0"/>
        <w:autoSpaceDN w:val="0"/>
        <w:adjustRightInd w:val="0"/>
        <w:ind w:left="480" w:hanging="480"/>
        <w:rPr>
          <w:noProof/>
          <w:lang w:val="en-US"/>
        </w:rPr>
      </w:pPr>
    </w:p>
    <w:p w14:paraId="00B65CDA" w14:textId="73BCB0DE" w:rsidR="009E2A1E" w:rsidRPr="00344DFC" w:rsidRDefault="009E2A1E" w:rsidP="009E2A1E">
      <w:pPr>
        <w:widowControl w:val="0"/>
        <w:autoSpaceDE w:val="0"/>
        <w:autoSpaceDN w:val="0"/>
        <w:adjustRightInd w:val="0"/>
        <w:ind w:left="480" w:hanging="480"/>
        <w:rPr>
          <w:noProof/>
          <w:lang w:val="en-US"/>
        </w:rPr>
      </w:pPr>
      <w:r w:rsidRPr="00344DFC">
        <w:rPr>
          <w:noProof/>
          <w:lang w:val="en-US"/>
        </w:rPr>
        <w:t>Dooley, J., Tian, L., Schonefeldt, S., Delghingaro-Augusto, V., Garcia-Perez, J.E., Pasciuto, E., Di Marino, D., Carr, E.J., Oskolkov, N., Lyssenko, V.</w:t>
      </w:r>
      <w:r w:rsidR="00CA4522" w:rsidRPr="00344DFC">
        <w:rPr>
          <w:noProof/>
          <w:lang w:val="en-US"/>
        </w:rPr>
        <w:t xml:space="preserve"> et al.</w:t>
      </w:r>
      <w:r w:rsidRPr="00344DFC">
        <w:rPr>
          <w:noProof/>
          <w:lang w:val="en-US"/>
        </w:rPr>
        <w:t xml:space="preserve">, 2016. Genetic predisposition for beta cell fragility </w:t>
      </w:r>
      <w:r w:rsidR="0021603E" w:rsidRPr="00344DFC">
        <w:rPr>
          <w:noProof/>
          <w:lang w:val="en-US"/>
        </w:rPr>
        <w:t xml:space="preserve">underlies </w:t>
      </w:r>
      <w:r w:rsidR="0021603E">
        <w:rPr>
          <w:noProof/>
          <w:lang w:val="en-US"/>
        </w:rPr>
        <w:t>t</w:t>
      </w:r>
      <w:r w:rsidR="0021603E" w:rsidRPr="00344DFC">
        <w:rPr>
          <w:noProof/>
          <w:lang w:val="en-US"/>
        </w:rPr>
        <w:t xml:space="preserve">ype 1 and </w:t>
      </w:r>
      <w:r w:rsidR="0021603E">
        <w:rPr>
          <w:noProof/>
          <w:lang w:val="en-US"/>
        </w:rPr>
        <w:t>t</w:t>
      </w:r>
      <w:r w:rsidR="0021603E" w:rsidRPr="00344DFC">
        <w:rPr>
          <w:noProof/>
          <w:lang w:val="en-US"/>
        </w:rPr>
        <w:t xml:space="preserve">ype </w:t>
      </w:r>
      <w:r w:rsidRPr="00344DFC">
        <w:rPr>
          <w:noProof/>
          <w:lang w:val="en-US"/>
        </w:rPr>
        <w:t>2 diabetes. Nat</w:t>
      </w:r>
      <w:r w:rsidR="00CA4522" w:rsidRPr="00344DFC">
        <w:rPr>
          <w:noProof/>
          <w:lang w:val="en-US"/>
        </w:rPr>
        <w:t>ure</w:t>
      </w:r>
      <w:r w:rsidRPr="00344DFC">
        <w:rPr>
          <w:noProof/>
          <w:lang w:val="en-US"/>
        </w:rPr>
        <w:t xml:space="preserve"> Genet</w:t>
      </w:r>
      <w:r w:rsidR="00CA4522" w:rsidRPr="00344DFC">
        <w:rPr>
          <w:noProof/>
          <w:lang w:val="en-US"/>
        </w:rPr>
        <w:t>ics</w:t>
      </w:r>
      <w:r w:rsidRPr="00344DFC">
        <w:rPr>
          <w:noProof/>
          <w:lang w:val="en-US"/>
        </w:rPr>
        <w:t xml:space="preserve"> 48, 519–27. </w:t>
      </w:r>
    </w:p>
    <w:p w14:paraId="6F14D456" w14:textId="77777777" w:rsidR="00CA4522" w:rsidRPr="00344DFC" w:rsidRDefault="00CA4522" w:rsidP="009E2A1E">
      <w:pPr>
        <w:widowControl w:val="0"/>
        <w:autoSpaceDE w:val="0"/>
        <w:autoSpaceDN w:val="0"/>
        <w:adjustRightInd w:val="0"/>
        <w:ind w:left="480" w:hanging="480"/>
        <w:rPr>
          <w:noProof/>
          <w:lang w:val="en-US"/>
        </w:rPr>
      </w:pPr>
    </w:p>
    <w:p w14:paraId="0D22C97A" w14:textId="664F86A0" w:rsidR="009E2A1E" w:rsidRPr="00344DFC" w:rsidRDefault="009E2A1E" w:rsidP="009E2A1E">
      <w:pPr>
        <w:widowControl w:val="0"/>
        <w:autoSpaceDE w:val="0"/>
        <w:autoSpaceDN w:val="0"/>
        <w:adjustRightInd w:val="0"/>
        <w:ind w:left="480" w:hanging="480"/>
        <w:rPr>
          <w:noProof/>
          <w:lang w:val="en-US"/>
        </w:rPr>
      </w:pPr>
      <w:r w:rsidRPr="00344DFC">
        <w:rPr>
          <w:noProof/>
          <w:lang w:val="en-US"/>
        </w:rPr>
        <w:t>Erlich, H., Valdes, A.M., Noble, J., Carlson, J.A., Varney, M., Concannon, P., Mychaleckyj, J.C., Todd, J.A., Bonella, P., Fear, A.L.</w:t>
      </w:r>
      <w:r w:rsidR="00CA4522" w:rsidRPr="00344DFC">
        <w:rPr>
          <w:noProof/>
          <w:lang w:val="en-US"/>
        </w:rPr>
        <w:t xml:space="preserve"> et al.</w:t>
      </w:r>
      <w:r w:rsidRPr="00344DFC">
        <w:rPr>
          <w:noProof/>
          <w:lang w:val="en-US"/>
        </w:rPr>
        <w:t xml:space="preserve">, 2008. HLA DR-DQ </w:t>
      </w:r>
      <w:r w:rsidR="000F20D5" w:rsidRPr="00344DFC">
        <w:rPr>
          <w:noProof/>
          <w:lang w:val="en-US"/>
        </w:rPr>
        <w:t xml:space="preserve">haplotypes and genotypes </w:t>
      </w:r>
      <w:r w:rsidR="0021603E" w:rsidRPr="00344DFC">
        <w:rPr>
          <w:noProof/>
          <w:lang w:val="en-US"/>
        </w:rPr>
        <w:t xml:space="preserve">and type 1 diabetes risk analysis of the type </w:t>
      </w:r>
      <w:r w:rsidRPr="00344DFC">
        <w:rPr>
          <w:noProof/>
          <w:lang w:val="en-US"/>
        </w:rPr>
        <w:t xml:space="preserve">1 </w:t>
      </w:r>
      <w:r w:rsidR="000F20D5" w:rsidRPr="00344DFC">
        <w:rPr>
          <w:noProof/>
          <w:lang w:val="en-US"/>
        </w:rPr>
        <w:t>diabetes genetics consortium famili</w:t>
      </w:r>
      <w:r w:rsidRPr="00344DFC">
        <w:rPr>
          <w:noProof/>
          <w:lang w:val="en-US"/>
        </w:rPr>
        <w:t xml:space="preserve">es. </w:t>
      </w:r>
      <w:r w:rsidR="00CA4522" w:rsidRPr="00344DFC">
        <w:rPr>
          <w:noProof/>
          <w:lang w:val="en-US"/>
        </w:rPr>
        <w:t>Diabetes 57, 1084-92.</w:t>
      </w:r>
    </w:p>
    <w:p w14:paraId="0A98116F" w14:textId="77777777" w:rsidR="00CA4522" w:rsidRPr="00344DFC" w:rsidRDefault="00CA4522" w:rsidP="009E2A1E">
      <w:pPr>
        <w:widowControl w:val="0"/>
        <w:autoSpaceDE w:val="0"/>
        <w:autoSpaceDN w:val="0"/>
        <w:adjustRightInd w:val="0"/>
        <w:ind w:left="480" w:hanging="480"/>
        <w:rPr>
          <w:noProof/>
          <w:lang w:val="en-US"/>
        </w:rPr>
      </w:pPr>
    </w:p>
    <w:p w14:paraId="06E18713" w14:textId="06DD9403" w:rsidR="009E2A1E" w:rsidRPr="00344DFC" w:rsidRDefault="009E2A1E" w:rsidP="009E2A1E">
      <w:pPr>
        <w:widowControl w:val="0"/>
        <w:autoSpaceDE w:val="0"/>
        <w:autoSpaceDN w:val="0"/>
        <w:adjustRightInd w:val="0"/>
        <w:ind w:left="480" w:hanging="480"/>
        <w:rPr>
          <w:noProof/>
          <w:lang w:val="en-US"/>
        </w:rPr>
      </w:pPr>
      <w:r w:rsidRPr="00344DFC">
        <w:rPr>
          <w:noProof/>
          <w:lang w:val="en-US"/>
        </w:rPr>
        <w:t>Flanagan, S.E., Clauin, S., Bellanné-Chantelot, C., de Lonlay, P., Harries, L.W., Gloyn, A.L., Ellard, S., 2009. Update of mutations in the genes encoding the pancreatic beta-cell K</w:t>
      </w:r>
      <w:r w:rsidRPr="00344DFC">
        <w:rPr>
          <w:noProof/>
          <w:vertAlign w:val="subscript"/>
          <w:lang w:val="en-US"/>
        </w:rPr>
        <w:t>ATP</w:t>
      </w:r>
      <w:r w:rsidRPr="00344DFC">
        <w:rPr>
          <w:noProof/>
          <w:lang w:val="en-US"/>
        </w:rPr>
        <w:t xml:space="preserve"> channel subunits Kir6.2 ( </w:t>
      </w:r>
      <w:r w:rsidRPr="00344DFC">
        <w:rPr>
          <w:i/>
          <w:iCs/>
          <w:noProof/>
          <w:lang w:val="en-US"/>
        </w:rPr>
        <w:t>KCNJ11</w:t>
      </w:r>
      <w:r w:rsidRPr="00344DFC">
        <w:rPr>
          <w:noProof/>
          <w:lang w:val="en-US"/>
        </w:rPr>
        <w:t xml:space="preserve"> ) and sulfonylurea receptor 1 ( </w:t>
      </w:r>
      <w:r w:rsidRPr="00344DFC">
        <w:rPr>
          <w:i/>
          <w:iCs/>
          <w:noProof/>
          <w:lang w:val="en-US"/>
        </w:rPr>
        <w:t>ABCC8</w:t>
      </w:r>
      <w:r w:rsidRPr="00344DFC">
        <w:rPr>
          <w:noProof/>
          <w:lang w:val="en-US"/>
        </w:rPr>
        <w:t xml:space="preserve"> ) in diabetes mellitus and hyperinsulinism. Hum</w:t>
      </w:r>
      <w:r w:rsidR="00CA4522" w:rsidRPr="00344DFC">
        <w:rPr>
          <w:noProof/>
          <w:lang w:val="en-US"/>
        </w:rPr>
        <w:t>an</w:t>
      </w:r>
      <w:r w:rsidRPr="00344DFC">
        <w:rPr>
          <w:noProof/>
          <w:lang w:val="en-US"/>
        </w:rPr>
        <w:t xml:space="preserve"> Mutat</w:t>
      </w:r>
      <w:r w:rsidR="00CA4522" w:rsidRPr="00344DFC">
        <w:rPr>
          <w:noProof/>
          <w:lang w:val="en-US"/>
        </w:rPr>
        <w:t>ion</w:t>
      </w:r>
      <w:r w:rsidRPr="00344DFC">
        <w:rPr>
          <w:noProof/>
          <w:lang w:val="en-US"/>
        </w:rPr>
        <w:t xml:space="preserve"> 30, 170–180. </w:t>
      </w:r>
    </w:p>
    <w:p w14:paraId="15079CC7" w14:textId="77777777" w:rsidR="00CA4522" w:rsidRPr="00344DFC" w:rsidRDefault="00CA4522" w:rsidP="009E2A1E">
      <w:pPr>
        <w:widowControl w:val="0"/>
        <w:autoSpaceDE w:val="0"/>
        <w:autoSpaceDN w:val="0"/>
        <w:adjustRightInd w:val="0"/>
        <w:ind w:left="480" w:hanging="480"/>
        <w:rPr>
          <w:noProof/>
          <w:lang w:val="en-US"/>
        </w:rPr>
      </w:pPr>
    </w:p>
    <w:p w14:paraId="60162C99" w14:textId="2AFFCD6E" w:rsidR="009E2A1E" w:rsidRDefault="009E2A1E" w:rsidP="009E2A1E">
      <w:pPr>
        <w:widowControl w:val="0"/>
        <w:autoSpaceDE w:val="0"/>
        <w:autoSpaceDN w:val="0"/>
        <w:adjustRightInd w:val="0"/>
        <w:ind w:left="480" w:hanging="480"/>
        <w:rPr>
          <w:noProof/>
          <w:lang w:val="en-US"/>
        </w:rPr>
      </w:pPr>
      <w:r w:rsidRPr="00344DFC">
        <w:rPr>
          <w:noProof/>
          <w:lang w:val="en-US"/>
        </w:rPr>
        <w:t>Florez, J.C., Burtt, N., de Bakker, P.I.W., Almgren, P., Tuomi, T., Holmkvist, J., Gaudet, D., Hudson, T.J., Schaffner, S.F., Daly, M.J.</w:t>
      </w:r>
      <w:r w:rsidR="00CA4522" w:rsidRPr="00344DFC">
        <w:rPr>
          <w:noProof/>
          <w:lang w:val="en-US"/>
        </w:rPr>
        <w:t xml:space="preserve"> et al.</w:t>
      </w:r>
      <w:r w:rsidRPr="00344DFC">
        <w:rPr>
          <w:noProof/>
          <w:lang w:val="en-US"/>
        </w:rPr>
        <w:t xml:space="preserve">, 2004. Haplotype </w:t>
      </w:r>
      <w:r w:rsidR="000F20D5" w:rsidRPr="00344DFC">
        <w:rPr>
          <w:noProof/>
          <w:lang w:val="en-US"/>
        </w:rPr>
        <w:t xml:space="preserve">structure and genotype-phenotype correlations of the sulfonylurea receptor and the islet </w:t>
      </w:r>
      <w:r w:rsidRPr="00344DFC">
        <w:rPr>
          <w:noProof/>
          <w:lang w:val="en-US"/>
        </w:rPr>
        <w:t>ATP-</w:t>
      </w:r>
      <w:r w:rsidR="000F20D5" w:rsidRPr="00344DFC">
        <w:rPr>
          <w:noProof/>
          <w:lang w:val="en-US"/>
        </w:rPr>
        <w:t>sensitive potassium channel gene regio</w:t>
      </w:r>
      <w:r w:rsidRPr="00344DFC">
        <w:rPr>
          <w:noProof/>
          <w:lang w:val="en-US"/>
        </w:rPr>
        <w:t xml:space="preserve">n. Diabetes 53, 1360–1368. </w:t>
      </w:r>
    </w:p>
    <w:p w14:paraId="176E482F" w14:textId="139A0E58" w:rsidR="00E31D1C" w:rsidRDefault="00E31D1C" w:rsidP="009E2A1E">
      <w:pPr>
        <w:widowControl w:val="0"/>
        <w:autoSpaceDE w:val="0"/>
        <w:autoSpaceDN w:val="0"/>
        <w:adjustRightInd w:val="0"/>
        <w:ind w:left="480" w:hanging="480"/>
        <w:rPr>
          <w:noProof/>
          <w:lang w:val="en-US"/>
        </w:rPr>
      </w:pPr>
    </w:p>
    <w:p w14:paraId="28DBE85D" w14:textId="7CF90334" w:rsidR="00E31D1C" w:rsidRPr="00E31D1C" w:rsidRDefault="00E31D1C" w:rsidP="00E31D1C">
      <w:pPr>
        <w:rPr>
          <w:color w:val="000000" w:themeColor="text1"/>
          <w:shd w:val="clear" w:color="auto" w:fill="FFFFFF"/>
        </w:rPr>
      </w:pPr>
      <w:r w:rsidRPr="00E31D1C">
        <w:rPr>
          <w:color w:val="000000" w:themeColor="text1"/>
          <w:shd w:val="clear" w:color="auto" w:fill="FFFFFF"/>
        </w:rPr>
        <w:t xml:space="preserve">Friedenberg, S.G., Buhrman, G., Chdid, L., Olby, N.J., Olivry, T., Guillaumin, J., O'Toole, </w:t>
      </w:r>
    </w:p>
    <w:p w14:paraId="41E8537D" w14:textId="7D1E9255" w:rsidR="00E31D1C" w:rsidRPr="00E31D1C" w:rsidRDefault="00E31D1C" w:rsidP="00E31D1C">
      <w:pPr>
        <w:ind w:left="480"/>
        <w:rPr>
          <w:color w:val="000000" w:themeColor="text1"/>
        </w:rPr>
      </w:pPr>
      <w:r w:rsidRPr="00E31D1C">
        <w:rPr>
          <w:color w:val="000000" w:themeColor="text1"/>
          <w:shd w:val="clear" w:color="auto" w:fill="FFFFFF"/>
        </w:rPr>
        <w:t>T., Goggs, R., Kennedy, L.J., Rose, R.B.,</w:t>
      </w:r>
      <w:r w:rsidR="000F20D5">
        <w:rPr>
          <w:color w:val="000000" w:themeColor="text1"/>
          <w:shd w:val="clear" w:color="auto" w:fill="FFFFFF"/>
        </w:rPr>
        <w:t xml:space="preserve"> et al</w:t>
      </w:r>
      <w:r w:rsidRPr="00E31D1C">
        <w:rPr>
          <w:color w:val="000000" w:themeColor="text1"/>
          <w:shd w:val="clear" w:color="auto" w:fill="FFFFFF"/>
        </w:rPr>
        <w:t>.</w:t>
      </w:r>
      <w:r>
        <w:rPr>
          <w:color w:val="000000" w:themeColor="text1"/>
          <w:shd w:val="clear" w:color="auto" w:fill="FFFFFF"/>
        </w:rPr>
        <w:t xml:space="preserve">, </w:t>
      </w:r>
      <w:r w:rsidRPr="00E31D1C">
        <w:rPr>
          <w:color w:val="000000" w:themeColor="text1"/>
          <w:shd w:val="clear" w:color="auto" w:fill="FFFFFF"/>
        </w:rPr>
        <w:t>2016. Evaluation of a DLA-79 allele associated with multiple immune-mediated diseases in</w:t>
      </w:r>
      <w:r>
        <w:rPr>
          <w:color w:val="000000" w:themeColor="text1"/>
          <w:shd w:val="clear" w:color="auto" w:fill="FFFFFF"/>
        </w:rPr>
        <w:t xml:space="preserve"> </w:t>
      </w:r>
      <w:r w:rsidRPr="00E31D1C">
        <w:rPr>
          <w:color w:val="000000" w:themeColor="text1"/>
          <w:shd w:val="clear" w:color="auto" w:fill="FFFFFF"/>
        </w:rPr>
        <w:t>dogs. </w:t>
      </w:r>
      <w:r w:rsidRPr="00E31D1C">
        <w:rPr>
          <w:iCs/>
          <w:color w:val="000000" w:themeColor="text1"/>
          <w:shd w:val="clear" w:color="auto" w:fill="FFFFFF"/>
        </w:rPr>
        <w:t>Immunogenetics</w:t>
      </w:r>
      <w:r w:rsidRPr="00E31D1C">
        <w:rPr>
          <w:color w:val="000000" w:themeColor="text1"/>
          <w:shd w:val="clear" w:color="auto" w:fill="FFFFFF"/>
        </w:rPr>
        <w:t> </w:t>
      </w:r>
      <w:r w:rsidRPr="00E31D1C">
        <w:rPr>
          <w:iCs/>
          <w:color w:val="000000" w:themeColor="text1"/>
          <w:shd w:val="clear" w:color="auto" w:fill="FFFFFF"/>
        </w:rPr>
        <w:t>68</w:t>
      </w:r>
      <w:r w:rsidRPr="00E31D1C">
        <w:rPr>
          <w:color w:val="000000" w:themeColor="text1"/>
          <w:shd w:val="clear" w:color="auto" w:fill="FFFFFF"/>
        </w:rPr>
        <w:t xml:space="preserve">, 205–217. </w:t>
      </w:r>
    </w:p>
    <w:p w14:paraId="182512C6" w14:textId="77777777" w:rsidR="00E31D1C" w:rsidRPr="00E31D1C" w:rsidRDefault="00E31D1C" w:rsidP="009E2A1E">
      <w:pPr>
        <w:widowControl w:val="0"/>
        <w:autoSpaceDE w:val="0"/>
        <w:autoSpaceDN w:val="0"/>
        <w:adjustRightInd w:val="0"/>
        <w:ind w:left="480" w:hanging="480"/>
        <w:rPr>
          <w:noProof/>
          <w:color w:val="000000" w:themeColor="text1"/>
          <w:lang w:val="en-US"/>
        </w:rPr>
      </w:pPr>
    </w:p>
    <w:p w14:paraId="4DB9CD29" w14:textId="77777777" w:rsidR="00CA4522" w:rsidRPr="00344DFC" w:rsidRDefault="00CA4522" w:rsidP="009E2A1E">
      <w:pPr>
        <w:widowControl w:val="0"/>
        <w:autoSpaceDE w:val="0"/>
        <w:autoSpaceDN w:val="0"/>
        <w:adjustRightInd w:val="0"/>
        <w:ind w:left="480" w:hanging="480"/>
        <w:rPr>
          <w:noProof/>
          <w:lang w:val="en-US"/>
        </w:rPr>
      </w:pPr>
    </w:p>
    <w:p w14:paraId="6C008717" w14:textId="5683FAB9"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Fuchsberger, C., Flannick, J., Teslovich, T.M., Mahajan, A., Agarwala, V., Gaulton, K.J., </w:t>
      </w:r>
      <w:r w:rsidRPr="00344DFC">
        <w:rPr>
          <w:noProof/>
          <w:lang w:val="en-US"/>
        </w:rPr>
        <w:lastRenderedPageBreak/>
        <w:t>Ma, C., Fontanillas, P., Moutsianas, L., McCarthy, D.J.</w:t>
      </w:r>
      <w:r w:rsidR="00CA4522" w:rsidRPr="00344DFC">
        <w:rPr>
          <w:noProof/>
          <w:lang w:val="en-US"/>
        </w:rPr>
        <w:t xml:space="preserve"> et al.</w:t>
      </w:r>
      <w:r w:rsidRPr="00344DFC">
        <w:rPr>
          <w:noProof/>
          <w:lang w:val="en-US"/>
        </w:rPr>
        <w:t xml:space="preserve">, 2016. The genetic architecture of type 2 diabetes. Nature 536, 41–47. </w:t>
      </w:r>
    </w:p>
    <w:p w14:paraId="20366DAA" w14:textId="2B081B05" w:rsidR="006A72ED" w:rsidRPr="00344DFC" w:rsidRDefault="006A72ED" w:rsidP="009E2A1E">
      <w:pPr>
        <w:widowControl w:val="0"/>
        <w:autoSpaceDE w:val="0"/>
        <w:autoSpaceDN w:val="0"/>
        <w:adjustRightInd w:val="0"/>
        <w:ind w:left="480" w:hanging="480"/>
        <w:rPr>
          <w:noProof/>
          <w:lang w:val="en-US"/>
        </w:rPr>
      </w:pPr>
    </w:p>
    <w:p w14:paraId="71014C7B" w14:textId="130BBF3C" w:rsidR="006A72ED" w:rsidRPr="00344DFC" w:rsidRDefault="006A72ED" w:rsidP="0023752D">
      <w:pPr>
        <w:ind w:left="566" w:hangingChars="236" w:hanging="566"/>
        <w:rPr>
          <w:color w:val="000000" w:themeColor="text1"/>
        </w:rPr>
      </w:pPr>
      <w:r w:rsidRPr="00344DFC">
        <w:rPr>
          <w:color w:val="000000" w:themeColor="text1"/>
          <w:shd w:val="clear" w:color="auto" w:fill="FCFCFC"/>
        </w:rPr>
        <w:t xml:space="preserve">Gaulton, K.J. 2017. Mechanisms </w:t>
      </w:r>
      <w:r w:rsidR="0021603E" w:rsidRPr="00344DFC">
        <w:rPr>
          <w:color w:val="000000" w:themeColor="text1"/>
          <w:shd w:val="clear" w:color="auto" w:fill="FCFCFC"/>
        </w:rPr>
        <w:t xml:space="preserve">of type 2 diabetes risk </w:t>
      </w:r>
      <w:r w:rsidRPr="00344DFC">
        <w:rPr>
          <w:color w:val="000000" w:themeColor="text1"/>
          <w:shd w:val="clear" w:color="auto" w:fill="FCFCFC"/>
        </w:rPr>
        <w:t>Loci. </w:t>
      </w:r>
      <w:r w:rsidRPr="00344DFC">
        <w:rPr>
          <w:iCs/>
          <w:color w:val="000000" w:themeColor="text1"/>
          <w:shd w:val="clear" w:color="auto" w:fill="FCFCFC"/>
        </w:rPr>
        <w:t>Current Diabetes Reports</w:t>
      </w:r>
      <w:r w:rsidRPr="00344DFC">
        <w:rPr>
          <w:color w:val="000000" w:themeColor="text1"/>
          <w:shd w:val="clear" w:color="auto" w:fill="FCFCFC"/>
        </w:rPr>
        <w:t> </w:t>
      </w:r>
      <w:r w:rsidRPr="00344DFC">
        <w:rPr>
          <w:bCs/>
          <w:color w:val="000000" w:themeColor="text1"/>
          <w:shd w:val="clear" w:color="auto" w:fill="FCFCFC"/>
        </w:rPr>
        <w:t>17,</w:t>
      </w:r>
      <w:r w:rsidRPr="00344DFC">
        <w:rPr>
          <w:b/>
          <w:bCs/>
          <w:color w:val="000000" w:themeColor="text1"/>
          <w:shd w:val="clear" w:color="auto" w:fill="FCFCFC"/>
        </w:rPr>
        <w:t> </w:t>
      </w:r>
      <w:r w:rsidRPr="00344DFC">
        <w:rPr>
          <w:color w:val="000000" w:themeColor="text1"/>
          <w:shd w:val="clear" w:color="auto" w:fill="FCFCFC"/>
        </w:rPr>
        <w:t>72.</w:t>
      </w:r>
    </w:p>
    <w:p w14:paraId="6B4B7E74" w14:textId="77777777" w:rsidR="00CA4522" w:rsidRPr="00344DFC" w:rsidRDefault="00CA4522" w:rsidP="009E2A1E">
      <w:pPr>
        <w:widowControl w:val="0"/>
        <w:autoSpaceDE w:val="0"/>
        <w:autoSpaceDN w:val="0"/>
        <w:adjustRightInd w:val="0"/>
        <w:ind w:left="480" w:hanging="480"/>
        <w:rPr>
          <w:noProof/>
          <w:lang w:val="en-US"/>
        </w:rPr>
      </w:pPr>
    </w:p>
    <w:p w14:paraId="4A3F2725" w14:textId="6A683FF6"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Grant, S.F.A., Hakonarson, H., Schwartz, S., 2010. Can </w:t>
      </w:r>
      <w:r w:rsidR="0021603E" w:rsidRPr="00344DFC">
        <w:rPr>
          <w:noProof/>
          <w:lang w:val="en-US"/>
        </w:rPr>
        <w:t>the genetics of type 1 and type 2 diabetes shed light on the genetics of latent autoimmune diabetes in adults</w:t>
      </w:r>
      <w:r w:rsidRPr="00344DFC">
        <w:rPr>
          <w:noProof/>
          <w:lang w:val="en-US"/>
        </w:rPr>
        <w:t>? Endocr</w:t>
      </w:r>
      <w:r w:rsidR="00CA4522" w:rsidRPr="00344DFC">
        <w:rPr>
          <w:noProof/>
          <w:lang w:val="en-US"/>
        </w:rPr>
        <w:t>inology</w:t>
      </w:r>
      <w:r w:rsidRPr="00344DFC">
        <w:rPr>
          <w:noProof/>
          <w:lang w:val="en-US"/>
        </w:rPr>
        <w:t xml:space="preserve"> Rev</w:t>
      </w:r>
      <w:r w:rsidR="00CA4522" w:rsidRPr="00344DFC">
        <w:rPr>
          <w:noProof/>
          <w:lang w:val="en-US"/>
        </w:rPr>
        <w:t>iews</w:t>
      </w:r>
      <w:r w:rsidRPr="00344DFC">
        <w:rPr>
          <w:noProof/>
          <w:lang w:val="en-US"/>
        </w:rPr>
        <w:t xml:space="preserve"> 31, 183–193. </w:t>
      </w:r>
    </w:p>
    <w:p w14:paraId="73CD8BC8" w14:textId="77777777" w:rsidR="00CA4522" w:rsidRPr="00344DFC" w:rsidRDefault="00CA4522" w:rsidP="009E2A1E">
      <w:pPr>
        <w:widowControl w:val="0"/>
        <w:autoSpaceDE w:val="0"/>
        <w:autoSpaceDN w:val="0"/>
        <w:adjustRightInd w:val="0"/>
        <w:ind w:left="480" w:hanging="480"/>
        <w:rPr>
          <w:noProof/>
          <w:lang w:val="en-US"/>
        </w:rPr>
      </w:pPr>
    </w:p>
    <w:p w14:paraId="2F787397" w14:textId="2D3BAE2D"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Grotz, A.K., Gloyn, A.L., Thomsen, S.K., 2017. Prioritising </w:t>
      </w:r>
      <w:r w:rsidR="0021603E" w:rsidRPr="00344DFC">
        <w:rPr>
          <w:noProof/>
          <w:lang w:val="en-US"/>
        </w:rPr>
        <w:t>causal genes at type 2 diabetes risk l</w:t>
      </w:r>
      <w:r w:rsidRPr="00344DFC">
        <w:rPr>
          <w:noProof/>
          <w:lang w:val="en-US"/>
        </w:rPr>
        <w:t>oci. Curr</w:t>
      </w:r>
      <w:r w:rsidR="00CA4522" w:rsidRPr="00344DFC">
        <w:rPr>
          <w:noProof/>
          <w:lang w:val="en-US"/>
        </w:rPr>
        <w:t>ent</w:t>
      </w:r>
      <w:r w:rsidRPr="00344DFC">
        <w:rPr>
          <w:noProof/>
          <w:lang w:val="en-US"/>
        </w:rPr>
        <w:t xml:space="preserve"> Diab</w:t>
      </w:r>
      <w:r w:rsidR="00CA4522" w:rsidRPr="00344DFC">
        <w:rPr>
          <w:noProof/>
          <w:lang w:val="en-US"/>
        </w:rPr>
        <w:t>etes</w:t>
      </w:r>
      <w:r w:rsidRPr="00344DFC">
        <w:rPr>
          <w:noProof/>
          <w:lang w:val="en-US"/>
        </w:rPr>
        <w:t xml:space="preserve"> Rep</w:t>
      </w:r>
      <w:r w:rsidR="00CA4522" w:rsidRPr="00344DFC">
        <w:rPr>
          <w:noProof/>
          <w:lang w:val="en-US"/>
        </w:rPr>
        <w:t>orts</w:t>
      </w:r>
      <w:r w:rsidRPr="00344DFC">
        <w:rPr>
          <w:noProof/>
          <w:lang w:val="en-US"/>
        </w:rPr>
        <w:t xml:space="preserve"> 17, 76. </w:t>
      </w:r>
    </w:p>
    <w:p w14:paraId="3AF72C1E" w14:textId="77777777" w:rsidR="00CA4522" w:rsidRPr="00344DFC" w:rsidRDefault="00CA4522" w:rsidP="009E2A1E">
      <w:pPr>
        <w:widowControl w:val="0"/>
        <w:autoSpaceDE w:val="0"/>
        <w:autoSpaceDN w:val="0"/>
        <w:adjustRightInd w:val="0"/>
        <w:ind w:left="480" w:hanging="480"/>
        <w:rPr>
          <w:noProof/>
          <w:lang w:val="en-US"/>
        </w:rPr>
      </w:pPr>
    </w:p>
    <w:p w14:paraId="37644095" w14:textId="56445CCC"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Hani, E.H., Boutin, P., Durand, E., Inoue, H., Permutt, M.A., Velho, G., Froguel, P., 1998. Missense mutations in the pancreatic islet beta cell inwardly rectifying K + channel gene (KIR6.2/BIR ): </w:t>
      </w:r>
      <w:r w:rsidR="0021603E">
        <w:rPr>
          <w:noProof/>
          <w:lang w:val="en-US"/>
        </w:rPr>
        <w:t>A</w:t>
      </w:r>
      <w:r w:rsidRPr="00344DFC">
        <w:rPr>
          <w:noProof/>
          <w:lang w:val="en-US"/>
        </w:rPr>
        <w:t xml:space="preserve"> meta-analysis suggests a role in the polygenic basis of </w:t>
      </w:r>
      <w:r w:rsidR="0021603E">
        <w:rPr>
          <w:noProof/>
          <w:lang w:val="en-US"/>
        </w:rPr>
        <w:t>t</w:t>
      </w:r>
      <w:r w:rsidRPr="00344DFC">
        <w:rPr>
          <w:noProof/>
          <w:lang w:val="en-US"/>
        </w:rPr>
        <w:t xml:space="preserve">ype II diabetes mellitus in Caucasians. Diabetologia 41, 1511–1515. </w:t>
      </w:r>
    </w:p>
    <w:p w14:paraId="1C0E6B20" w14:textId="77777777" w:rsidR="00CA4522" w:rsidRPr="00344DFC" w:rsidRDefault="00CA4522" w:rsidP="009E2A1E">
      <w:pPr>
        <w:widowControl w:val="0"/>
        <w:autoSpaceDE w:val="0"/>
        <w:autoSpaceDN w:val="0"/>
        <w:adjustRightInd w:val="0"/>
        <w:ind w:left="480" w:hanging="480"/>
        <w:rPr>
          <w:noProof/>
          <w:lang w:val="en-US"/>
        </w:rPr>
      </w:pPr>
    </w:p>
    <w:p w14:paraId="703059AD" w14:textId="54913EE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Hattersley, A.T., Ashcroft, F.M., 2005. Activating </w:t>
      </w:r>
      <w:r w:rsidR="0021603E" w:rsidRPr="00344DFC">
        <w:rPr>
          <w:noProof/>
          <w:lang w:val="en-US"/>
        </w:rPr>
        <w:t>mutat</w:t>
      </w:r>
      <w:r w:rsidRPr="00344DFC">
        <w:rPr>
          <w:noProof/>
          <w:lang w:val="en-US"/>
        </w:rPr>
        <w:t xml:space="preserve">ions in Kir6.2 and </w:t>
      </w:r>
      <w:r w:rsidR="0021603E" w:rsidRPr="00344DFC">
        <w:rPr>
          <w:noProof/>
          <w:lang w:val="en-US"/>
        </w:rPr>
        <w:t>neonatal diabetes new clinical syndromes, new scientific insights, and new therapy</w:t>
      </w:r>
      <w:r w:rsidRPr="00344DFC">
        <w:rPr>
          <w:noProof/>
          <w:lang w:val="en-US"/>
        </w:rPr>
        <w:t>.</w:t>
      </w:r>
      <w:r w:rsidR="00CA4522" w:rsidRPr="00344DFC">
        <w:rPr>
          <w:noProof/>
          <w:lang w:val="en-US"/>
        </w:rPr>
        <w:t xml:space="preserve"> Diabetes 54, 2503-13.</w:t>
      </w:r>
    </w:p>
    <w:p w14:paraId="09ED44C0" w14:textId="77777777" w:rsidR="00CA4522" w:rsidRPr="00344DFC" w:rsidRDefault="00CA4522" w:rsidP="009E2A1E">
      <w:pPr>
        <w:widowControl w:val="0"/>
        <w:autoSpaceDE w:val="0"/>
        <w:autoSpaceDN w:val="0"/>
        <w:adjustRightInd w:val="0"/>
        <w:ind w:left="480" w:hanging="480"/>
        <w:rPr>
          <w:noProof/>
          <w:lang w:val="en-US"/>
        </w:rPr>
      </w:pPr>
    </w:p>
    <w:p w14:paraId="6E7339D0"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Hayward, J.J., Castelhano, M.G., Oliveira, K.C., Corey, E., Balkman, C., Baxter, T.L., Casal, M.L., Center, S.A., Fang, M., Garrison, S.J.</w:t>
      </w:r>
      <w:r w:rsidR="00CA4522" w:rsidRPr="00344DFC">
        <w:rPr>
          <w:noProof/>
          <w:lang w:val="en-US"/>
        </w:rPr>
        <w:t xml:space="preserve"> et al.</w:t>
      </w:r>
      <w:r w:rsidRPr="00344DFC">
        <w:rPr>
          <w:noProof/>
          <w:lang w:val="en-US"/>
        </w:rPr>
        <w:t>, 2016. Complex disease and phenotype mapping in the domestic dog. Nat</w:t>
      </w:r>
      <w:r w:rsidR="00CA4522" w:rsidRPr="00344DFC">
        <w:rPr>
          <w:noProof/>
          <w:lang w:val="en-US"/>
        </w:rPr>
        <w:t>ure</w:t>
      </w:r>
      <w:r w:rsidRPr="00344DFC">
        <w:rPr>
          <w:noProof/>
          <w:lang w:val="en-US"/>
        </w:rPr>
        <w:t xml:space="preserve"> Commun</w:t>
      </w:r>
      <w:r w:rsidR="00CA4522" w:rsidRPr="00344DFC">
        <w:rPr>
          <w:noProof/>
          <w:lang w:val="en-US"/>
        </w:rPr>
        <w:t>ications</w:t>
      </w:r>
      <w:r w:rsidRPr="00344DFC">
        <w:rPr>
          <w:noProof/>
          <w:lang w:val="en-US"/>
        </w:rPr>
        <w:t xml:space="preserve"> 7, 10460. </w:t>
      </w:r>
    </w:p>
    <w:p w14:paraId="1A03D21C" w14:textId="77777777" w:rsidR="00F950AB" w:rsidRPr="00344DFC" w:rsidRDefault="00F950AB" w:rsidP="006B0A7F">
      <w:pPr>
        <w:widowControl w:val="0"/>
        <w:autoSpaceDE w:val="0"/>
        <w:autoSpaceDN w:val="0"/>
        <w:adjustRightInd w:val="0"/>
        <w:rPr>
          <w:noProof/>
          <w:lang w:val="en-US"/>
        </w:rPr>
      </w:pPr>
    </w:p>
    <w:p w14:paraId="34EC091C" w14:textId="77777777" w:rsidR="001D3FAD" w:rsidRPr="00344DFC" w:rsidRDefault="009E2A1E" w:rsidP="001D3FAD">
      <w:pPr>
        <w:widowControl w:val="0"/>
        <w:autoSpaceDE w:val="0"/>
        <w:autoSpaceDN w:val="0"/>
        <w:adjustRightInd w:val="0"/>
        <w:ind w:left="480" w:hanging="480"/>
        <w:rPr>
          <w:noProof/>
          <w:lang w:val="en-US"/>
        </w:rPr>
      </w:pPr>
      <w:r w:rsidRPr="00344DFC">
        <w:rPr>
          <w:noProof/>
          <w:lang w:val="en-US"/>
        </w:rPr>
        <w:t>Holder, A.L., Kennedy, L.J., Ollier, W.E.R., Catchpole, B., 2015. Breed differences in development of anti-insulin antibodies in diabetic dogs and investigation of the role of dog leukocyte antigen (DLA) genes. Vet</w:t>
      </w:r>
      <w:r w:rsidR="00CA4522" w:rsidRPr="00344DFC">
        <w:rPr>
          <w:noProof/>
          <w:lang w:val="en-US"/>
        </w:rPr>
        <w:t>erinary</w:t>
      </w:r>
      <w:r w:rsidRPr="00344DFC">
        <w:rPr>
          <w:noProof/>
          <w:lang w:val="en-US"/>
        </w:rPr>
        <w:t xml:space="preserve"> Immunol</w:t>
      </w:r>
      <w:r w:rsidR="00CA4522" w:rsidRPr="00344DFC">
        <w:rPr>
          <w:noProof/>
          <w:lang w:val="en-US"/>
        </w:rPr>
        <w:t>ogy and</w:t>
      </w:r>
      <w:r w:rsidRPr="00344DFC">
        <w:rPr>
          <w:noProof/>
          <w:lang w:val="en-US"/>
        </w:rPr>
        <w:t xml:space="preserve"> Immunopathol</w:t>
      </w:r>
      <w:r w:rsidR="00CA4522" w:rsidRPr="00344DFC">
        <w:rPr>
          <w:noProof/>
          <w:lang w:val="en-US"/>
        </w:rPr>
        <w:t>ogy</w:t>
      </w:r>
      <w:r w:rsidRPr="00344DFC">
        <w:rPr>
          <w:noProof/>
          <w:lang w:val="en-US"/>
        </w:rPr>
        <w:t xml:space="preserve"> 167, 130–8. </w:t>
      </w:r>
    </w:p>
    <w:p w14:paraId="37A7407D" w14:textId="77777777" w:rsidR="001D3FAD" w:rsidRPr="00344DFC" w:rsidRDefault="001D3FAD" w:rsidP="001D3FAD">
      <w:pPr>
        <w:widowControl w:val="0"/>
        <w:autoSpaceDE w:val="0"/>
        <w:autoSpaceDN w:val="0"/>
        <w:adjustRightInd w:val="0"/>
        <w:ind w:left="480" w:hanging="480"/>
        <w:rPr>
          <w:color w:val="0070C0"/>
          <w:shd w:val="clear" w:color="auto" w:fill="FFFFFF"/>
        </w:rPr>
      </w:pPr>
    </w:p>
    <w:p w14:paraId="22AACF8B" w14:textId="133CD1A5" w:rsidR="00CA4522" w:rsidRPr="0023752D" w:rsidRDefault="00F950AB" w:rsidP="001D3FAD">
      <w:pPr>
        <w:widowControl w:val="0"/>
        <w:autoSpaceDE w:val="0"/>
        <w:autoSpaceDN w:val="0"/>
        <w:adjustRightInd w:val="0"/>
        <w:ind w:left="480" w:hanging="480"/>
        <w:rPr>
          <w:color w:val="000000" w:themeColor="text1"/>
          <w:shd w:val="clear" w:color="auto" w:fill="FFFFFF"/>
        </w:rPr>
      </w:pPr>
      <w:r w:rsidRPr="0023752D">
        <w:rPr>
          <w:color w:val="000000" w:themeColor="text1"/>
          <w:shd w:val="clear" w:color="auto" w:fill="FFFFFF"/>
        </w:rPr>
        <w:t xml:space="preserve">Jagannathan, V., Drögemüller, C., Leeb, T., </w:t>
      </w:r>
      <w:r w:rsidRPr="0023752D">
        <w:rPr>
          <w:color w:val="000000" w:themeColor="text1"/>
        </w:rPr>
        <w:t>Dog Biomedical Variant Database Consortium</w:t>
      </w:r>
      <w:r w:rsidR="006B0A7F" w:rsidRPr="0023752D">
        <w:rPr>
          <w:color w:val="000000" w:themeColor="text1"/>
        </w:rPr>
        <w:t xml:space="preserve"> </w:t>
      </w:r>
      <w:r w:rsidRPr="0023752D">
        <w:rPr>
          <w:color w:val="000000" w:themeColor="text1"/>
        </w:rPr>
        <w:t>(DBVDC)</w:t>
      </w:r>
      <w:r w:rsidRPr="0023752D">
        <w:rPr>
          <w:color w:val="000000" w:themeColor="text1"/>
          <w:shd w:val="clear" w:color="auto" w:fill="FFFFFF"/>
        </w:rPr>
        <w:t>, 2019. A comprehensive biomedical variant catalogue based on whole genome sequences of 582 dogs and eight wolves. Animal Genetics 50, 695-704.</w:t>
      </w:r>
    </w:p>
    <w:p w14:paraId="5A2C43A8" w14:textId="77777777" w:rsidR="001D3FAD" w:rsidRPr="00344DFC" w:rsidRDefault="001D3FAD" w:rsidP="001D3FAD">
      <w:pPr>
        <w:widowControl w:val="0"/>
        <w:autoSpaceDE w:val="0"/>
        <w:autoSpaceDN w:val="0"/>
        <w:adjustRightInd w:val="0"/>
        <w:ind w:left="480" w:hanging="480"/>
        <w:rPr>
          <w:noProof/>
          <w:lang w:val="en-US"/>
        </w:rPr>
      </w:pPr>
    </w:p>
    <w:p w14:paraId="0DE8BAD3" w14:textId="798D3957" w:rsidR="009E2A1E" w:rsidRPr="00344DFC" w:rsidRDefault="009E2A1E" w:rsidP="006B0A7F">
      <w:pPr>
        <w:widowControl w:val="0"/>
        <w:autoSpaceDE w:val="0"/>
        <w:autoSpaceDN w:val="0"/>
        <w:adjustRightInd w:val="0"/>
        <w:ind w:left="480" w:hanging="480"/>
        <w:rPr>
          <w:noProof/>
          <w:lang w:val="en-US"/>
        </w:rPr>
      </w:pPr>
      <w:r w:rsidRPr="00344DFC">
        <w:rPr>
          <w:noProof/>
          <w:lang w:val="en-US"/>
        </w:rPr>
        <w:t xml:space="preserve">Karlsson, E.K., Lindblad-toh, K., 2008. Leader of the pack: </w:t>
      </w:r>
      <w:r w:rsidR="0021603E">
        <w:rPr>
          <w:noProof/>
          <w:lang w:val="en-US"/>
        </w:rPr>
        <w:t>G</w:t>
      </w:r>
      <w:r w:rsidRPr="00344DFC">
        <w:rPr>
          <w:noProof/>
          <w:lang w:val="en-US"/>
        </w:rPr>
        <w:t>ene mapping in dogs and other model organisms</w:t>
      </w:r>
      <w:r w:rsidR="00CA4522" w:rsidRPr="00344DFC">
        <w:rPr>
          <w:noProof/>
          <w:lang w:val="en-US"/>
        </w:rPr>
        <w:t>. Nature Reviews Genetics 9, 713-25.</w:t>
      </w:r>
      <w:r w:rsidRPr="00344DFC">
        <w:rPr>
          <w:noProof/>
          <w:lang w:val="en-US"/>
        </w:rPr>
        <w:t xml:space="preserve"> </w:t>
      </w:r>
    </w:p>
    <w:p w14:paraId="3453F463" w14:textId="77777777" w:rsidR="00CA4522" w:rsidRPr="00344DFC" w:rsidRDefault="00CA4522" w:rsidP="009E2A1E">
      <w:pPr>
        <w:widowControl w:val="0"/>
        <w:autoSpaceDE w:val="0"/>
        <w:autoSpaceDN w:val="0"/>
        <w:adjustRightInd w:val="0"/>
        <w:ind w:left="480" w:hanging="480"/>
        <w:rPr>
          <w:noProof/>
          <w:lang w:val="en-US"/>
        </w:rPr>
      </w:pPr>
    </w:p>
    <w:p w14:paraId="13D35B99"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Kennedy, L.J., Angles, J.M., Barnes, A., Carter, S.D., Francino, O., Gerlach, J.A., Happ, G.M., Ollier, W.E.R., Thomson, W., Wagner, J.L., 2001. Nomenclature for factors of the dog major histocompatibility system (DLA), 2000: Second report of the ISAG DLA Nomenclature Committee. Tissue Antigens 58, 55–70. </w:t>
      </w:r>
    </w:p>
    <w:p w14:paraId="2E6DCA0F" w14:textId="77777777" w:rsidR="00CA4522" w:rsidRPr="00344DFC" w:rsidRDefault="00CA4522" w:rsidP="009E2A1E">
      <w:pPr>
        <w:widowControl w:val="0"/>
        <w:autoSpaceDE w:val="0"/>
        <w:autoSpaceDN w:val="0"/>
        <w:adjustRightInd w:val="0"/>
        <w:ind w:left="480" w:hanging="480"/>
        <w:rPr>
          <w:noProof/>
          <w:lang w:val="en-US"/>
        </w:rPr>
      </w:pPr>
    </w:p>
    <w:p w14:paraId="44ED743F"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Kennedy, L.J., Barnes, A., Happ, G.M., Quinnell, R.J., Bennett, D., Angles, J.M., Day, M.J., Carmichael, N., Innes, J.F., Isherwood, D.</w:t>
      </w:r>
      <w:r w:rsidR="00CA4522" w:rsidRPr="00344DFC">
        <w:rPr>
          <w:noProof/>
          <w:lang w:val="en-US"/>
        </w:rPr>
        <w:t xml:space="preserve"> et al.</w:t>
      </w:r>
      <w:r w:rsidRPr="00344DFC">
        <w:rPr>
          <w:noProof/>
          <w:lang w:val="en-US"/>
        </w:rPr>
        <w:t xml:space="preserve">, 2002. Extensive interbreed, but minimal intrabreed, variation of DLA class II alleles and haplotypes in dogs. Tissue Antigens 59, 194–204. </w:t>
      </w:r>
    </w:p>
    <w:p w14:paraId="649163B6" w14:textId="77777777" w:rsidR="00CA4522" w:rsidRPr="00344DFC" w:rsidRDefault="00CA4522" w:rsidP="009E2A1E">
      <w:pPr>
        <w:widowControl w:val="0"/>
        <w:autoSpaceDE w:val="0"/>
        <w:autoSpaceDN w:val="0"/>
        <w:adjustRightInd w:val="0"/>
        <w:ind w:left="480" w:hanging="480"/>
        <w:rPr>
          <w:noProof/>
          <w:lang w:val="en-US"/>
        </w:rPr>
      </w:pPr>
    </w:p>
    <w:p w14:paraId="38AB1A41"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Kennedy, L.J., Davison, L.J., Barnes, A., Short, A.D., Fretwell, N., Jones, C.A., Lee, A.C., Ollier, W.E.R., Catchpole, B., 2006. Identification of susceptibility and protective major histocompatibility complex haplotypes in canine diabetes mellitus. Tissue Antigens 68, </w:t>
      </w:r>
      <w:r w:rsidRPr="00344DFC">
        <w:rPr>
          <w:noProof/>
          <w:lang w:val="en-US"/>
        </w:rPr>
        <w:lastRenderedPageBreak/>
        <w:t xml:space="preserve">467–476. </w:t>
      </w:r>
    </w:p>
    <w:p w14:paraId="171B00FD" w14:textId="77777777" w:rsidR="00CA4522" w:rsidRPr="00344DFC" w:rsidRDefault="00CA4522" w:rsidP="009E2A1E">
      <w:pPr>
        <w:widowControl w:val="0"/>
        <w:autoSpaceDE w:val="0"/>
        <w:autoSpaceDN w:val="0"/>
        <w:adjustRightInd w:val="0"/>
        <w:ind w:left="480" w:hanging="480"/>
        <w:rPr>
          <w:noProof/>
          <w:lang w:val="en-US"/>
        </w:rPr>
      </w:pPr>
    </w:p>
    <w:p w14:paraId="0201A76E" w14:textId="52C349CF" w:rsidR="009E2A1E" w:rsidRPr="00344DFC" w:rsidRDefault="009E2A1E" w:rsidP="009E2A1E">
      <w:pPr>
        <w:widowControl w:val="0"/>
        <w:autoSpaceDE w:val="0"/>
        <w:autoSpaceDN w:val="0"/>
        <w:adjustRightInd w:val="0"/>
        <w:ind w:left="480" w:hanging="480"/>
        <w:rPr>
          <w:noProof/>
          <w:lang w:val="en-US"/>
        </w:rPr>
      </w:pPr>
      <w:r w:rsidRPr="00344DFC">
        <w:rPr>
          <w:noProof/>
          <w:lang w:val="en-US"/>
        </w:rPr>
        <w:t>Klupa, T., Skupien, J., Mirkiewicz-Sieradzka, B., Gach, A., Noczynska, A., Zubkiewicz-Kucharska, A., Szalecki, M., Kozek, E., Nazim, J.,</w:t>
      </w:r>
      <w:r w:rsidR="0021603E">
        <w:rPr>
          <w:noProof/>
          <w:lang w:val="en-US"/>
        </w:rPr>
        <w:t xml:space="preserve"> et al</w:t>
      </w:r>
      <w:r w:rsidRPr="00344DFC">
        <w:rPr>
          <w:noProof/>
          <w:lang w:val="en-US"/>
        </w:rPr>
        <w:t xml:space="preserve">., 2010. Efficacy </w:t>
      </w:r>
      <w:r w:rsidR="0021603E" w:rsidRPr="00344DFC">
        <w:rPr>
          <w:noProof/>
          <w:lang w:val="en-US"/>
        </w:rPr>
        <w:t>and safety of sulfonylurea use in permanent neonatal diabetes du</w:t>
      </w:r>
      <w:r w:rsidRPr="00344DFC">
        <w:rPr>
          <w:noProof/>
          <w:lang w:val="en-US"/>
        </w:rPr>
        <w:t xml:space="preserve">e to </w:t>
      </w:r>
      <w:r w:rsidRPr="00344DFC">
        <w:rPr>
          <w:i/>
          <w:iCs/>
          <w:noProof/>
          <w:lang w:val="en-US"/>
        </w:rPr>
        <w:t>KCNJ11</w:t>
      </w:r>
      <w:r w:rsidRPr="00344DFC">
        <w:rPr>
          <w:noProof/>
          <w:lang w:val="en-US"/>
        </w:rPr>
        <w:t xml:space="preserve"> </w:t>
      </w:r>
      <w:r w:rsidR="0021603E" w:rsidRPr="00344DFC">
        <w:rPr>
          <w:noProof/>
          <w:lang w:val="en-US"/>
        </w:rPr>
        <w:t>gene mutations</w:t>
      </w:r>
      <w:r w:rsidRPr="00344DFC">
        <w:rPr>
          <w:noProof/>
          <w:lang w:val="en-US"/>
        </w:rPr>
        <w:t>: 34-</w:t>
      </w:r>
      <w:r w:rsidR="0021603E" w:rsidRPr="00344DFC">
        <w:rPr>
          <w:noProof/>
          <w:lang w:val="en-US"/>
        </w:rPr>
        <w:t>month median follow-up</w:t>
      </w:r>
      <w:r w:rsidRPr="00344DFC">
        <w:rPr>
          <w:noProof/>
          <w:lang w:val="en-US"/>
        </w:rPr>
        <w:t>. Diabetes Technol</w:t>
      </w:r>
      <w:r w:rsidR="00CA4522" w:rsidRPr="00344DFC">
        <w:rPr>
          <w:noProof/>
          <w:lang w:val="en-US"/>
        </w:rPr>
        <w:t>ogy and</w:t>
      </w:r>
      <w:r w:rsidRPr="00344DFC">
        <w:rPr>
          <w:noProof/>
          <w:lang w:val="en-US"/>
        </w:rPr>
        <w:t xml:space="preserve"> Ther</w:t>
      </w:r>
      <w:r w:rsidR="00CA4522" w:rsidRPr="00344DFC">
        <w:rPr>
          <w:noProof/>
          <w:lang w:val="en-US"/>
        </w:rPr>
        <w:t>apeutics</w:t>
      </w:r>
      <w:r w:rsidRPr="00344DFC">
        <w:rPr>
          <w:noProof/>
          <w:lang w:val="en-US"/>
        </w:rPr>
        <w:t xml:space="preserve"> 12, 387–391. </w:t>
      </w:r>
    </w:p>
    <w:p w14:paraId="1480DF4F" w14:textId="77777777" w:rsidR="00CA4522" w:rsidRPr="00344DFC" w:rsidRDefault="00CA4522" w:rsidP="009E2A1E">
      <w:pPr>
        <w:widowControl w:val="0"/>
        <w:autoSpaceDE w:val="0"/>
        <w:autoSpaceDN w:val="0"/>
        <w:adjustRightInd w:val="0"/>
        <w:ind w:left="480" w:hanging="480"/>
        <w:rPr>
          <w:noProof/>
          <w:lang w:val="en-US"/>
        </w:rPr>
      </w:pPr>
    </w:p>
    <w:p w14:paraId="2F03A3F5"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Kramer, J.W., Nottingham, S., Robinette, J., Lenz, G., Sylvester, S., Dessouky, M.I., 1980. Inherited, early onset, insulin-requiring diabetes mellitus of Keeshond dogs. Diabetes 29, 558–65. </w:t>
      </w:r>
    </w:p>
    <w:p w14:paraId="39B5B8B5" w14:textId="77777777" w:rsidR="00CA4522" w:rsidRPr="00344DFC" w:rsidRDefault="00CA4522" w:rsidP="009E2A1E">
      <w:pPr>
        <w:widowControl w:val="0"/>
        <w:autoSpaceDE w:val="0"/>
        <w:autoSpaceDN w:val="0"/>
        <w:adjustRightInd w:val="0"/>
        <w:ind w:left="480" w:hanging="480"/>
        <w:rPr>
          <w:noProof/>
          <w:lang w:val="en-US"/>
        </w:rPr>
      </w:pPr>
    </w:p>
    <w:p w14:paraId="0B7BD545"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Lequarré, A.-S., Andersson, L., André, C., Fredholm, M., Hitte, C., Leeb, T., Lohi, H., Lindblad-Toh, K., Georges, M., 2011. LUPA: A European initiative taking advantage of the canine genome architecture for unravelling complex disorders in both human and dogs. </w:t>
      </w:r>
      <w:r w:rsidR="00CA4522" w:rsidRPr="00344DFC">
        <w:rPr>
          <w:noProof/>
          <w:lang w:val="en-US"/>
        </w:rPr>
        <w:t xml:space="preserve">The Veterinary Journal </w:t>
      </w:r>
      <w:r w:rsidRPr="00344DFC">
        <w:rPr>
          <w:noProof/>
          <w:lang w:val="en-US"/>
        </w:rPr>
        <w:t xml:space="preserve">189, 155–159. </w:t>
      </w:r>
    </w:p>
    <w:p w14:paraId="28B15F8E" w14:textId="77777777" w:rsidR="00CA4522" w:rsidRPr="00344DFC" w:rsidRDefault="00CA4522" w:rsidP="009E2A1E">
      <w:pPr>
        <w:widowControl w:val="0"/>
        <w:autoSpaceDE w:val="0"/>
        <w:autoSpaceDN w:val="0"/>
        <w:adjustRightInd w:val="0"/>
        <w:ind w:left="480" w:hanging="480"/>
        <w:rPr>
          <w:noProof/>
          <w:lang w:val="en-US"/>
        </w:rPr>
      </w:pPr>
    </w:p>
    <w:p w14:paraId="37AB99DC" w14:textId="49B64CB9" w:rsidR="009E2A1E" w:rsidRPr="00344DFC" w:rsidRDefault="009E2A1E" w:rsidP="009E2A1E">
      <w:pPr>
        <w:widowControl w:val="0"/>
        <w:autoSpaceDE w:val="0"/>
        <w:autoSpaceDN w:val="0"/>
        <w:adjustRightInd w:val="0"/>
        <w:ind w:left="480" w:hanging="480"/>
        <w:rPr>
          <w:noProof/>
          <w:lang w:val="en-US"/>
        </w:rPr>
      </w:pPr>
      <w:r w:rsidRPr="00344DFC">
        <w:rPr>
          <w:noProof/>
          <w:lang w:val="en-US"/>
        </w:rPr>
        <w:t>Liston, A., Todd, J.A., Lagou, V., 2017. Beta-</w:t>
      </w:r>
      <w:r w:rsidR="0021603E" w:rsidRPr="00344DFC">
        <w:rPr>
          <w:noProof/>
          <w:lang w:val="en-US"/>
        </w:rPr>
        <w:t>cell fragility as a common underlying risk factor in type 1 and type 2 diab</w:t>
      </w:r>
      <w:r w:rsidRPr="00344DFC">
        <w:rPr>
          <w:noProof/>
          <w:lang w:val="en-US"/>
        </w:rPr>
        <w:t>etes.</w:t>
      </w:r>
      <w:r w:rsidR="00E322C8" w:rsidRPr="00344DFC">
        <w:rPr>
          <w:noProof/>
          <w:lang w:val="en-US"/>
        </w:rPr>
        <w:t xml:space="preserve"> Trends in Molecular Medicine</w:t>
      </w:r>
      <w:r w:rsidRPr="00344DFC">
        <w:rPr>
          <w:noProof/>
          <w:lang w:val="en-US"/>
        </w:rPr>
        <w:t xml:space="preserve"> </w:t>
      </w:r>
      <w:r w:rsidR="00CA4522" w:rsidRPr="00344DFC">
        <w:rPr>
          <w:noProof/>
          <w:lang w:val="en-US"/>
        </w:rPr>
        <w:t>23, 181-194.</w:t>
      </w:r>
    </w:p>
    <w:p w14:paraId="38C675D9" w14:textId="492451DD" w:rsidR="00FC3AC1" w:rsidRPr="00344DFC" w:rsidRDefault="00FC3AC1" w:rsidP="009E2A1E">
      <w:pPr>
        <w:widowControl w:val="0"/>
        <w:autoSpaceDE w:val="0"/>
        <w:autoSpaceDN w:val="0"/>
        <w:adjustRightInd w:val="0"/>
        <w:ind w:left="480" w:hanging="480"/>
        <w:rPr>
          <w:noProof/>
          <w:lang w:val="en-US"/>
        </w:rPr>
      </w:pPr>
    </w:p>
    <w:p w14:paraId="11656F05" w14:textId="34E8E726" w:rsidR="00FC3AC1" w:rsidRPr="0023752D" w:rsidRDefault="00FC3AC1" w:rsidP="0023752D">
      <w:pPr>
        <w:ind w:left="566" w:hangingChars="236" w:hanging="566"/>
        <w:rPr>
          <w:color w:val="000000" w:themeColor="text1"/>
        </w:rPr>
      </w:pPr>
      <w:r w:rsidRPr="0023752D">
        <w:rPr>
          <w:color w:val="000000" w:themeColor="text1"/>
        </w:rPr>
        <w:t xml:space="preserve">Loscalzo J., 2019. Network medicine and type 2 diabetes mellitus: </w:t>
      </w:r>
      <w:r w:rsidR="0021603E">
        <w:rPr>
          <w:color w:val="000000" w:themeColor="text1"/>
        </w:rPr>
        <w:t>I</w:t>
      </w:r>
      <w:r w:rsidRPr="0023752D">
        <w:rPr>
          <w:color w:val="000000" w:themeColor="text1"/>
        </w:rPr>
        <w:t>nsights into disease mechanism and guide to precision medicine. Endocrine 66(3), 456-459.</w:t>
      </w:r>
    </w:p>
    <w:p w14:paraId="4D3A6D81" w14:textId="77777777" w:rsidR="00CA4522" w:rsidRPr="0023752D" w:rsidRDefault="00CA4522" w:rsidP="009E2A1E">
      <w:pPr>
        <w:widowControl w:val="0"/>
        <w:autoSpaceDE w:val="0"/>
        <w:autoSpaceDN w:val="0"/>
        <w:adjustRightInd w:val="0"/>
        <w:ind w:left="480" w:hanging="480"/>
        <w:rPr>
          <w:noProof/>
          <w:color w:val="000000" w:themeColor="text1"/>
          <w:lang w:val="en-US"/>
        </w:rPr>
      </w:pPr>
    </w:p>
    <w:p w14:paraId="5587CCDF"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Lowe, C.E., Cooper, J.D., Brusko, T., Walker, N.M., Smyth, D.J., Bailey, R., Bourget, K., Plagnol, V., Field, S., Atkinson, M.</w:t>
      </w:r>
      <w:r w:rsidR="00E322C8" w:rsidRPr="00344DFC">
        <w:rPr>
          <w:noProof/>
          <w:lang w:val="en-US"/>
        </w:rPr>
        <w:t xml:space="preserve"> et al.</w:t>
      </w:r>
      <w:r w:rsidRPr="00344DFC">
        <w:rPr>
          <w:noProof/>
          <w:lang w:val="en-US"/>
        </w:rPr>
        <w:t>, 2007. Large-scale genetic fine mapping and genotype-phenotype associations implicate polymorphism in the IL2RA region in type 1 diabetes. Nat</w:t>
      </w:r>
      <w:r w:rsidR="00E322C8" w:rsidRPr="00344DFC">
        <w:rPr>
          <w:noProof/>
          <w:lang w:val="en-US"/>
        </w:rPr>
        <w:t xml:space="preserve">ure </w:t>
      </w:r>
      <w:r w:rsidRPr="00344DFC">
        <w:rPr>
          <w:noProof/>
          <w:lang w:val="en-US"/>
        </w:rPr>
        <w:t>Genet</w:t>
      </w:r>
      <w:r w:rsidR="00E322C8" w:rsidRPr="00344DFC">
        <w:rPr>
          <w:noProof/>
          <w:lang w:val="en-US"/>
        </w:rPr>
        <w:t xml:space="preserve">ics </w:t>
      </w:r>
      <w:r w:rsidRPr="00344DFC">
        <w:rPr>
          <w:noProof/>
          <w:lang w:val="en-US"/>
        </w:rPr>
        <w:t xml:space="preserve">39, 1074–1082. </w:t>
      </w:r>
    </w:p>
    <w:p w14:paraId="55CB6D23" w14:textId="77777777" w:rsidR="00E322C8" w:rsidRPr="00344DFC" w:rsidRDefault="00E322C8" w:rsidP="009E2A1E">
      <w:pPr>
        <w:widowControl w:val="0"/>
        <w:autoSpaceDE w:val="0"/>
        <w:autoSpaceDN w:val="0"/>
        <w:adjustRightInd w:val="0"/>
        <w:ind w:left="480" w:hanging="480"/>
        <w:rPr>
          <w:noProof/>
          <w:lang w:val="en-US"/>
        </w:rPr>
      </w:pPr>
    </w:p>
    <w:p w14:paraId="444D1CE0" w14:textId="64F20260" w:rsidR="00446F26" w:rsidRPr="00344DFC" w:rsidRDefault="00446F26" w:rsidP="0023752D">
      <w:pPr>
        <w:ind w:left="566" w:hangingChars="236" w:hanging="566"/>
        <w:rPr>
          <w:color w:val="000000" w:themeColor="text1"/>
          <w:shd w:val="clear" w:color="auto" w:fill="FFFFFF"/>
        </w:rPr>
      </w:pPr>
      <w:r w:rsidRPr="00344DFC">
        <w:rPr>
          <w:color w:val="000000" w:themeColor="text1"/>
          <w:shd w:val="clear" w:color="auto" w:fill="FFFFFF"/>
        </w:rPr>
        <w:t>Mahajan, A., Taliun, D., Thurner, M., Robertson, N.R., Torres, J.M., Rayner, N.W., Payne, A.J., Steinthorsdottir, V., Scott, R.A., Grarup, N., et al., 2018. Fine-mapping type 2 diabetes loci to single-variant resolution using high-density imputation and islet-specific epigenome maps. Nature Genetics </w:t>
      </w:r>
      <w:r w:rsidRPr="00344DFC">
        <w:rPr>
          <w:iCs/>
          <w:color w:val="000000" w:themeColor="text1"/>
          <w:shd w:val="clear" w:color="auto" w:fill="FFFFFF"/>
        </w:rPr>
        <w:t>50</w:t>
      </w:r>
      <w:r w:rsidRPr="00344DFC">
        <w:rPr>
          <w:color w:val="000000" w:themeColor="text1"/>
          <w:shd w:val="clear" w:color="auto" w:fill="FFFFFF"/>
        </w:rPr>
        <w:t>, 1505–1513.</w:t>
      </w:r>
    </w:p>
    <w:p w14:paraId="7A4EE809" w14:textId="6B3D8E75" w:rsidR="00FC3AC1" w:rsidRPr="0023752D" w:rsidRDefault="00FC3AC1" w:rsidP="00446F26">
      <w:pPr>
        <w:ind w:left="480"/>
        <w:rPr>
          <w:color w:val="000000" w:themeColor="text1"/>
        </w:rPr>
      </w:pPr>
    </w:p>
    <w:p w14:paraId="338EFF9D" w14:textId="5135D735" w:rsidR="00FC3AC1" w:rsidRPr="0023752D" w:rsidRDefault="00FC3AC1" w:rsidP="0023752D">
      <w:pPr>
        <w:ind w:left="566" w:hangingChars="236" w:hanging="566"/>
        <w:rPr>
          <w:color w:val="000000" w:themeColor="text1"/>
        </w:rPr>
      </w:pPr>
      <w:r w:rsidRPr="0023752D">
        <w:rPr>
          <w:color w:val="000000" w:themeColor="text1"/>
        </w:rPr>
        <w:t xml:space="preserve">Mattis, K.K., Gloyn, A.L., 2020. From </w:t>
      </w:r>
      <w:r w:rsidR="0021603E" w:rsidRPr="0023752D">
        <w:rPr>
          <w:color w:val="000000" w:themeColor="text1"/>
        </w:rPr>
        <w:t>genetic association to molecular mechanisms for islet-cell dysfunction in type 2 diabetes</w:t>
      </w:r>
      <w:r w:rsidRPr="0023752D">
        <w:rPr>
          <w:color w:val="000000" w:themeColor="text1"/>
        </w:rPr>
        <w:t>. Journal of Molecular Biology 432(5), 1551-1578.</w:t>
      </w:r>
    </w:p>
    <w:p w14:paraId="128ED439" w14:textId="77777777" w:rsidR="00446F26" w:rsidRPr="00344DFC" w:rsidRDefault="00446F26" w:rsidP="009E2A1E">
      <w:pPr>
        <w:widowControl w:val="0"/>
        <w:autoSpaceDE w:val="0"/>
        <w:autoSpaceDN w:val="0"/>
        <w:adjustRightInd w:val="0"/>
        <w:ind w:left="480" w:hanging="480"/>
        <w:rPr>
          <w:noProof/>
          <w:lang w:val="en-US"/>
        </w:rPr>
      </w:pPr>
    </w:p>
    <w:p w14:paraId="7826C7A8" w14:textId="10A6326E" w:rsidR="009E2A1E" w:rsidRPr="00344DFC" w:rsidRDefault="009E2A1E" w:rsidP="009E2A1E">
      <w:pPr>
        <w:widowControl w:val="0"/>
        <w:autoSpaceDE w:val="0"/>
        <w:autoSpaceDN w:val="0"/>
        <w:adjustRightInd w:val="0"/>
        <w:ind w:left="480" w:hanging="480"/>
        <w:rPr>
          <w:noProof/>
          <w:lang w:val="en-US"/>
        </w:rPr>
      </w:pPr>
      <w:r w:rsidRPr="00344DFC">
        <w:rPr>
          <w:noProof/>
          <w:lang w:val="en-US"/>
        </w:rPr>
        <w:t>McCarthy, M.I., Zeggini, E., 2009. Genome-wide association studies in type 2 diabetes. Curr</w:t>
      </w:r>
      <w:r w:rsidR="00E322C8" w:rsidRPr="00344DFC">
        <w:rPr>
          <w:noProof/>
          <w:lang w:val="en-US"/>
        </w:rPr>
        <w:t>ent</w:t>
      </w:r>
      <w:r w:rsidRPr="00344DFC">
        <w:rPr>
          <w:noProof/>
          <w:lang w:val="en-US"/>
        </w:rPr>
        <w:t xml:space="preserve"> Diab</w:t>
      </w:r>
      <w:r w:rsidR="00E322C8" w:rsidRPr="00344DFC">
        <w:rPr>
          <w:noProof/>
          <w:lang w:val="en-US"/>
        </w:rPr>
        <w:t>etes</w:t>
      </w:r>
      <w:r w:rsidRPr="00344DFC">
        <w:rPr>
          <w:noProof/>
          <w:lang w:val="en-US"/>
        </w:rPr>
        <w:t xml:space="preserve"> Rep</w:t>
      </w:r>
      <w:r w:rsidR="00E322C8" w:rsidRPr="00344DFC">
        <w:rPr>
          <w:noProof/>
          <w:lang w:val="en-US"/>
        </w:rPr>
        <w:t>orts</w:t>
      </w:r>
      <w:r w:rsidRPr="00344DFC">
        <w:rPr>
          <w:noProof/>
          <w:lang w:val="en-US"/>
        </w:rPr>
        <w:t xml:space="preserve"> 9, 164–71. </w:t>
      </w:r>
    </w:p>
    <w:p w14:paraId="52E95AEF" w14:textId="64CF8C88" w:rsidR="00C740EA" w:rsidRPr="00344DFC" w:rsidRDefault="00C740EA" w:rsidP="009E2A1E">
      <w:pPr>
        <w:widowControl w:val="0"/>
        <w:autoSpaceDE w:val="0"/>
        <w:autoSpaceDN w:val="0"/>
        <w:adjustRightInd w:val="0"/>
        <w:ind w:left="480" w:hanging="480"/>
        <w:rPr>
          <w:noProof/>
          <w:lang w:val="en-US"/>
        </w:rPr>
      </w:pPr>
    </w:p>
    <w:p w14:paraId="094F2E2D" w14:textId="711E03A9" w:rsidR="00C740EA" w:rsidRPr="0023752D" w:rsidRDefault="00C740EA" w:rsidP="001D3FAD">
      <w:pPr>
        <w:rPr>
          <w:color w:val="000000" w:themeColor="text1"/>
        </w:rPr>
      </w:pPr>
      <w:r w:rsidRPr="0023752D">
        <w:rPr>
          <w:color w:val="000000" w:themeColor="text1"/>
          <w:shd w:val="clear" w:color="auto" w:fill="FFFFFF"/>
        </w:rPr>
        <w:t>Mellersh C., 2008. Give a dog a genome. </w:t>
      </w:r>
      <w:r w:rsidR="00821820">
        <w:rPr>
          <w:color w:val="000000" w:themeColor="text1"/>
          <w:shd w:val="clear" w:color="auto" w:fill="FFFFFF"/>
        </w:rPr>
        <w:t xml:space="preserve">The </w:t>
      </w:r>
      <w:r w:rsidRPr="0023752D">
        <w:rPr>
          <w:iCs/>
          <w:color w:val="000000" w:themeColor="text1"/>
          <w:shd w:val="clear" w:color="auto" w:fill="FFFFFF"/>
        </w:rPr>
        <w:t>Veterinary Journal</w:t>
      </w:r>
      <w:r w:rsidRPr="0023752D">
        <w:rPr>
          <w:color w:val="000000" w:themeColor="text1"/>
          <w:shd w:val="clear" w:color="auto" w:fill="FFFFFF"/>
        </w:rPr>
        <w:t> </w:t>
      </w:r>
      <w:r w:rsidRPr="0023752D">
        <w:rPr>
          <w:iCs/>
          <w:color w:val="000000" w:themeColor="text1"/>
          <w:shd w:val="clear" w:color="auto" w:fill="FFFFFF"/>
        </w:rPr>
        <w:t>178</w:t>
      </w:r>
      <w:r w:rsidRPr="0023752D">
        <w:rPr>
          <w:color w:val="000000" w:themeColor="text1"/>
          <w:shd w:val="clear" w:color="auto" w:fill="FFFFFF"/>
        </w:rPr>
        <w:t>(1), 46–52.</w:t>
      </w:r>
    </w:p>
    <w:p w14:paraId="02C6601C" w14:textId="77777777" w:rsidR="00E322C8" w:rsidRPr="00344DFC" w:rsidRDefault="00E322C8" w:rsidP="009E2A1E">
      <w:pPr>
        <w:widowControl w:val="0"/>
        <w:autoSpaceDE w:val="0"/>
        <w:autoSpaceDN w:val="0"/>
        <w:adjustRightInd w:val="0"/>
        <w:ind w:left="480" w:hanging="480"/>
        <w:rPr>
          <w:noProof/>
          <w:lang w:val="en-US"/>
        </w:rPr>
      </w:pPr>
    </w:p>
    <w:p w14:paraId="0F61D131" w14:textId="6B60B3C3"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Misra, S., Owen, K.R., 2018. Genetics of </w:t>
      </w:r>
      <w:r w:rsidR="0021603E" w:rsidRPr="00344DFC">
        <w:rPr>
          <w:noProof/>
          <w:lang w:val="en-US"/>
        </w:rPr>
        <w:t>monogenic diabetes</w:t>
      </w:r>
      <w:r w:rsidRPr="00344DFC">
        <w:rPr>
          <w:noProof/>
          <w:lang w:val="en-US"/>
        </w:rPr>
        <w:t xml:space="preserve">: Present </w:t>
      </w:r>
      <w:r w:rsidR="0021603E" w:rsidRPr="00344DFC">
        <w:rPr>
          <w:noProof/>
          <w:lang w:val="en-US"/>
        </w:rPr>
        <w:t>clinical challenges</w:t>
      </w:r>
      <w:r w:rsidRPr="00344DFC">
        <w:rPr>
          <w:noProof/>
          <w:lang w:val="en-US"/>
        </w:rPr>
        <w:t>. Curr</w:t>
      </w:r>
      <w:r w:rsidR="00E322C8" w:rsidRPr="00344DFC">
        <w:rPr>
          <w:noProof/>
          <w:lang w:val="en-US"/>
        </w:rPr>
        <w:t>ent</w:t>
      </w:r>
      <w:r w:rsidRPr="00344DFC">
        <w:rPr>
          <w:noProof/>
          <w:lang w:val="en-US"/>
        </w:rPr>
        <w:t xml:space="preserve"> Diab</w:t>
      </w:r>
      <w:r w:rsidR="00E322C8" w:rsidRPr="00344DFC">
        <w:rPr>
          <w:noProof/>
          <w:lang w:val="en-US"/>
        </w:rPr>
        <w:t>etes</w:t>
      </w:r>
      <w:r w:rsidRPr="00344DFC">
        <w:rPr>
          <w:noProof/>
          <w:lang w:val="en-US"/>
        </w:rPr>
        <w:t xml:space="preserve"> Rep</w:t>
      </w:r>
      <w:r w:rsidR="00E322C8" w:rsidRPr="00344DFC">
        <w:rPr>
          <w:noProof/>
          <w:lang w:val="en-US"/>
        </w:rPr>
        <w:t>orts</w:t>
      </w:r>
      <w:r w:rsidRPr="00344DFC">
        <w:rPr>
          <w:noProof/>
          <w:lang w:val="en-US"/>
        </w:rPr>
        <w:t xml:space="preserve"> </w:t>
      </w:r>
      <w:r w:rsidR="00E322C8" w:rsidRPr="00344DFC">
        <w:rPr>
          <w:noProof/>
          <w:lang w:val="en-US"/>
        </w:rPr>
        <w:t>18, 141.</w:t>
      </w:r>
    </w:p>
    <w:p w14:paraId="36A2EF10" w14:textId="77777777" w:rsidR="00E322C8" w:rsidRPr="00344DFC" w:rsidRDefault="00E322C8" w:rsidP="009E2A1E">
      <w:pPr>
        <w:widowControl w:val="0"/>
        <w:autoSpaceDE w:val="0"/>
        <w:autoSpaceDN w:val="0"/>
        <w:adjustRightInd w:val="0"/>
        <w:ind w:left="480" w:hanging="480"/>
        <w:rPr>
          <w:noProof/>
          <w:lang w:val="en-US"/>
        </w:rPr>
      </w:pPr>
    </w:p>
    <w:p w14:paraId="23BA1460"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Nejentsev, S., Walker, N., Riches, D., Egholm, M., Todd, J.A., 2009. Rare variants of IFIH1, a gene implicated in antiviral responses, protect against type 1 diabetes. Science 324, 387–389. </w:t>
      </w:r>
    </w:p>
    <w:p w14:paraId="34AC7F5E" w14:textId="77777777" w:rsidR="00E322C8" w:rsidRPr="00344DFC" w:rsidRDefault="00E322C8" w:rsidP="009E2A1E">
      <w:pPr>
        <w:widowControl w:val="0"/>
        <w:autoSpaceDE w:val="0"/>
        <w:autoSpaceDN w:val="0"/>
        <w:adjustRightInd w:val="0"/>
        <w:ind w:left="480" w:hanging="480"/>
        <w:rPr>
          <w:noProof/>
          <w:lang w:val="en-US"/>
        </w:rPr>
      </w:pPr>
    </w:p>
    <w:p w14:paraId="589F007B"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Noble, J.A., Valdes, A.M., Cook, M., Klitz, W., Thomson, G., Erlich, H.A., 1996. The role of HLA class II genes in insulin-dependent diabetes mellitus: Molecular analysis of 180 Caucasian, multiplex families. Am</w:t>
      </w:r>
      <w:r w:rsidR="00E322C8" w:rsidRPr="00344DFC">
        <w:rPr>
          <w:noProof/>
          <w:lang w:val="en-US"/>
        </w:rPr>
        <w:t>erican</w:t>
      </w:r>
      <w:r w:rsidRPr="00344DFC">
        <w:rPr>
          <w:noProof/>
          <w:lang w:val="en-US"/>
        </w:rPr>
        <w:t xml:space="preserve"> J</w:t>
      </w:r>
      <w:r w:rsidR="00E322C8" w:rsidRPr="00344DFC">
        <w:rPr>
          <w:noProof/>
          <w:lang w:val="en-US"/>
        </w:rPr>
        <w:t>ournal of</w:t>
      </w:r>
      <w:r w:rsidRPr="00344DFC">
        <w:rPr>
          <w:noProof/>
          <w:lang w:val="en-US"/>
        </w:rPr>
        <w:t xml:space="preserve"> Hum</w:t>
      </w:r>
      <w:r w:rsidR="00E322C8" w:rsidRPr="00344DFC">
        <w:rPr>
          <w:noProof/>
          <w:lang w:val="en-US"/>
        </w:rPr>
        <w:t>an</w:t>
      </w:r>
      <w:r w:rsidRPr="00344DFC">
        <w:rPr>
          <w:noProof/>
          <w:lang w:val="en-US"/>
        </w:rPr>
        <w:t xml:space="preserve"> Genet</w:t>
      </w:r>
      <w:r w:rsidR="00E322C8" w:rsidRPr="00344DFC">
        <w:rPr>
          <w:noProof/>
          <w:lang w:val="en-US"/>
        </w:rPr>
        <w:t>ics</w:t>
      </w:r>
      <w:r w:rsidRPr="00344DFC">
        <w:rPr>
          <w:noProof/>
          <w:lang w:val="en-US"/>
        </w:rPr>
        <w:t xml:space="preserve"> 59, 1134–1148.</w:t>
      </w:r>
    </w:p>
    <w:p w14:paraId="66E24586" w14:textId="77777777" w:rsidR="00E322C8" w:rsidRPr="00344DFC" w:rsidRDefault="00E322C8" w:rsidP="009E2A1E">
      <w:pPr>
        <w:widowControl w:val="0"/>
        <w:autoSpaceDE w:val="0"/>
        <w:autoSpaceDN w:val="0"/>
        <w:adjustRightInd w:val="0"/>
        <w:ind w:left="480" w:hanging="480"/>
        <w:rPr>
          <w:noProof/>
          <w:lang w:val="en-US"/>
        </w:rPr>
      </w:pPr>
    </w:p>
    <w:p w14:paraId="11921387"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Nyaga, D.M., Vickers, M.H., Jefferies, C., Perry, J.K., O’Sullivan, J.M., 2018. The genetic architecture of type 1 diabetes mellitus. Mol</w:t>
      </w:r>
      <w:r w:rsidR="00E322C8" w:rsidRPr="00344DFC">
        <w:rPr>
          <w:noProof/>
          <w:lang w:val="en-US"/>
        </w:rPr>
        <w:t>ecular and</w:t>
      </w:r>
      <w:r w:rsidRPr="00344DFC">
        <w:rPr>
          <w:noProof/>
          <w:lang w:val="en-US"/>
        </w:rPr>
        <w:t xml:space="preserve"> Cell</w:t>
      </w:r>
      <w:r w:rsidR="00E322C8" w:rsidRPr="00344DFC">
        <w:rPr>
          <w:noProof/>
          <w:lang w:val="en-US"/>
        </w:rPr>
        <w:t xml:space="preserve">ular </w:t>
      </w:r>
      <w:r w:rsidRPr="00344DFC">
        <w:rPr>
          <w:noProof/>
          <w:lang w:val="en-US"/>
        </w:rPr>
        <w:t>Endocrinol</w:t>
      </w:r>
      <w:r w:rsidR="00E322C8" w:rsidRPr="00344DFC">
        <w:rPr>
          <w:noProof/>
          <w:lang w:val="en-US"/>
        </w:rPr>
        <w:t>ogy</w:t>
      </w:r>
      <w:r w:rsidRPr="00344DFC">
        <w:rPr>
          <w:noProof/>
          <w:lang w:val="en-US"/>
        </w:rPr>
        <w:t xml:space="preserve"> 477, 70–80. </w:t>
      </w:r>
    </w:p>
    <w:p w14:paraId="2C03E076" w14:textId="77777777" w:rsidR="00E322C8" w:rsidRPr="00344DFC" w:rsidRDefault="00E322C8" w:rsidP="009E2A1E">
      <w:pPr>
        <w:widowControl w:val="0"/>
        <w:autoSpaceDE w:val="0"/>
        <w:autoSpaceDN w:val="0"/>
        <w:adjustRightInd w:val="0"/>
        <w:ind w:left="480" w:hanging="480"/>
        <w:rPr>
          <w:noProof/>
          <w:lang w:val="en-US"/>
        </w:rPr>
      </w:pPr>
    </w:p>
    <w:p w14:paraId="2BC6CE1C"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O’Kell, A.L., Wasserfall, C., Catchpole, B., Davison, L.J., Hess, R.S., Kushner, J.A., Atkinson, M.A., 2017. Comparative pathogenesis of autoimmune diabetes in humans, NOD mice, and canines: Has a valuable animal model of type 1 diabetes been overlooked? Diabetes 66, 1443–1452. </w:t>
      </w:r>
    </w:p>
    <w:p w14:paraId="04DDC757" w14:textId="77777777" w:rsidR="00E322C8" w:rsidRPr="00344DFC" w:rsidRDefault="00E322C8" w:rsidP="009E2A1E">
      <w:pPr>
        <w:widowControl w:val="0"/>
        <w:autoSpaceDE w:val="0"/>
        <w:autoSpaceDN w:val="0"/>
        <w:adjustRightInd w:val="0"/>
        <w:ind w:left="480" w:hanging="480"/>
        <w:rPr>
          <w:noProof/>
          <w:lang w:val="en-US"/>
        </w:rPr>
      </w:pPr>
    </w:p>
    <w:p w14:paraId="4B350CCD"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O’Neal, K.S., Johnson, J.L., Panak, R.L., 2016. Recognizing and appropriately treating latent autoimmune diabetes in adults. Diabetes Spectr</w:t>
      </w:r>
      <w:r w:rsidR="00E322C8" w:rsidRPr="00344DFC">
        <w:rPr>
          <w:noProof/>
          <w:lang w:val="en-US"/>
        </w:rPr>
        <w:t>um</w:t>
      </w:r>
      <w:r w:rsidRPr="00344DFC">
        <w:rPr>
          <w:noProof/>
          <w:lang w:val="en-US"/>
        </w:rPr>
        <w:t xml:space="preserve"> 29, 249–252. </w:t>
      </w:r>
    </w:p>
    <w:p w14:paraId="4D38F727" w14:textId="77777777" w:rsidR="00E322C8" w:rsidRPr="00344DFC" w:rsidRDefault="00E322C8" w:rsidP="009E2A1E">
      <w:pPr>
        <w:widowControl w:val="0"/>
        <w:autoSpaceDE w:val="0"/>
        <w:autoSpaceDN w:val="0"/>
        <w:adjustRightInd w:val="0"/>
        <w:ind w:left="480" w:hanging="480"/>
        <w:rPr>
          <w:noProof/>
          <w:lang w:val="en-US"/>
        </w:rPr>
      </w:pPr>
    </w:p>
    <w:p w14:paraId="319D88C9" w14:textId="1D65334B" w:rsidR="00E322C8" w:rsidRPr="0023752D" w:rsidRDefault="009E2A1E" w:rsidP="0023752D">
      <w:pPr>
        <w:ind w:left="566" w:hangingChars="236" w:hanging="566"/>
        <w:rPr>
          <w:noProof/>
          <w:lang w:val="en-US"/>
        </w:rPr>
      </w:pPr>
      <w:r w:rsidRPr="00344DFC">
        <w:rPr>
          <w:noProof/>
          <w:lang w:val="en-US"/>
        </w:rPr>
        <w:t xml:space="preserve">Palmer, J.P., Hampe, C.S., Chiu, H., Goel, A., Brooks-Worrell, B.M., 2005. Is </w:t>
      </w:r>
      <w:r w:rsidR="0021603E" w:rsidRPr="00344DFC">
        <w:rPr>
          <w:noProof/>
          <w:lang w:val="en-US"/>
        </w:rPr>
        <w:t>latent autoimmune diabetes in adults distinct from type 1 diabetes or just type 1 diabetes at an older ag</w:t>
      </w:r>
      <w:r w:rsidRPr="00344DFC">
        <w:rPr>
          <w:noProof/>
          <w:lang w:val="en-US"/>
        </w:rPr>
        <w:t>e?</w:t>
      </w:r>
      <w:r w:rsidR="00E322C8" w:rsidRPr="00344DFC">
        <w:rPr>
          <w:noProof/>
          <w:lang w:val="en-US"/>
        </w:rPr>
        <w:t xml:space="preserve"> Diabetes </w:t>
      </w:r>
      <w:r w:rsidR="00E322C8" w:rsidRPr="00344DFC">
        <w:rPr>
          <w:color w:val="000000"/>
          <w:shd w:val="clear" w:color="auto" w:fill="FFFFFF"/>
        </w:rPr>
        <w:t>54 Suppl 2:S62-7.</w:t>
      </w:r>
    </w:p>
    <w:p w14:paraId="13D4538E" w14:textId="77777777" w:rsidR="00E322C8" w:rsidRPr="00344DFC" w:rsidRDefault="00E322C8" w:rsidP="00446F26">
      <w:pPr>
        <w:widowControl w:val="0"/>
        <w:autoSpaceDE w:val="0"/>
        <w:autoSpaceDN w:val="0"/>
        <w:adjustRightInd w:val="0"/>
        <w:rPr>
          <w:noProof/>
          <w:lang w:val="en-US"/>
        </w:rPr>
      </w:pPr>
    </w:p>
    <w:p w14:paraId="53962C07" w14:textId="1148787F"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Pang, H., Luo, S., Huang, G., Xia, Y., Xie, Z., Zhou, Z., 2020. Advances in </w:t>
      </w:r>
      <w:r w:rsidR="0021603E" w:rsidRPr="00344DFC">
        <w:rPr>
          <w:noProof/>
          <w:lang w:val="en-US"/>
        </w:rPr>
        <w:t xml:space="preserve">knowledge of candidate genes acting at the beta-cell level in the pathogenesis of </w:t>
      </w:r>
      <w:r w:rsidRPr="00344DFC">
        <w:rPr>
          <w:noProof/>
          <w:lang w:val="en-US"/>
        </w:rPr>
        <w:t>T1DM. Front</w:t>
      </w:r>
      <w:r w:rsidR="00E322C8" w:rsidRPr="00344DFC">
        <w:rPr>
          <w:noProof/>
          <w:lang w:val="en-US"/>
        </w:rPr>
        <w:t>iers in</w:t>
      </w:r>
      <w:r w:rsidRPr="00344DFC">
        <w:rPr>
          <w:noProof/>
          <w:lang w:val="en-US"/>
        </w:rPr>
        <w:t xml:space="preserve"> Endocrinol</w:t>
      </w:r>
      <w:r w:rsidR="00E322C8" w:rsidRPr="00344DFC">
        <w:rPr>
          <w:noProof/>
          <w:lang w:val="en-US"/>
        </w:rPr>
        <w:t>ogy</w:t>
      </w:r>
      <w:r w:rsidRPr="00344DFC">
        <w:rPr>
          <w:noProof/>
          <w:lang w:val="en-US"/>
        </w:rPr>
        <w:t xml:space="preserve"> (Lausanne) 11, 119. </w:t>
      </w:r>
    </w:p>
    <w:p w14:paraId="4323E049" w14:textId="77777777" w:rsidR="00E322C8" w:rsidRPr="00344DFC" w:rsidRDefault="00E322C8" w:rsidP="009E2A1E">
      <w:pPr>
        <w:widowControl w:val="0"/>
        <w:autoSpaceDE w:val="0"/>
        <w:autoSpaceDN w:val="0"/>
        <w:adjustRightInd w:val="0"/>
        <w:ind w:left="480" w:hanging="480"/>
        <w:rPr>
          <w:noProof/>
          <w:lang w:val="en-US"/>
        </w:rPr>
      </w:pPr>
    </w:p>
    <w:p w14:paraId="52601EE5" w14:textId="7D870A22" w:rsidR="009E2A1E" w:rsidRPr="00344DFC" w:rsidRDefault="009E2A1E" w:rsidP="009E2A1E">
      <w:pPr>
        <w:widowControl w:val="0"/>
        <w:autoSpaceDE w:val="0"/>
        <w:autoSpaceDN w:val="0"/>
        <w:adjustRightInd w:val="0"/>
        <w:ind w:left="480" w:hanging="480"/>
        <w:rPr>
          <w:noProof/>
          <w:lang w:val="en-US"/>
        </w:rPr>
      </w:pPr>
      <w:r w:rsidRPr="00344DFC">
        <w:rPr>
          <w:noProof/>
          <w:lang w:val="en-US"/>
        </w:rPr>
        <w:t>Pearson, E.R., Flechtner, I., Njølstad, P.R., Malecki, M.T., Flanagan, S.E., Larkin, B., Ashcroft, F.M., Klimes, I., Codner, E., Iotova, V.</w:t>
      </w:r>
      <w:r w:rsidR="002103BE" w:rsidRPr="00344DFC">
        <w:rPr>
          <w:noProof/>
          <w:lang w:val="en-US"/>
        </w:rPr>
        <w:t xml:space="preserve"> et al.</w:t>
      </w:r>
      <w:r w:rsidRPr="00344DFC">
        <w:rPr>
          <w:noProof/>
          <w:lang w:val="en-US"/>
        </w:rPr>
        <w:t xml:space="preserve">, 2006. Switching from </w:t>
      </w:r>
      <w:r w:rsidR="0021603E" w:rsidRPr="00344DFC">
        <w:rPr>
          <w:noProof/>
          <w:lang w:val="en-US"/>
        </w:rPr>
        <w:t xml:space="preserve">insulin to oral sulfonylureas in patients with diabetes due to </w:t>
      </w:r>
      <w:r w:rsidRPr="00344DFC">
        <w:rPr>
          <w:noProof/>
          <w:lang w:val="en-US"/>
        </w:rPr>
        <w:t xml:space="preserve">Kir6.2 </w:t>
      </w:r>
      <w:r w:rsidR="0021603E">
        <w:rPr>
          <w:noProof/>
          <w:lang w:val="en-US"/>
        </w:rPr>
        <w:t>m</w:t>
      </w:r>
      <w:r w:rsidRPr="00344DFC">
        <w:rPr>
          <w:noProof/>
          <w:lang w:val="en-US"/>
        </w:rPr>
        <w:t>utations. N</w:t>
      </w:r>
      <w:r w:rsidR="002103BE" w:rsidRPr="00344DFC">
        <w:rPr>
          <w:noProof/>
          <w:lang w:val="en-US"/>
        </w:rPr>
        <w:t>ew</w:t>
      </w:r>
      <w:r w:rsidRPr="00344DFC">
        <w:rPr>
          <w:noProof/>
          <w:lang w:val="en-US"/>
        </w:rPr>
        <w:t xml:space="preserve"> Engl</w:t>
      </w:r>
      <w:r w:rsidR="002103BE" w:rsidRPr="00344DFC">
        <w:rPr>
          <w:noProof/>
          <w:lang w:val="en-US"/>
        </w:rPr>
        <w:t>and</w:t>
      </w:r>
      <w:r w:rsidRPr="00344DFC">
        <w:rPr>
          <w:noProof/>
          <w:lang w:val="en-US"/>
        </w:rPr>
        <w:t xml:space="preserve"> J</w:t>
      </w:r>
      <w:r w:rsidR="002103BE" w:rsidRPr="00344DFC">
        <w:rPr>
          <w:noProof/>
          <w:lang w:val="en-US"/>
        </w:rPr>
        <w:t>ournal of</w:t>
      </w:r>
      <w:r w:rsidRPr="00344DFC">
        <w:rPr>
          <w:noProof/>
          <w:lang w:val="en-US"/>
        </w:rPr>
        <w:t xml:space="preserve"> Med</w:t>
      </w:r>
      <w:r w:rsidR="002103BE" w:rsidRPr="00344DFC">
        <w:rPr>
          <w:noProof/>
          <w:lang w:val="en-US"/>
        </w:rPr>
        <w:t>icine</w:t>
      </w:r>
      <w:r w:rsidRPr="00344DFC">
        <w:rPr>
          <w:noProof/>
          <w:lang w:val="en-US"/>
        </w:rPr>
        <w:t xml:space="preserve"> 355, 467–477. </w:t>
      </w:r>
    </w:p>
    <w:p w14:paraId="4C8E10E1" w14:textId="77777777" w:rsidR="00E322C8" w:rsidRPr="00344DFC" w:rsidRDefault="00E322C8" w:rsidP="009E2A1E">
      <w:pPr>
        <w:widowControl w:val="0"/>
        <w:autoSpaceDE w:val="0"/>
        <w:autoSpaceDN w:val="0"/>
        <w:adjustRightInd w:val="0"/>
        <w:ind w:left="480" w:hanging="480"/>
        <w:rPr>
          <w:noProof/>
          <w:lang w:val="en-US"/>
        </w:rPr>
      </w:pPr>
    </w:p>
    <w:p w14:paraId="012A71D7" w14:textId="44769BA1" w:rsidR="009E2A1E" w:rsidRPr="00344DFC" w:rsidRDefault="009E2A1E" w:rsidP="009E2A1E">
      <w:pPr>
        <w:widowControl w:val="0"/>
        <w:autoSpaceDE w:val="0"/>
        <w:autoSpaceDN w:val="0"/>
        <w:adjustRightInd w:val="0"/>
        <w:ind w:left="480" w:hanging="480"/>
        <w:rPr>
          <w:noProof/>
          <w:lang w:val="en-US"/>
        </w:rPr>
      </w:pPr>
      <w:r w:rsidRPr="00344DFC">
        <w:rPr>
          <w:noProof/>
          <w:lang w:val="en-US"/>
        </w:rPr>
        <w:t>Polak, M., Dechaume, A., Cavé, H., Nimri, R., Crosnier, H., Sulmont, V., de Kerdanet, M., Scharfmann, R., Lebenthal, Y., Froguel, P.</w:t>
      </w:r>
      <w:r w:rsidR="002103BE" w:rsidRPr="00344DFC">
        <w:rPr>
          <w:noProof/>
          <w:lang w:val="en-US"/>
        </w:rPr>
        <w:t xml:space="preserve"> et al.</w:t>
      </w:r>
      <w:r w:rsidRPr="00344DFC">
        <w:rPr>
          <w:noProof/>
          <w:lang w:val="en-US"/>
        </w:rPr>
        <w:t xml:space="preserve">, 2008. Heterozygous missense mutations in the insulin gene are linked to permanent diabetes appearing in the neonatal period or in early infancy: </w:t>
      </w:r>
      <w:r w:rsidR="0021603E">
        <w:rPr>
          <w:noProof/>
          <w:lang w:val="en-US"/>
        </w:rPr>
        <w:t>A</w:t>
      </w:r>
      <w:r w:rsidRPr="00344DFC">
        <w:rPr>
          <w:noProof/>
          <w:lang w:val="en-US"/>
        </w:rPr>
        <w:t xml:space="preserve"> report from the French ND (Neonatal Diabetes) Study Group. Diabetes 57, 1115–9. </w:t>
      </w:r>
    </w:p>
    <w:p w14:paraId="545E005F" w14:textId="77777777" w:rsidR="002103BE" w:rsidRPr="00344DFC" w:rsidRDefault="002103BE" w:rsidP="009E2A1E">
      <w:pPr>
        <w:widowControl w:val="0"/>
        <w:autoSpaceDE w:val="0"/>
        <w:autoSpaceDN w:val="0"/>
        <w:adjustRightInd w:val="0"/>
        <w:ind w:left="480" w:hanging="480"/>
        <w:rPr>
          <w:noProof/>
          <w:lang w:val="en-US"/>
        </w:rPr>
      </w:pPr>
    </w:p>
    <w:p w14:paraId="3541305A" w14:textId="2C907E9A"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Polychronakos, C., Li, Q., 2011. Sibling relative risk </w:t>
      </w:r>
      <w:r w:rsidR="0021603E">
        <w:rPr>
          <w:noProof/>
          <w:lang w:val="en-US"/>
        </w:rPr>
        <w:t>u</w:t>
      </w:r>
      <w:r w:rsidRPr="00344DFC">
        <w:rPr>
          <w:noProof/>
          <w:lang w:val="en-US"/>
        </w:rPr>
        <w:t xml:space="preserve">nderstanding type 1 diabetes through genetics: </w:t>
      </w:r>
      <w:r w:rsidR="0021603E">
        <w:rPr>
          <w:noProof/>
          <w:lang w:val="en-US"/>
        </w:rPr>
        <w:t>A</w:t>
      </w:r>
      <w:r w:rsidRPr="00344DFC">
        <w:rPr>
          <w:noProof/>
          <w:lang w:val="en-US"/>
        </w:rPr>
        <w:t>dvances and prospects. Nat</w:t>
      </w:r>
      <w:r w:rsidR="002103BE" w:rsidRPr="00344DFC">
        <w:rPr>
          <w:noProof/>
          <w:lang w:val="en-US"/>
        </w:rPr>
        <w:t>ure Reviews Genetics</w:t>
      </w:r>
      <w:r w:rsidRPr="00344DFC">
        <w:rPr>
          <w:noProof/>
          <w:lang w:val="en-US"/>
        </w:rPr>
        <w:t xml:space="preserve"> 12</w:t>
      </w:r>
      <w:r w:rsidR="002103BE" w:rsidRPr="00344DFC">
        <w:rPr>
          <w:noProof/>
          <w:lang w:val="en-US"/>
        </w:rPr>
        <w:t>, 781-92.</w:t>
      </w:r>
    </w:p>
    <w:p w14:paraId="4BBCB57C" w14:textId="4E5D49B0" w:rsidR="00C17F09" w:rsidRPr="00344DFC" w:rsidRDefault="00C17F09" w:rsidP="009E2A1E">
      <w:pPr>
        <w:widowControl w:val="0"/>
        <w:autoSpaceDE w:val="0"/>
        <w:autoSpaceDN w:val="0"/>
        <w:adjustRightInd w:val="0"/>
        <w:ind w:left="480" w:hanging="480"/>
        <w:rPr>
          <w:noProof/>
          <w:lang w:val="en-US"/>
        </w:rPr>
      </w:pPr>
    </w:p>
    <w:p w14:paraId="6BE0B269" w14:textId="54435517" w:rsidR="00C17F09" w:rsidRPr="0023752D" w:rsidRDefault="00C17F09" w:rsidP="0023752D">
      <w:pPr>
        <w:ind w:left="566" w:hangingChars="236" w:hanging="566"/>
        <w:rPr>
          <w:iCs/>
          <w:color w:val="212121"/>
          <w:shd w:val="clear" w:color="auto" w:fill="FFFFFF"/>
        </w:rPr>
      </w:pPr>
      <w:r w:rsidRPr="00344DFC">
        <w:rPr>
          <w:color w:val="212121"/>
          <w:shd w:val="clear" w:color="auto" w:fill="FFFFFF"/>
        </w:rPr>
        <w:t>Reuter, J.A., Spacek, D.V., Snyder, M.P., 2015. High-throughput sequencing technologies. </w:t>
      </w:r>
      <w:r w:rsidRPr="00344DFC">
        <w:rPr>
          <w:iCs/>
          <w:color w:val="212121"/>
          <w:shd w:val="clear" w:color="auto" w:fill="FFFFFF"/>
        </w:rPr>
        <w:t xml:space="preserve">Molecular </w:t>
      </w:r>
      <w:r w:rsidR="00821820">
        <w:rPr>
          <w:iCs/>
          <w:color w:val="212121"/>
          <w:shd w:val="clear" w:color="auto" w:fill="FFFFFF"/>
        </w:rPr>
        <w:t>C</w:t>
      </w:r>
      <w:r w:rsidRPr="00344DFC">
        <w:rPr>
          <w:iCs/>
          <w:color w:val="212121"/>
          <w:shd w:val="clear" w:color="auto" w:fill="FFFFFF"/>
        </w:rPr>
        <w:t>ell</w:t>
      </w:r>
      <w:r w:rsidRPr="00344DFC">
        <w:rPr>
          <w:color w:val="212121"/>
          <w:shd w:val="clear" w:color="auto" w:fill="FFFFFF"/>
        </w:rPr>
        <w:t xml:space="preserve"> </w:t>
      </w:r>
      <w:r w:rsidRPr="00344DFC">
        <w:rPr>
          <w:iCs/>
          <w:color w:val="212121"/>
          <w:shd w:val="clear" w:color="auto" w:fill="FFFFFF"/>
        </w:rPr>
        <w:t>58</w:t>
      </w:r>
      <w:r w:rsidRPr="00344DFC">
        <w:rPr>
          <w:color w:val="212121"/>
          <w:shd w:val="clear" w:color="auto" w:fill="FFFFFF"/>
        </w:rPr>
        <w:t>, 586–597.</w:t>
      </w:r>
    </w:p>
    <w:p w14:paraId="20E8CAF5" w14:textId="77777777" w:rsidR="002103BE" w:rsidRPr="00344DFC" w:rsidRDefault="002103BE" w:rsidP="009E2A1E">
      <w:pPr>
        <w:widowControl w:val="0"/>
        <w:autoSpaceDE w:val="0"/>
        <w:autoSpaceDN w:val="0"/>
        <w:adjustRightInd w:val="0"/>
        <w:ind w:left="480" w:hanging="480"/>
        <w:rPr>
          <w:noProof/>
          <w:lang w:val="en-US"/>
        </w:rPr>
      </w:pPr>
    </w:p>
    <w:p w14:paraId="1DBEDFD0"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Rotter, J.I., Landaw, E.M., 1984. Measuring the genetic contribution of a single locus to a multilocus disease. Clin</w:t>
      </w:r>
      <w:r w:rsidR="002103BE" w:rsidRPr="00344DFC">
        <w:rPr>
          <w:noProof/>
          <w:lang w:val="en-US"/>
        </w:rPr>
        <w:t>ical</w:t>
      </w:r>
      <w:r w:rsidRPr="00344DFC">
        <w:rPr>
          <w:noProof/>
          <w:lang w:val="en-US"/>
        </w:rPr>
        <w:t xml:space="preserve"> Genet</w:t>
      </w:r>
      <w:r w:rsidR="002103BE" w:rsidRPr="00344DFC">
        <w:rPr>
          <w:noProof/>
          <w:lang w:val="en-US"/>
        </w:rPr>
        <w:t>ics</w:t>
      </w:r>
      <w:r w:rsidRPr="00344DFC">
        <w:rPr>
          <w:noProof/>
          <w:lang w:val="en-US"/>
        </w:rPr>
        <w:t xml:space="preserve"> 26, 529–42.</w:t>
      </w:r>
    </w:p>
    <w:p w14:paraId="3E9CFAFD" w14:textId="77777777" w:rsidR="002103BE" w:rsidRPr="00344DFC" w:rsidRDefault="002103BE" w:rsidP="009E2A1E">
      <w:pPr>
        <w:widowControl w:val="0"/>
        <w:autoSpaceDE w:val="0"/>
        <w:autoSpaceDN w:val="0"/>
        <w:adjustRightInd w:val="0"/>
        <w:ind w:left="480" w:hanging="480"/>
        <w:rPr>
          <w:noProof/>
          <w:lang w:val="en-US"/>
        </w:rPr>
      </w:pPr>
    </w:p>
    <w:p w14:paraId="2755A03E"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Safra, N., Pedersen, N.C., Wolf, Z., Johnson, E.G., Liu, H.W., Hughes, A.M., Young, A., Bannasch, D.L., 2011. Expanded dog leukocyte antigen (DLA) single nucleotide polymorphism (SNP) genotyping reveals spurious class II associations. </w:t>
      </w:r>
      <w:r w:rsidR="002103BE" w:rsidRPr="00344DFC">
        <w:rPr>
          <w:noProof/>
          <w:lang w:val="en-US"/>
        </w:rPr>
        <w:t>The Veterinary Journal</w:t>
      </w:r>
      <w:r w:rsidRPr="00344DFC">
        <w:rPr>
          <w:noProof/>
          <w:lang w:val="en-US"/>
        </w:rPr>
        <w:t xml:space="preserve"> 189, 220–226. </w:t>
      </w:r>
    </w:p>
    <w:p w14:paraId="1AF12652" w14:textId="77777777" w:rsidR="002103BE" w:rsidRPr="00344DFC" w:rsidRDefault="002103BE" w:rsidP="009E2A1E">
      <w:pPr>
        <w:widowControl w:val="0"/>
        <w:autoSpaceDE w:val="0"/>
        <w:autoSpaceDN w:val="0"/>
        <w:adjustRightInd w:val="0"/>
        <w:ind w:left="480" w:hanging="480"/>
        <w:rPr>
          <w:noProof/>
          <w:lang w:val="en-US"/>
        </w:rPr>
      </w:pPr>
    </w:p>
    <w:p w14:paraId="3057C951" w14:textId="7D57EDC3" w:rsidR="009E2A1E" w:rsidRPr="00344DFC" w:rsidRDefault="009E2A1E" w:rsidP="009E2A1E">
      <w:pPr>
        <w:widowControl w:val="0"/>
        <w:autoSpaceDE w:val="0"/>
        <w:autoSpaceDN w:val="0"/>
        <w:adjustRightInd w:val="0"/>
        <w:ind w:left="480" w:hanging="480"/>
        <w:rPr>
          <w:noProof/>
          <w:lang w:val="en-US"/>
        </w:rPr>
      </w:pPr>
      <w:r w:rsidRPr="00344DFC">
        <w:rPr>
          <w:noProof/>
          <w:lang w:val="en-US"/>
        </w:rPr>
        <w:t>Scott, R.A., Scott, L.J., Mägi, R., Marullo, L., Gaulton, K.J., Kaakinen, M., Pervjakova, N., Pers, T.H., Johnson, A.D., Eicher, J.D.</w:t>
      </w:r>
      <w:r w:rsidR="002103BE" w:rsidRPr="00344DFC">
        <w:rPr>
          <w:noProof/>
          <w:lang w:val="en-US"/>
        </w:rPr>
        <w:t xml:space="preserve"> et al.</w:t>
      </w:r>
      <w:r w:rsidRPr="00344DFC">
        <w:rPr>
          <w:noProof/>
          <w:lang w:val="en-US"/>
        </w:rPr>
        <w:t xml:space="preserve">, DIAbetes Genetics Replication And Meta-analysis (DIAGRAM) Consortium, 2017. An </w:t>
      </w:r>
      <w:r w:rsidR="0021603E" w:rsidRPr="00344DFC">
        <w:rPr>
          <w:noProof/>
          <w:lang w:val="en-US"/>
        </w:rPr>
        <w:t>expanded genome-wide association study of type 2 diabetes</w:t>
      </w:r>
      <w:r w:rsidRPr="00344DFC">
        <w:rPr>
          <w:noProof/>
          <w:lang w:val="en-US"/>
        </w:rPr>
        <w:t xml:space="preserve"> in Europeans. Diabetes 66, 2888–2902. </w:t>
      </w:r>
    </w:p>
    <w:p w14:paraId="32D304BD" w14:textId="77777777" w:rsidR="002103BE" w:rsidRPr="00344DFC" w:rsidRDefault="002103BE" w:rsidP="009E2A1E">
      <w:pPr>
        <w:widowControl w:val="0"/>
        <w:autoSpaceDE w:val="0"/>
        <w:autoSpaceDN w:val="0"/>
        <w:adjustRightInd w:val="0"/>
        <w:ind w:left="480" w:hanging="480"/>
        <w:rPr>
          <w:noProof/>
          <w:lang w:val="en-US"/>
        </w:rPr>
      </w:pPr>
    </w:p>
    <w:p w14:paraId="6469981B" w14:textId="4827BF36"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Seddon, J.M., Berggren, K.T., Fleeman, L.M., 2010. Evolutionary history of DLA class II haplotypes in canine diabetes mellitus through single nucleotide polymorphism genotyping. Tissue Antigens 75, 218–226. </w:t>
      </w:r>
    </w:p>
    <w:p w14:paraId="37DF4519" w14:textId="01C6A76E" w:rsidR="00E41D05" w:rsidRPr="00344DFC" w:rsidRDefault="00E41D05" w:rsidP="009E2A1E">
      <w:pPr>
        <w:widowControl w:val="0"/>
        <w:autoSpaceDE w:val="0"/>
        <w:autoSpaceDN w:val="0"/>
        <w:adjustRightInd w:val="0"/>
        <w:ind w:left="480" w:hanging="480"/>
        <w:rPr>
          <w:noProof/>
          <w:lang w:val="en-US"/>
        </w:rPr>
      </w:pPr>
    </w:p>
    <w:p w14:paraId="24129F78" w14:textId="0B9BE6C8" w:rsidR="00E41D05" w:rsidRPr="0023752D" w:rsidRDefault="00E41D05" w:rsidP="0023752D">
      <w:pPr>
        <w:ind w:left="566" w:hangingChars="236" w:hanging="566"/>
        <w:rPr>
          <w:color w:val="000000" w:themeColor="text1"/>
          <w:shd w:val="clear" w:color="auto" w:fill="FFFFFF"/>
        </w:rPr>
      </w:pPr>
      <w:r w:rsidRPr="00344DFC">
        <w:rPr>
          <w:color w:val="000000" w:themeColor="text1"/>
          <w:shd w:val="clear" w:color="auto" w:fill="FFFFFF"/>
        </w:rPr>
        <w:t>Shepherd, M., Shields, B., Hammersley, S., Hudson, M., McDonald, T. J., Colclough, K., Oram, R. A., Knight, B., Hyde, C., Cox, J.</w:t>
      </w:r>
      <w:r w:rsidR="00CC16E1" w:rsidRPr="00344DFC">
        <w:rPr>
          <w:color w:val="000000" w:themeColor="text1"/>
          <w:shd w:val="clear" w:color="auto" w:fill="FFFFFF"/>
        </w:rPr>
        <w:t xml:space="preserve"> et al., </w:t>
      </w:r>
      <w:r w:rsidRPr="00344DFC">
        <w:rPr>
          <w:color w:val="000000" w:themeColor="text1"/>
          <w:shd w:val="clear" w:color="auto" w:fill="FFFFFF"/>
        </w:rPr>
        <w:t xml:space="preserve">2016. </w:t>
      </w:r>
      <w:r w:rsidR="0021603E" w:rsidRPr="00344DFC">
        <w:rPr>
          <w:color w:val="000000" w:themeColor="text1"/>
          <w:shd w:val="clear" w:color="auto" w:fill="FFFFFF"/>
        </w:rPr>
        <w:t xml:space="preserve">systematic population screening, using biomarkers and genetic testing, identifies 2.5% of </w:t>
      </w:r>
      <w:r w:rsidRPr="00344DFC">
        <w:rPr>
          <w:color w:val="000000" w:themeColor="text1"/>
          <w:shd w:val="clear" w:color="auto" w:fill="FFFFFF"/>
        </w:rPr>
        <w:t xml:space="preserve">the U.K. </w:t>
      </w:r>
      <w:r w:rsidR="0021603E" w:rsidRPr="00344DFC">
        <w:rPr>
          <w:color w:val="000000" w:themeColor="text1"/>
          <w:shd w:val="clear" w:color="auto" w:fill="FFFFFF"/>
        </w:rPr>
        <w:t>pediatric diabetes population with monogenic diabet</w:t>
      </w:r>
      <w:r w:rsidRPr="00344DFC">
        <w:rPr>
          <w:color w:val="000000" w:themeColor="text1"/>
          <w:shd w:val="clear" w:color="auto" w:fill="FFFFFF"/>
        </w:rPr>
        <w:t>es. </w:t>
      </w:r>
      <w:r w:rsidRPr="00344DFC">
        <w:rPr>
          <w:iCs/>
          <w:color w:val="000000" w:themeColor="text1"/>
          <w:shd w:val="clear" w:color="auto" w:fill="FFFFFF"/>
        </w:rPr>
        <w:t xml:space="preserve">Diabetes </w:t>
      </w:r>
      <w:r w:rsidR="0066753C">
        <w:rPr>
          <w:iCs/>
          <w:color w:val="000000" w:themeColor="text1"/>
          <w:shd w:val="clear" w:color="auto" w:fill="FFFFFF"/>
        </w:rPr>
        <w:t>C</w:t>
      </w:r>
      <w:r w:rsidRPr="00344DFC">
        <w:rPr>
          <w:iCs/>
          <w:color w:val="000000" w:themeColor="text1"/>
          <w:shd w:val="clear" w:color="auto" w:fill="FFFFFF"/>
        </w:rPr>
        <w:t>are</w:t>
      </w:r>
      <w:r w:rsidR="00CC16E1" w:rsidRPr="00344DFC">
        <w:rPr>
          <w:color w:val="000000" w:themeColor="text1"/>
          <w:shd w:val="clear" w:color="auto" w:fill="FFFFFF"/>
        </w:rPr>
        <w:t xml:space="preserve"> </w:t>
      </w:r>
      <w:r w:rsidRPr="00344DFC">
        <w:rPr>
          <w:iCs/>
          <w:color w:val="000000" w:themeColor="text1"/>
          <w:shd w:val="clear" w:color="auto" w:fill="FFFFFF"/>
        </w:rPr>
        <w:t>39</w:t>
      </w:r>
      <w:r w:rsidRPr="00344DFC">
        <w:rPr>
          <w:color w:val="000000" w:themeColor="text1"/>
          <w:shd w:val="clear" w:color="auto" w:fill="FFFFFF"/>
        </w:rPr>
        <w:t xml:space="preserve">, 1879–1888. </w:t>
      </w:r>
    </w:p>
    <w:p w14:paraId="41FD2EA8" w14:textId="77777777" w:rsidR="002103BE" w:rsidRPr="00344DFC" w:rsidRDefault="002103BE" w:rsidP="0023752D">
      <w:pPr>
        <w:widowControl w:val="0"/>
        <w:autoSpaceDE w:val="0"/>
        <w:autoSpaceDN w:val="0"/>
        <w:adjustRightInd w:val="0"/>
        <w:rPr>
          <w:noProof/>
          <w:lang w:val="en-US"/>
        </w:rPr>
      </w:pPr>
    </w:p>
    <w:p w14:paraId="28F3BD9F" w14:textId="779B8E4B"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Shiina, T., Hosomichi, K., Inoko, H., Kulski, J.K., 2009. The HLA genomic loci map: </w:t>
      </w:r>
      <w:r w:rsidR="0021603E">
        <w:rPr>
          <w:noProof/>
          <w:lang w:val="en-US"/>
        </w:rPr>
        <w:t>E</w:t>
      </w:r>
      <w:r w:rsidRPr="00344DFC">
        <w:rPr>
          <w:noProof/>
          <w:lang w:val="en-US"/>
        </w:rPr>
        <w:t>xpression, interaction, diversity and disease. J</w:t>
      </w:r>
      <w:r w:rsidR="002103BE" w:rsidRPr="00344DFC">
        <w:rPr>
          <w:noProof/>
          <w:lang w:val="en-US"/>
        </w:rPr>
        <w:t>ournal of</w:t>
      </w:r>
      <w:r w:rsidRPr="00344DFC">
        <w:rPr>
          <w:noProof/>
          <w:lang w:val="en-US"/>
        </w:rPr>
        <w:t xml:space="preserve"> Hum</w:t>
      </w:r>
      <w:r w:rsidR="002103BE" w:rsidRPr="00344DFC">
        <w:rPr>
          <w:noProof/>
          <w:lang w:val="en-US"/>
        </w:rPr>
        <w:t>an</w:t>
      </w:r>
      <w:r w:rsidRPr="00344DFC">
        <w:rPr>
          <w:noProof/>
          <w:lang w:val="en-US"/>
        </w:rPr>
        <w:t xml:space="preserve"> Genet</w:t>
      </w:r>
      <w:r w:rsidR="002103BE" w:rsidRPr="00344DFC">
        <w:rPr>
          <w:noProof/>
          <w:lang w:val="en-US"/>
        </w:rPr>
        <w:t>ics</w:t>
      </w:r>
      <w:r w:rsidRPr="00344DFC">
        <w:rPr>
          <w:noProof/>
          <w:lang w:val="en-US"/>
        </w:rPr>
        <w:t xml:space="preserve"> 54, 15–39. </w:t>
      </w:r>
    </w:p>
    <w:p w14:paraId="29BE4764" w14:textId="77777777" w:rsidR="002103BE" w:rsidRPr="00344DFC" w:rsidRDefault="002103BE" w:rsidP="009E2A1E">
      <w:pPr>
        <w:widowControl w:val="0"/>
        <w:autoSpaceDE w:val="0"/>
        <w:autoSpaceDN w:val="0"/>
        <w:adjustRightInd w:val="0"/>
        <w:ind w:left="480" w:hanging="480"/>
        <w:rPr>
          <w:noProof/>
          <w:lang w:val="en-US"/>
        </w:rPr>
      </w:pPr>
    </w:p>
    <w:p w14:paraId="03C59DE0"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Short, A.D., Catchpole, B., Kennedy, L.J., Barnes, A., Fretwell, N., Jones, C., Thomson, W., Ollier, W.E.R., 2007. Analysis of candidate susceptibility genes in canine diabetes</w:t>
      </w:r>
      <w:r w:rsidR="00A95C0B" w:rsidRPr="00344DFC">
        <w:rPr>
          <w:noProof/>
          <w:lang w:val="en-US"/>
        </w:rPr>
        <w:t>.</w:t>
      </w:r>
      <w:r w:rsidRPr="00344DFC">
        <w:rPr>
          <w:noProof/>
          <w:lang w:val="en-US"/>
        </w:rPr>
        <w:t xml:space="preserve"> Journal of Heredity </w:t>
      </w:r>
      <w:r w:rsidR="00A95C0B" w:rsidRPr="00344DFC">
        <w:rPr>
          <w:noProof/>
          <w:lang w:val="en-US"/>
        </w:rPr>
        <w:t xml:space="preserve">98, </w:t>
      </w:r>
      <w:r w:rsidRPr="00344DFC">
        <w:rPr>
          <w:noProof/>
          <w:lang w:val="en-US"/>
        </w:rPr>
        <w:t xml:space="preserve">518–525. </w:t>
      </w:r>
    </w:p>
    <w:p w14:paraId="4F4645FC" w14:textId="77777777" w:rsidR="002103BE" w:rsidRPr="00344DFC" w:rsidRDefault="002103BE" w:rsidP="009E2A1E">
      <w:pPr>
        <w:widowControl w:val="0"/>
        <w:autoSpaceDE w:val="0"/>
        <w:autoSpaceDN w:val="0"/>
        <w:adjustRightInd w:val="0"/>
        <w:ind w:left="480" w:hanging="480"/>
        <w:rPr>
          <w:noProof/>
          <w:lang w:val="en-US"/>
        </w:rPr>
      </w:pPr>
    </w:p>
    <w:p w14:paraId="55F7A372"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Short, A.D., Catchpole, B., Kennedy, L.J., Barnes, A., Lee, A.C., Jones, C.A., Fretwell, N., Ollier, W.E.R., 2009. T cell cytokine gene polymorphisms in canine diabetes mellitus. Vet</w:t>
      </w:r>
      <w:r w:rsidR="00A95C0B" w:rsidRPr="00344DFC">
        <w:rPr>
          <w:noProof/>
          <w:lang w:val="en-US"/>
        </w:rPr>
        <w:t>erinary</w:t>
      </w:r>
      <w:r w:rsidRPr="00344DFC">
        <w:rPr>
          <w:noProof/>
          <w:lang w:val="en-US"/>
        </w:rPr>
        <w:t xml:space="preserve"> Immunol</w:t>
      </w:r>
      <w:r w:rsidR="00A95C0B" w:rsidRPr="00344DFC">
        <w:rPr>
          <w:noProof/>
          <w:lang w:val="en-US"/>
        </w:rPr>
        <w:t>ogy and</w:t>
      </w:r>
      <w:r w:rsidRPr="00344DFC">
        <w:rPr>
          <w:noProof/>
          <w:lang w:val="en-US"/>
        </w:rPr>
        <w:t xml:space="preserve"> Immunopathol</w:t>
      </w:r>
      <w:r w:rsidR="00A95C0B" w:rsidRPr="00344DFC">
        <w:rPr>
          <w:noProof/>
          <w:lang w:val="en-US"/>
        </w:rPr>
        <w:t>ogy</w:t>
      </w:r>
      <w:r w:rsidRPr="00344DFC">
        <w:rPr>
          <w:noProof/>
          <w:lang w:val="en-US"/>
        </w:rPr>
        <w:t xml:space="preserve"> 128, 137–146. </w:t>
      </w:r>
    </w:p>
    <w:p w14:paraId="18463085" w14:textId="77777777" w:rsidR="00A95C0B" w:rsidRPr="00344DFC" w:rsidRDefault="00A95C0B" w:rsidP="009E2A1E">
      <w:pPr>
        <w:widowControl w:val="0"/>
        <w:autoSpaceDE w:val="0"/>
        <w:autoSpaceDN w:val="0"/>
        <w:adjustRightInd w:val="0"/>
        <w:ind w:left="480" w:hanging="480"/>
        <w:rPr>
          <w:noProof/>
          <w:lang w:val="en-US"/>
        </w:rPr>
      </w:pPr>
    </w:p>
    <w:p w14:paraId="57C02B91" w14:textId="10D51EB1"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Short, A.D., Holder, A., Rothwell, S., Massey, J., Scholey, R., Kennedy, L.J., Catchpole, B., Ollier, W.E., 2014. Searching for </w:t>
      </w:r>
      <w:r w:rsidR="00325EDE">
        <w:rPr>
          <w:noProof/>
          <w:lang w:val="en-US"/>
        </w:rPr>
        <w:t>‘</w:t>
      </w:r>
      <w:r w:rsidRPr="00344DFC">
        <w:rPr>
          <w:noProof/>
          <w:lang w:val="en-US"/>
        </w:rPr>
        <w:t>monogenic diabetes</w:t>
      </w:r>
      <w:r w:rsidR="00325EDE">
        <w:rPr>
          <w:noProof/>
          <w:lang w:val="en-US"/>
        </w:rPr>
        <w:t>’</w:t>
      </w:r>
      <w:r w:rsidRPr="00344DFC">
        <w:rPr>
          <w:noProof/>
          <w:lang w:val="en-US"/>
        </w:rPr>
        <w:t xml:space="preserve"> in dogs using a candidate gene approach. Canine Genet</w:t>
      </w:r>
      <w:r w:rsidR="00A95C0B" w:rsidRPr="00344DFC">
        <w:rPr>
          <w:noProof/>
          <w:lang w:val="en-US"/>
        </w:rPr>
        <w:t>ics and</w:t>
      </w:r>
      <w:r w:rsidRPr="00344DFC">
        <w:rPr>
          <w:noProof/>
          <w:lang w:val="en-US"/>
        </w:rPr>
        <w:t xml:space="preserve"> Epidemiol</w:t>
      </w:r>
      <w:r w:rsidR="00A95C0B" w:rsidRPr="00344DFC">
        <w:rPr>
          <w:noProof/>
          <w:lang w:val="en-US"/>
        </w:rPr>
        <w:t>ogy</w:t>
      </w:r>
      <w:r w:rsidRPr="00344DFC">
        <w:rPr>
          <w:noProof/>
          <w:lang w:val="en-US"/>
        </w:rPr>
        <w:t xml:space="preserve"> 1, 8. </w:t>
      </w:r>
    </w:p>
    <w:p w14:paraId="02543DEF" w14:textId="77777777" w:rsidR="00A95C0B" w:rsidRPr="00344DFC" w:rsidRDefault="00A95C0B" w:rsidP="009E2A1E">
      <w:pPr>
        <w:widowControl w:val="0"/>
        <w:autoSpaceDE w:val="0"/>
        <w:autoSpaceDN w:val="0"/>
        <w:adjustRightInd w:val="0"/>
        <w:ind w:left="480" w:hanging="480"/>
        <w:rPr>
          <w:noProof/>
          <w:lang w:val="en-US"/>
        </w:rPr>
      </w:pPr>
    </w:p>
    <w:p w14:paraId="74D8AEA5"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Short, A.D., Saleh, N.M., Catchpole, B., Kennedy, L.J., Barnes, A., Jones, C.A., Fretwell, N., 2010. CTLA4 promoter polymorphisms are associated with canine diabetes mellitus</w:t>
      </w:r>
      <w:r w:rsidR="00A95C0B" w:rsidRPr="00344DFC">
        <w:rPr>
          <w:noProof/>
          <w:lang w:val="en-US"/>
        </w:rPr>
        <w:t>.</w:t>
      </w:r>
      <w:r w:rsidRPr="00344DFC">
        <w:rPr>
          <w:noProof/>
          <w:lang w:val="en-US"/>
        </w:rPr>
        <w:t xml:space="preserve"> </w:t>
      </w:r>
      <w:r w:rsidR="00A95C0B" w:rsidRPr="00344DFC">
        <w:rPr>
          <w:noProof/>
          <w:lang w:val="en-US"/>
        </w:rPr>
        <w:t xml:space="preserve">Tissue Antigens 75, </w:t>
      </w:r>
      <w:r w:rsidRPr="00344DFC">
        <w:rPr>
          <w:noProof/>
          <w:lang w:val="en-US"/>
        </w:rPr>
        <w:t xml:space="preserve">242–252. </w:t>
      </w:r>
    </w:p>
    <w:p w14:paraId="37B0F252" w14:textId="77777777" w:rsidR="00A95C0B" w:rsidRPr="00344DFC" w:rsidRDefault="00A95C0B" w:rsidP="009E2A1E">
      <w:pPr>
        <w:widowControl w:val="0"/>
        <w:autoSpaceDE w:val="0"/>
        <w:autoSpaceDN w:val="0"/>
        <w:adjustRightInd w:val="0"/>
        <w:ind w:left="480" w:hanging="480"/>
        <w:rPr>
          <w:noProof/>
          <w:lang w:val="en-US"/>
        </w:rPr>
      </w:pPr>
    </w:p>
    <w:p w14:paraId="1A4D0071" w14:textId="1D515374"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Steck, A.K., Rewers, M.J., 2011. Genetics of </w:t>
      </w:r>
      <w:r w:rsidR="0021603E" w:rsidRPr="00344DFC">
        <w:rPr>
          <w:noProof/>
          <w:lang w:val="en-US"/>
        </w:rPr>
        <w:t>type 1 diabetes</w:t>
      </w:r>
      <w:r w:rsidRPr="00344DFC">
        <w:rPr>
          <w:noProof/>
          <w:lang w:val="en-US"/>
        </w:rPr>
        <w:t>. Clin</w:t>
      </w:r>
      <w:r w:rsidR="00A95C0B" w:rsidRPr="00344DFC">
        <w:rPr>
          <w:noProof/>
          <w:lang w:val="en-US"/>
        </w:rPr>
        <w:t>ical</w:t>
      </w:r>
      <w:r w:rsidRPr="00344DFC">
        <w:rPr>
          <w:noProof/>
          <w:lang w:val="en-US"/>
        </w:rPr>
        <w:t xml:space="preserve"> Chem</w:t>
      </w:r>
      <w:r w:rsidR="00A95C0B" w:rsidRPr="00344DFC">
        <w:rPr>
          <w:noProof/>
          <w:lang w:val="en-US"/>
        </w:rPr>
        <w:t>istry</w:t>
      </w:r>
      <w:r w:rsidRPr="00344DFC">
        <w:rPr>
          <w:noProof/>
          <w:lang w:val="en-US"/>
        </w:rPr>
        <w:t xml:space="preserve"> 57, 176. </w:t>
      </w:r>
    </w:p>
    <w:p w14:paraId="1716C1ED" w14:textId="77777777" w:rsidR="00A95C0B" w:rsidRPr="00344DFC" w:rsidRDefault="00A95C0B" w:rsidP="009E2A1E">
      <w:pPr>
        <w:widowControl w:val="0"/>
        <w:autoSpaceDE w:val="0"/>
        <w:autoSpaceDN w:val="0"/>
        <w:adjustRightInd w:val="0"/>
        <w:ind w:left="480" w:hanging="480"/>
        <w:rPr>
          <w:noProof/>
          <w:lang w:val="en-US"/>
        </w:rPr>
      </w:pPr>
    </w:p>
    <w:p w14:paraId="5F1A5087"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Todd, J.A., Bell, J.I., McDevitt, H.O., 1987. HLA-DQβ gene contributes to susceptibility and resistance to insulin-dependent diabetes mellitus. Nature 329, 599–604. </w:t>
      </w:r>
    </w:p>
    <w:p w14:paraId="0F902410" w14:textId="77777777" w:rsidR="00A95C0B" w:rsidRPr="00344DFC" w:rsidRDefault="00A95C0B" w:rsidP="009E2A1E">
      <w:pPr>
        <w:widowControl w:val="0"/>
        <w:autoSpaceDE w:val="0"/>
        <w:autoSpaceDN w:val="0"/>
        <w:adjustRightInd w:val="0"/>
        <w:ind w:left="480" w:hanging="480"/>
        <w:rPr>
          <w:noProof/>
          <w:lang w:val="en-US"/>
        </w:rPr>
      </w:pPr>
    </w:p>
    <w:p w14:paraId="27C42533"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Todd, J.A., Walker, N.M., Cooper, J.D., Smyth, D.J., Downes, K., Plagnol, V., Bailey, R., Nejentsev, S., Field, S.F., Payne, F.</w:t>
      </w:r>
      <w:r w:rsidR="00A95C0B" w:rsidRPr="00344DFC">
        <w:rPr>
          <w:noProof/>
          <w:lang w:val="en-US"/>
        </w:rPr>
        <w:t xml:space="preserve"> et al.</w:t>
      </w:r>
      <w:r w:rsidRPr="00344DFC">
        <w:rPr>
          <w:noProof/>
          <w:lang w:val="en-US"/>
        </w:rPr>
        <w:t>, 2007. Robust associations of four new chromosome regions from genome-wide analyses of type 1 diabetes</w:t>
      </w:r>
      <w:r w:rsidR="00A95C0B" w:rsidRPr="00344DFC">
        <w:rPr>
          <w:noProof/>
          <w:lang w:val="en-US"/>
        </w:rPr>
        <w:t xml:space="preserve">. </w:t>
      </w:r>
      <w:r w:rsidRPr="00344DFC">
        <w:rPr>
          <w:noProof/>
          <w:lang w:val="en-US"/>
        </w:rPr>
        <w:t>Nat</w:t>
      </w:r>
      <w:r w:rsidR="00A95C0B" w:rsidRPr="00344DFC">
        <w:rPr>
          <w:noProof/>
          <w:lang w:val="en-US"/>
        </w:rPr>
        <w:t>ure</w:t>
      </w:r>
      <w:r w:rsidRPr="00344DFC">
        <w:rPr>
          <w:noProof/>
          <w:lang w:val="en-US"/>
        </w:rPr>
        <w:t xml:space="preserve"> Genet</w:t>
      </w:r>
      <w:r w:rsidR="00A95C0B" w:rsidRPr="00344DFC">
        <w:rPr>
          <w:noProof/>
          <w:lang w:val="en-US"/>
        </w:rPr>
        <w:t>ics</w:t>
      </w:r>
      <w:r w:rsidRPr="00344DFC">
        <w:rPr>
          <w:noProof/>
          <w:lang w:val="en-US"/>
        </w:rPr>
        <w:t xml:space="preserve"> 39, 857–864. </w:t>
      </w:r>
    </w:p>
    <w:p w14:paraId="2AD3CF86" w14:textId="77777777" w:rsidR="00A95C0B" w:rsidRPr="00344DFC" w:rsidRDefault="00A95C0B" w:rsidP="009E2A1E">
      <w:pPr>
        <w:widowControl w:val="0"/>
        <w:autoSpaceDE w:val="0"/>
        <w:autoSpaceDN w:val="0"/>
        <w:adjustRightInd w:val="0"/>
        <w:ind w:left="480" w:hanging="480"/>
        <w:rPr>
          <w:noProof/>
          <w:lang w:val="en-US"/>
        </w:rPr>
      </w:pPr>
    </w:p>
    <w:p w14:paraId="1ACD11C9" w14:textId="4A930D7C" w:rsidR="009E2A1E" w:rsidRPr="00344DFC" w:rsidRDefault="009E2A1E" w:rsidP="009E2A1E">
      <w:pPr>
        <w:widowControl w:val="0"/>
        <w:autoSpaceDE w:val="0"/>
        <w:autoSpaceDN w:val="0"/>
        <w:adjustRightInd w:val="0"/>
        <w:ind w:left="480" w:hanging="480"/>
        <w:rPr>
          <w:noProof/>
          <w:lang w:val="en-US"/>
        </w:rPr>
      </w:pPr>
      <w:r w:rsidRPr="00344DFC">
        <w:rPr>
          <w:noProof/>
          <w:lang w:val="en-US"/>
        </w:rPr>
        <w:t xml:space="preserve">Tuomi, T., Santoro, N., Caprio, S., Cai, M., Weng, J., Groop, L., 2014. The many faces of diabetes: </w:t>
      </w:r>
      <w:r w:rsidR="0021603E">
        <w:rPr>
          <w:noProof/>
          <w:lang w:val="en-US"/>
        </w:rPr>
        <w:t>A</w:t>
      </w:r>
      <w:r w:rsidRPr="00344DFC">
        <w:rPr>
          <w:noProof/>
          <w:lang w:val="en-US"/>
        </w:rPr>
        <w:t xml:space="preserve"> disease with increasing heterogeneity. Lancet 383, 1084–1094. </w:t>
      </w:r>
    </w:p>
    <w:p w14:paraId="48301826" w14:textId="77777777" w:rsidR="00A95C0B" w:rsidRPr="00344DFC" w:rsidRDefault="00A95C0B" w:rsidP="009E2A1E">
      <w:pPr>
        <w:widowControl w:val="0"/>
        <w:autoSpaceDE w:val="0"/>
        <w:autoSpaceDN w:val="0"/>
        <w:adjustRightInd w:val="0"/>
        <w:ind w:left="480" w:hanging="480"/>
        <w:rPr>
          <w:noProof/>
          <w:lang w:val="en-US"/>
        </w:rPr>
      </w:pPr>
    </w:p>
    <w:p w14:paraId="781B3242"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Ueda, H., M Howson, J.M., Esposito, L., Heward, J., Snook, H., Chamberlain, G., Rainbow, D.B., D Hunter, K.M., Smith, A.N., Di Genova, G.</w:t>
      </w:r>
      <w:r w:rsidR="00A95C0B" w:rsidRPr="00344DFC">
        <w:rPr>
          <w:noProof/>
          <w:lang w:val="en-US"/>
        </w:rPr>
        <w:t xml:space="preserve"> et al.</w:t>
      </w:r>
      <w:r w:rsidRPr="00344DFC">
        <w:rPr>
          <w:noProof/>
          <w:lang w:val="en-US"/>
        </w:rPr>
        <w:t>, 2003. Association of the T-cell regulatory gene CTLA4 with susceptibility to autoimmune disease.</w:t>
      </w:r>
      <w:r w:rsidR="00A95C0B" w:rsidRPr="00344DFC">
        <w:rPr>
          <w:noProof/>
          <w:lang w:val="en-US"/>
        </w:rPr>
        <w:t xml:space="preserve"> Nature 423, 506-11.</w:t>
      </w:r>
    </w:p>
    <w:p w14:paraId="4664009E" w14:textId="77777777" w:rsidR="00A95C0B" w:rsidRPr="00344DFC" w:rsidRDefault="00A95C0B" w:rsidP="009E2A1E">
      <w:pPr>
        <w:widowControl w:val="0"/>
        <w:autoSpaceDE w:val="0"/>
        <w:autoSpaceDN w:val="0"/>
        <w:adjustRightInd w:val="0"/>
        <w:ind w:left="480" w:hanging="480"/>
        <w:rPr>
          <w:noProof/>
          <w:lang w:val="en-US"/>
        </w:rPr>
      </w:pPr>
    </w:p>
    <w:p w14:paraId="057883F2" w14:textId="7AB5D77E" w:rsidR="009E2A1E" w:rsidRPr="00344DFC" w:rsidRDefault="009E2A1E" w:rsidP="009E2A1E">
      <w:pPr>
        <w:widowControl w:val="0"/>
        <w:autoSpaceDE w:val="0"/>
        <w:autoSpaceDN w:val="0"/>
        <w:adjustRightInd w:val="0"/>
        <w:ind w:left="480" w:hanging="480"/>
        <w:rPr>
          <w:noProof/>
          <w:lang w:val="en-US"/>
        </w:rPr>
      </w:pPr>
      <w:r w:rsidRPr="00344DFC">
        <w:rPr>
          <w:noProof/>
          <w:lang w:val="en-US"/>
        </w:rPr>
        <w:t>Vafiadis, P., Bennett, S.T., Todd, J.A., Nadeau, J., Grabs, R., Goodyer, C.G., Wickramasinghe, S., Colle, E., Polychronakos, C., 1997. Insulin expression in human thymus is modulated by INS VNTR alleles at the IDDM2 locus. Nat</w:t>
      </w:r>
      <w:r w:rsidR="00A95C0B" w:rsidRPr="00344DFC">
        <w:rPr>
          <w:noProof/>
          <w:lang w:val="en-US"/>
        </w:rPr>
        <w:t>ure</w:t>
      </w:r>
      <w:r w:rsidRPr="00344DFC">
        <w:rPr>
          <w:noProof/>
          <w:lang w:val="en-US"/>
        </w:rPr>
        <w:t xml:space="preserve"> Genet</w:t>
      </w:r>
      <w:r w:rsidR="00A95C0B" w:rsidRPr="00344DFC">
        <w:rPr>
          <w:noProof/>
          <w:lang w:val="en-US"/>
        </w:rPr>
        <w:t xml:space="preserve">ics </w:t>
      </w:r>
      <w:r w:rsidRPr="00344DFC">
        <w:rPr>
          <w:noProof/>
          <w:lang w:val="en-US"/>
        </w:rPr>
        <w:t xml:space="preserve">15, 289–292. </w:t>
      </w:r>
    </w:p>
    <w:p w14:paraId="2D1900B9" w14:textId="500A38F6" w:rsidR="00B4085D" w:rsidRPr="00344DFC" w:rsidRDefault="00B4085D" w:rsidP="009E2A1E">
      <w:pPr>
        <w:widowControl w:val="0"/>
        <w:autoSpaceDE w:val="0"/>
        <w:autoSpaceDN w:val="0"/>
        <w:adjustRightInd w:val="0"/>
        <w:ind w:left="480" w:hanging="480"/>
        <w:rPr>
          <w:noProof/>
          <w:lang w:val="en-US"/>
        </w:rPr>
      </w:pPr>
    </w:p>
    <w:p w14:paraId="33380DEF" w14:textId="6BDD0F41" w:rsidR="00B4085D" w:rsidRPr="0023752D" w:rsidRDefault="00B4085D" w:rsidP="0023752D">
      <w:pPr>
        <w:ind w:left="566" w:hangingChars="236" w:hanging="566"/>
        <w:rPr>
          <w:color w:val="000000" w:themeColor="text1"/>
          <w:shd w:val="clear" w:color="auto" w:fill="FFFFFF"/>
        </w:rPr>
      </w:pPr>
      <w:r w:rsidRPr="00344DFC">
        <w:rPr>
          <w:color w:val="000000" w:themeColor="text1"/>
          <w:shd w:val="clear" w:color="auto" w:fill="FFFFFF"/>
        </w:rPr>
        <w:t>Wellcome Trust Case Control Consortium, 2007. Genome-wide association study of 14,000 cases of</w:t>
      </w:r>
      <w:r w:rsidR="0023752D">
        <w:rPr>
          <w:color w:val="000000" w:themeColor="text1"/>
          <w:shd w:val="clear" w:color="auto" w:fill="FFFFFF"/>
          <w:lang w:val="en-US"/>
        </w:rPr>
        <w:t xml:space="preserve"> </w:t>
      </w:r>
      <w:r w:rsidRPr="00344DFC">
        <w:rPr>
          <w:color w:val="000000" w:themeColor="text1"/>
          <w:shd w:val="clear" w:color="auto" w:fill="FFFFFF"/>
        </w:rPr>
        <w:t>seven common diseases and 3,000 shared controls. </w:t>
      </w:r>
      <w:r w:rsidRPr="00344DFC">
        <w:rPr>
          <w:iCs/>
          <w:color w:val="000000" w:themeColor="text1"/>
          <w:shd w:val="clear" w:color="auto" w:fill="FFFFFF"/>
        </w:rPr>
        <w:t>Nature</w:t>
      </w:r>
      <w:r w:rsidRPr="00344DFC">
        <w:rPr>
          <w:color w:val="000000" w:themeColor="text1"/>
          <w:shd w:val="clear" w:color="auto" w:fill="FFFFFF"/>
        </w:rPr>
        <w:t xml:space="preserve"> </w:t>
      </w:r>
      <w:r w:rsidRPr="00344DFC">
        <w:rPr>
          <w:iCs/>
          <w:color w:val="000000" w:themeColor="text1"/>
          <w:shd w:val="clear" w:color="auto" w:fill="FFFFFF"/>
        </w:rPr>
        <w:t>447</w:t>
      </w:r>
      <w:r w:rsidRPr="00344DFC">
        <w:rPr>
          <w:color w:val="000000" w:themeColor="text1"/>
          <w:shd w:val="clear" w:color="auto" w:fill="FFFFFF"/>
        </w:rPr>
        <w:t xml:space="preserve">, 661–678. </w:t>
      </w:r>
    </w:p>
    <w:p w14:paraId="7B6A8685" w14:textId="77777777" w:rsidR="00A95C0B" w:rsidRPr="00344DFC" w:rsidRDefault="00A95C0B" w:rsidP="009E2A1E">
      <w:pPr>
        <w:widowControl w:val="0"/>
        <w:autoSpaceDE w:val="0"/>
        <w:autoSpaceDN w:val="0"/>
        <w:adjustRightInd w:val="0"/>
        <w:ind w:left="480" w:hanging="480"/>
        <w:rPr>
          <w:noProof/>
          <w:lang w:val="en-US"/>
        </w:rPr>
      </w:pPr>
    </w:p>
    <w:p w14:paraId="40B79194" w14:textId="77777777" w:rsidR="009E2A1E" w:rsidRPr="00344DFC" w:rsidRDefault="009E2A1E" w:rsidP="009E2A1E">
      <w:pPr>
        <w:widowControl w:val="0"/>
        <w:autoSpaceDE w:val="0"/>
        <w:autoSpaceDN w:val="0"/>
        <w:adjustRightInd w:val="0"/>
        <w:ind w:left="480" w:hanging="480"/>
        <w:rPr>
          <w:noProof/>
          <w:lang w:val="en-US"/>
        </w:rPr>
      </w:pPr>
      <w:r w:rsidRPr="00344DFC">
        <w:rPr>
          <w:noProof/>
          <w:lang w:val="en-US"/>
        </w:rPr>
        <w:t>Zamani, M., Cassiman, J.J., 1998. Reevaluation of the importance of polymorphic HLA class II alleles and amino acids in the susceptibility of individuals of different populations to type I diabetes. Am</w:t>
      </w:r>
      <w:r w:rsidR="00A95C0B" w:rsidRPr="00344DFC">
        <w:rPr>
          <w:noProof/>
          <w:lang w:val="en-US"/>
        </w:rPr>
        <w:t>erican</w:t>
      </w:r>
      <w:r w:rsidRPr="00344DFC">
        <w:rPr>
          <w:noProof/>
          <w:lang w:val="en-US"/>
        </w:rPr>
        <w:t xml:space="preserve"> J</w:t>
      </w:r>
      <w:r w:rsidR="00A95C0B" w:rsidRPr="00344DFC">
        <w:rPr>
          <w:noProof/>
          <w:lang w:val="en-US"/>
        </w:rPr>
        <w:t>ournal of</w:t>
      </w:r>
      <w:r w:rsidRPr="00344DFC">
        <w:rPr>
          <w:noProof/>
          <w:lang w:val="en-US"/>
        </w:rPr>
        <w:t xml:space="preserve"> Med</w:t>
      </w:r>
      <w:r w:rsidR="00A95C0B" w:rsidRPr="00344DFC">
        <w:rPr>
          <w:noProof/>
          <w:lang w:val="en-US"/>
        </w:rPr>
        <w:t>ical</w:t>
      </w:r>
      <w:r w:rsidRPr="00344DFC">
        <w:rPr>
          <w:noProof/>
          <w:lang w:val="en-US"/>
        </w:rPr>
        <w:t xml:space="preserve"> Genet</w:t>
      </w:r>
      <w:r w:rsidR="00A95C0B" w:rsidRPr="00344DFC">
        <w:rPr>
          <w:noProof/>
          <w:lang w:val="en-US"/>
        </w:rPr>
        <w:t>ics</w:t>
      </w:r>
      <w:r w:rsidRPr="00344DFC">
        <w:rPr>
          <w:noProof/>
          <w:lang w:val="en-US"/>
        </w:rPr>
        <w:t xml:space="preserve"> 76, 183–194. </w:t>
      </w:r>
    </w:p>
    <w:p w14:paraId="5D58BEF1" w14:textId="77777777" w:rsidR="00A95C0B" w:rsidRPr="00344DFC" w:rsidRDefault="00A95C0B" w:rsidP="009E2A1E">
      <w:pPr>
        <w:widowControl w:val="0"/>
        <w:autoSpaceDE w:val="0"/>
        <w:autoSpaceDN w:val="0"/>
        <w:adjustRightInd w:val="0"/>
        <w:ind w:left="480" w:hanging="480"/>
        <w:rPr>
          <w:noProof/>
          <w:lang w:val="en-US"/>
        </w:rPr>
      </w:pPr>
    </w:p>
    <w:p w14:paraId="5CE6169C" w14:textId="1BF2D9F8" w:rsidR="000D2040" w:rsidRPr="00344DFC" w:rsidRDefault="009E2A1E" w:rsidP="00062FE9">
      <w:pPr>
        <w:widowControl w:val="0"/>
        <w:autoSpaceDE w:val="0"/>
        <w:autoSpaceDN w:val="0"/>
        <w:adjustRightInd w:val="0"/>
        <w:ind w:left="480" w:hanging="480"/>
        <w:rPr>
          <w:noProof/>
        </w:rPr>
      </w:pPr>
      <w:r w:rsidRPr="00344DFC">
        <w:rPr>
          <w:noProof/>
          <w:lang w:val="en-US"/>
        </w:rPr>
        <w:t>Zeggini, E., Scott, L.J., Saxena, R., Voight, B.F., Marchini, J.L., Hu, Tainle, de Bakker, P.I., Abecasis, G.R., Almgren, P., Andersen, G.</w:t>
      </w:r>
      <w:r w:rsidR="00A95C0B" w:rsidRPr="00344DFC">
        <w:rPr>
          <w:noProof/>
          <w:lang w:val="en-US"/>
        </w:rPr>
        <w:t xml:space="preserve"> et al.</w:t>
      </w:r>
      <w:r w:rsidRPr="00344DFC">
        <w:rPr>
          <w:noProof/>
          <w:lang w:val="en-US"/>
        </w:rPr>
        <w:t>, 2008. Meta-analysis of genome-wide association data and large-scale replication identifies additional susceptibility loci for type 2 diabetes. Nat</w:t>
      </w:r>
      <w:r w:rsidR="00A95C0B" w:rsidRPr="00344DFC">
        <w:rPr>
          <w:noProof/>
          <w:lang w:val="en-US"/>
        </w:rPr>
        <w:t>ure</w:t>
      </w:r>
      <w:r w:rsidRPr="00344DFC">
        <w:rPr>
          <w:noProof/>
          <w:lang w:val="en-US"/>
        </w:rPr>
        <w:t xml:space="preserve"> Genet</w:t>
      </w:r>
      <w:r w:rsidR="00A95C0B" w:rsidRPr="00344DFC">
        <w:rPr>
          <w:noProof/>
          <w:lang w:val="en-US"/>
        </w:rPr>
        <w:t>ics</w:t>
      </w:r>
      <w:r w:rsidRPr="00344DFC">
        <w:rPr>
          <w:noProof/>
          <w:lang w:val="en-US"/>
        </w:rPr>
        <w:t xml:space="preserve"> 40, 638–645. </w:t>
      </w:r>
      <w:r w:rsidR="000D2040" w:rsidRPr="00344DFC">
        <w:rPr>
          <w:color w:val="000000"/>
        </w:rPr>
        <w:br w:type="page"/>
      </w:r>
    </w:p>
    <w:p w14:paraId="6CAEDF7E" w14:textId="77777777" w:rsidR="00F44AA4" w:rsidRPr="00344DFC" w:rsidRDefault="00EA6F7A" w:rsidP="00F44AA4">
      <w:pPr>
        <w:spacing w:line="480" w:lineRule="auto"/>
        <w:jc w:val="both"/>
        <w:rPr>
          <w:b/>
          <w:color w:val="000000"/>
        </w:rPr>
      </w:pPr>
      <w:r w:rsidRPr="00344DFC">
        <w:rPr>
          <w:b/>
          <w:color w:val="000000"/>
        </w:rPr>
        <w:lastRenderedPageBreak/>
        <w:t>Table 1</w:t>
      </w:r>
    </w:p>
    <w:tbl>
      <w:tblPr>
        <w:tblpPr w:leftFromText="180" w:rightFromText="180" w:vertAnchor="text" w:horzAnchor="margin" w:tblpXSpec="center" w:tblpY="1279"/>
        <w:tblW w:w="0" w:type="auto"/>
        <w:tblBorders>
          <w:top w:val="single" w:sz="4" w:space="0" w:color="auto"/>
          <w:bottom w:val="single" w:sz="4" w:space="0" w:color="auto"/>
        </w:tblBorders>
        <w:tblLayout w:type="fixed"/>
        <w:tblLook w:val="04A0" w:firstRow="1" w:lastRow="0" w:firstColumn="1" w:lastColumn="0" w:noHBand="0" w:noVBand="1"/>
      </w:tblPr>
      <w:tblGrid>
        <w:gridCol w:w="993"/>
        <w:gridCol w:w="992"/>
        <w:gridCol w:w="993"/>
        <w:gridCol w:w="1275"/>
        <w:gridCol w:w="1347"/>
        <w:gridCol w:w="928"/>
        <w:gridCol w:w="1269"/>
        <w:gridCol w:w="930"/>
      </w:tblGrid>
      <w:tr w:rsidR="00F44AA4" w:rsidRPr="00344DFC" w14:paraId="0CBC777A" w14:textId="77777777" w:rsidTr="0023752D">
        <w:trPr>
          <w:trHeight w:val="670"/>
        </w:trPr>
        <w:tc>
          <w:tcPr>
            <w:tcW w:w="993" w:type="dxa"/>
            <w:tcBorders>
              <w:top w:val="single" w:sz="4" w:space="0" w:color="auto"/>
              <w:bottom w:val="single" w:sz="4" w:space="0" w:color="auto"/>
            </w:tcBorders>
            <w:shd w:val="clear" w:color="auto" w:fill="auto"/>
          </w:tcPr>
          <w:p w14:paraId="04CA9F19" w14:textId="77777777" w:rsidR="00F44AA4" w:rsidRPr="0023752D" w:rsidRDefault="00F44AA4" w:rsidP="00F44AA4">
            <w:pPr>
              <w:jc w:val="center"/>
              <w:rPr>
                <w:bCs/>
                <w:color w:val="000000"/>
              </w:rPr>
            </w:pPr>
            <w:r w:rsidRPr="0023752D">
              <w:rPr>
                <w:bCs/>
                <w:color w:val="000000"/>
              </w:rPr>
              <w:t>DRB1</w:t>
            </w:r>
          </w:p>
        </w:tc>
        <w:tc>
          <w:tcPr>
            <w:tcW w:w="992" w:type="dxa"/>
            <w:tcBorders>
              <w:top w:val="single" w:sz="4" w:space="0" w:color="auto"/>
              <w:bottom w:val="single" w:sz="4" w:space="0" w:color="auto"/>
            </w:tcBorders>
            <w:shd w:val="clear" w:color="auto" w:fill="auto"/>
          </w:tcPr>
          <w:p w14:paraId="6C4623B9" w14:textId="77777777" w:rsidR="00F44AA4" w:rsidRPr="0023752D" w:rsidRDefault="00F44AA4" w:rsidP="00F44AA4">
            <w:pPr>
              <w:jc w:val="center"/>
              <w:rPr>
                <w:bCs/>
                <w:color w:val="000000"/>
              </w:rPr>
            </w:pPr>
            <w:r w:rsidRPr="0023752D">
              <w:rPr>
                <w:bCs/>
                <w:color w:val="000000"/>
              </w:rPr>
              <w:t>DQA1</w:t>
            </w:r>
          </w:p>
        </w:tc>
        <w:tc>
          <w:tcPr>
            <w:tcW w:w="993" w:type="dxa"/>
            <w:tcBorders>
              <w:top w:val="single" w:sz="4" w:space="0" w:color="auto"/>
              <w:bottom w:val="single" w:sz="4" w:space="0" w:color="auto"/>
            </w:tcBorders>
            <w:shd w:val="clear" w:color="auto" w:fill="auto"/>
          </w:tcPr>
          <w:p w14:paraId="59D55F66" w14:textId="77777777" w:rsidR="00F44AA4" w:rsidRPr="0023752D" w:rsidRDefault="00F44AA4" w:rsidP="00F44AA4">
            <w:pPr>
              <w:jc w:val="center"/>
              <w:rPr>
                <w:bCs/>
                <w:color w:val="000000"/>
              </w:rPr>
            </w:pPr>
            <w:r w:rsidRPr="0023752D">
              <w:rPr>
                <w:bCs/>
                <w:color w:val="000000"/>
              </w:rPr>
              <w:t>DQB1</w:t>
            </w:r>
          </w:p>
        </w:tc>
        <w:tc>
          <w:tcPr>
            <w:tcW w:w="1275" w:type="dxa"/>
            <w:tcBorders>
              <w:top w:val="single" w:sz="4" w:space="0" w:color="auto"/>
              <w:bottom w:val="single" w:sz="4" w:space="0" w:color="auto"/>
            </w:tcBorders>
            <w:shd w:val="clear" w:color="auto" w:fill="auto"/>
          </w:tcPr>
          <w:p w14:paraId="69B9BB2C" w14:textId="77777777" w:rsidR="00F44AA4" w:rsidRPr="0023752D" w:rsidRDefault="00F44AA4" w:rsidP="00F44AA4">
            <w:pPr>
              <w:jc w:val="center"/>
              <w:rPr>
                <w:bCs/>
                <w:color w:val="000000"/>
              </w:rPr>
            </w:pPr>
            <w:r w:rsidRPr="0023752D">
              <w:rPr>
                <w:bCs/>
                <w:color w:val="000000"/>
              </w:rPr>
              <w:t>Frequency in diabetic dogs (%) (</w:t>
            </w:r>
            <w:r w:rsidRPr="0021603E">
              <w:rPr>
                <w:bCs/>
                <w:i/>
                <w:color w:val="000000"/>
              </w:rPr>
              <w:t>n</w:t>
            </w:r>
            <w:r w:rsidRPr="0023752D">
              <w:rPr>
                <w:bCs/>
                <w:color w:val="000000"/>
              </w:rPr>
              <w:t xml:space="preserve"> = 460)</w:t>
            </w:r>
          </w:p>
        </w:tc>
        <w:tc>
          <w:tcPr>
            <w:tcW w:w="1347" w:type="dxa"/>
            <w:tcBorders>
              <w:top w:val="single" w:sz="4" w:space="0" w:color="auto"/>
              <w:bottom w:val="single" w:sz="4" w:space="0" w:color="auto"/>
            </w:tcBorders>
            <w:shd w:val="clear" w:color="auto" w:fill="auto"/>
          </w:tcPr>
          <w:p w14:paraId="154E6F23" w14:textId="77777777" w:rsidR="00F44AA4" w:rsidRPr="0023752D" w:rsidRDefault="00F44AA4" w:rsidP="00F44AA4">
            <w:pPr>
              <w:jc w:val="center"/>
              <w:rPr>
                <w:bCs/>
                <w:color w:val="000000"/>
              </w:rPr>
            </w:pPr>
            <w:r w:rsidRPr="0023752D">
              <w:rPr>
                <w:bCs/>
                <w:color w:val="000000"/>
              </w:rPr>
              <w:t>Frequency in controls (%)</w:t>
            </w:r>
          </w:p>
          <w:p w14:paraId="7D0A579F" w14:textId="77777777" w:rsidR="00F44AA4" w:rsidRPr="0023752D" w:rsidRDefault="00F44AA4" w:rsidP="00F44AA4">
            <w:pPr>
              <w:jc w:val="center"/>
              <w:rPr>
                <w:bCs/>
                <w:color w:val="000000"/>
              </w:rPr>
            </w:pPr>
            <w:r w:rsidRPr="0023752D">
              <w:rPr>
                <w:bCs/>
                <w:color w:val="000000"/>
              </w:rPr>
              <w:t>(</w:t>
            </w:r>
            <w:r w:rsidRPr="0021603E">
              <w:rPr>
                <w:bCs/>
                <w:i/>
                <w:color w:val="000000"/>
              </w:rPr>
              <w:t>n</w:t>
            </w:r>
            <w:r w:rsidRPr="0023752D">
              <w:rPr>
                <w:bCs/>
                <w:color w:val="000000"/>
              </w:rPr>
              <w:t xml:space="preserve"> = 1047)</w:t>
            </w:r>
          </w:p>
        </w:tc>
        <w:tc>
          <w:tcPr>
            <w:tcW w:w="928" w:type="dxa"/>
            <w:tcBorders>
              <w:top w:val="single" w:sz="4" w:space="0" w:color="auto"/>
              <w:bottom w:val="single" w:sz="4" w:space="0" w:color="auto"/>
            </w:tcBorders>
            <w:shd w:val="clear" w:color="auto" w:fill="auto"/>
          </w:tcPr>
          <w:p w14:paraId="10D05AA9" w14:textId="77777777" w:rsidR="00F44AA4" w:rsidRPr="0023752D" w:rsidRDefault="00F44AA4" w:rsidP="00F44AA4">
            <w:pPr>
              <w:jc w:val="center"/>
              <w:rPr>
                <w:bCs/>
                <w:color w:val="000000"/>
              </w:rPr>
            </w:pPr>
            <w:r w:rsidRPr="0023752D">
              <w:rPr>
                <w:bCs/>
                <w:color w:val="000000"/>
              </w:rPr>
              <w:t>Odds ratio</w:t>
            </w:r>
          </w:p>
        </w:tc>
        <w:tc>
          <w:tcPr>
            <w:tcW w:w="1269" w:type="dxa"/>
            <w:tcBorders>
              <w:top w:val="single" w:sz="4" w:space="0" w:color="auto"/>
              <w:bottom w:val="single" w:sz="4" w:space="0" w:color="auto"/>
            </w:tcBorders>
            <w:shd w:val="clear" w:color="auto" w:fill="auto"/>
          </w:tcPr>
          <w:p w14:paraId="2432CE74" w14:textId="77777777" w:rsidR="00F44AA4" w:rsidRPr="0023752D" w:rsidRDefault="00F44AA4" w:rsidP="00F44AA4">
            <w:pPr>
              <w:jc w:val="center"/>
              <w:rPr>
                <w:bCs/>
                <w:color w:val="000000"/>
              </w:rPr>
            </w:pPr>
            <w:r w:rsidRPr="0023752D">
              <w:rPr>
                <w:bCs/>
                <w:color w:val="000000"/>
              </w:rPr>
              <w:t>95% confidence interval</w:t>
            </w:r>
          </w:p>
        </w:tc>
        <w:tc>
          <w:tcPr>
            <w:tcW w:w="930" w:type="dxa"/>
            <w:tcBorders>
              <w:top w:val="single" w:sz="4" w:space="0" w:color="auto"/>
              <w:bottom w:val="single" w:sz="4" w:space="0" w:color="auto"/>
            </w:tcBorders>
            <w:shd w:val="clear" w:color="auto" w:fill="auto"/>
          </w:tcPr>
          <w:p w14:paraId="4C26EF70" w14:textId="3E186A82" w:rsidR="00F44AA4" w:rsidRPr="0023752D" w:rsidRDefault="00F44AA4" w:rsidP="00F44AA4">
            <w:pPr>
              <w:jc w:val="center"/>
              <w:rPr>
                <w:bCs/>
                <w:color w:val="000000"/>
              </w:rPr>
            </w:pPr>
            <w:r w:rsidRPr="0023752D">
              <w:rPr>
                <w:bCs/>
                <w:i/>
                <w:iCs/>
                <w:color w:val="000000"/>
              </w:rPr>
              <w:t>P</w:t>
            </w:r>
            <w:r w:rsidRPr="0023752D">
              <w:rPr>
                <w:bCs/>
                <w:color w:val="000000"/>
              </w:rPr>
              <w:t xml:space="preserve"> </w:t>
            </w:r>
          </w:p>
        </w:tc>
      </w:tr>
      <w:tr w:rsidR="00F44AA4" w:rsidRPr="00344DFC" w14:paraId="421829C4" w14:textId="77777777" w:rsidTr="0023752D">
        <w:tc>
          <w:tcPr>
            <w:tcW w:w="993" w:type="dxa"/>
            <w:tcBorders>
              <w:top w:val="single" w:sz="4" w:space="0" w:color="auto"/>
            </w:tcBorders>
            <w:shd w:val="clear" w:color="auto" w:fill="auto"/>
          </w:tcPr>
          <w:p w14:paraId="35404A5A" w14:textId="77777777" w:rsidR="00F44AA4" w:rsidRPr="00344DFC" w:rsidRDefault="00F44AA4" w:rsidP="00F44AA4">
            <w:pPr>
              <w:jc w:val="center"/>
              <w:rPr>
                <w:color w:val="000000"/>
              </w:rPr>
            </w:pPr>
            <w:r w:rsidRPr="00344DFC">
              <w:rPr>
                <w:color w:val="000000"/>
              </w:rPr>
              <w:t>002</w:t>
            </w:r>
          </w:p>
        </w:tc>
        <w:tc>
          <w:tcPr>
            <w:tcW w:w="992" w:type="dxa"/>
            <w:tcBorders>
              <w:top w:val="single" w:sz="4" w:space="0" w:color="auto"/>
            </w:tcBorders>
            <w:shd w:val="clear" w:color="auto" w:fill="auto"/>
          </w:tcPr>
          <w:p w14:paraId="7E714006" w14:textId="77777777" w:rsidR="00F44AA4" w:rsidRPr="00344DFC" w:rsidRDefault="00F44AA4" w:rsidP="00F44AA4">
            <w:pPr>
              <w:jc w:val="center"/>
              <w:rPr>
                <w:color w:val="000000"/>
              </w:rPr>
            </w:pPr>
            <w:r w:rsidRPr="00344DFC">
              <w:rPr>
                <w:color w:val="000000"/>
              </w:rPr>
              <w:t>009</w:t>
            </w:r>
          </w:p>
        </w:tc>
        <w:tc>
          <w:tcPr>
            <w:tcW w:w="993" w:type="dxa"/>
            <w:tcBorders>
              <w:top w:val="single" w:sz="4" w:space="0" w:color="auto"/>
            </w:tcBorders>
            <w:shd w:val="clear" w:color="auto" w:fill="auto"/>
          </w:tcPr>
          <w:p w14:paraId="59B22482" w14:textId="77777777" w:rsidR="00F44AA4" w:rsidRPr="00344DFC" w:rsidRDefault="00F44AA4" w:rsidP="00F44AA4">
            <w:pPr>
              <w:jc w:val="center"/>
              <w:rPr>
                <w:color w:val="000000"/>
              </w:rPr>
            </w:pPr>
            <w:r w:rsidRPr="00344DFC">
              <w:rPr>
                <w:color w:val="000000"/>
              </w:rPr>
              <w:t>001</w:t>
            </w:r>
          </w:p>
        </w:tc>
        <w:tc>
          <w:tcPr>
            <w:tcW w:w="1275" w:type="dxa"/>
            <w:tcBorders>
              <w:top w:val="single" w:sz="4" w:space="0" w:color="auto"/>
            </w:tcBorders>
            <w:shd w:val="clear" w:color="auto" w:fill="auto"/>
          </w:tcPr>
          <w:p w14:paraId="222F72A9" w14:textId="77777777" w:rsidR="00F44AA4" w:rsidRPr="00344DFC" w:rsidRDefault="00F44AA4" w:rsidP="00F44AA4">
            <w:pPr>
              <w:jc w:val="center"/>
              <w:rPr>
                <w:color w:val="000000"/>
              </w:rPr>
            </w:pPr>
            <w:r w:rsidRPr="00344DFC">
              <w:rPr>
                <w:color w:val="000000"/>
              </w:rPr>
              <w:t>11.7</w:t>
            </w:r>
          </w:p>
        </w:tc>
        <w:tc>
          <w:tcPr>
            <w:tcW w:w="1347" w:type="dxa"/>
            <w:tcBorders>
              <w:top w:val="single" w:sz="4" w:space="0" w:color="auto"/>
            </w:tcBorders>
            <w:shd w:val="clear" w:color="auto" w:fill="auto"/>
          </w:tcPr>
          <w:p w14:paraId="114E724C" w14:textId="77777777" w:rsidR="00F44AA4" w:rsidRPr="00344DFC" w:rsidRDefault="00F44AA4" w:rsidP="00F44AA4">
            <w:pPr>
              <w:jc w:val="center"/>
              <w:rPr>
                <w:color w:val="000000"/>
              </w:rPr>
            </w:pPr>
            <w:r w:rsidRPr="00344DFC">
              <w:rPr>
                <w:color w:val="000000"/>
              </w:rPr>
              <w:t>8.1</w:t>
            </w:r>
          </w:p>
        </w:tc>
        <w:tc>
          <w:tcPr>
            <w:tcW w:w="928" w:type="dxa"/>
            <w:tcBorders>
              <w:top w:val="single" w:sz="4" w:space="0" w:color="auto"/>
            </w:tcBorders>
            <w:shd w:val="clear" w:color="auto" w:fill="auto"/>
          </w:tcPr>
          <w:p w14:paraId="09838A3B" w14:textId="77777777" w:rsidR="00F44AA4" w:rsidRPr="00344DFC" w:rsidRDefault="00F44AA4" w:rsidP="00F44AA4">
            <w:pPr>
              <w:jc w:val="center"/>
              <w:rPr>
                <w:color w:val="000000"/>
              </w:rPr>
            </w:pPr>
            <w:r w:rsidRPr="00344DFC">
              <w:rPr>
                <w:color w:val="000000"/>
              </w:rPr>
              <w:t>1.51</w:t>
            </w:r>
          </w:p>
        </w:tc>
        <w:tc>
          <w:tcPr>
            <w:tcW w:w="1269" w:type="dxa"/>
            <w:tcBorders>
              <w:top w:val="single" w:sz="4" w:space="0" w:color="auto"/>
            </w:tcBorders>
            <w:shd w:val="clear" w:color="auto" w:fill="auto"/>
          </w:tcPr>
          <w:p w14:paraId="165AAAE4" w14:textId="77777777" w:rsidR="00F44AA4" w:rsidRPr="00612620" w:rsidRDefault="00F44AA4" w:rsidP="00F44AA4">
            <w:pPr>
              <w:jc w:val="center"/>
              <w:rPr>
                <w:color w:val="000000"/>
                <w:sz w:val="22"/>
              </w:rPr>
            </w:pPr>
            <w:r w:rsidRPr="00612620">
              <w:rPr>
                <w:color w:val="000000"/>
                <w:sz w:val="22"/>
              </w:rPr>
              <w:t>1.03 – 2.19</w:t>
            </w:r>
          </w:p>
        </w:tc>
        <w:tc>
          <w:tcPr>
            <w:tcW w:w="930" w:type="dxa"/>
            <w:tcBorders>
              <w:top w:val="single" w:sz="4" w:space="0" w:color="auto"/>
            </w:tcBorders>
            <w:shd w:val="clear" w:color="auto" w:fill="auto"/>
          </w:tcPr>
          <w:p w14:paraId="2F5A9BCF" w14:textId="77777777" w:rsidR="00F44AA4" w:rsidRPr="00344DFC" w:rsidRDefault="00F44AA4" w:rsidP="00F44AA4">
            <w:pPr>
              <w:jc w:val="center"/>
              <w:rPr>
                <w:color w:val="000000"/>
              </w:rPr>
            </w:pPr>
            <w:r w:rsidRPr="00344DFC">
              <w:rPr>
                <w:color w:val="000000"/>
              </w:rPr>
              <w:t>0.03</w:t>
            </w:r>
          </w:p>
        </w:tc>
      </w:tr>
      <w:tr w:rsidR="00F44AA4" w:rsidRPr="00344DFC" w14:paraId="0F403877" w14:textId="77777777" w:rsidTr="0023752D">
        <w:tc>
          <w:tcPr>
            <w:tcW w:w="993" w:type="dxa"/>
            <w:shd w:val="clear" w:color="auto" w:fill="auto"/>
          </w:tcPr>
          <w:p w14:paraId="34072EAD" w14:textId="77777777" w:rsidR="00F44AA4" w:rsidRPr="00344DFC" w:rsidRDefault="00F44AA4" w:rsidP="00F44AA4">
            <w:pPr>
              <w:jc w:val="center"/>
              <w:rPr>
                <w:color w:val="000000"/>
              </w:rPr>
            </w:pPr>
            <w:r w:rsidRPr="00344DFC">
              <w:rPr>
                <w:color w:val="000000"/>
              </w:rPr>
              <w:t>009</w:t>
            </w:r>
          </w:p>
        </w:tc>
        <w:tc>
          <w:tcPr>
            <w:tcW w:w="992" w:type="dxa"/>
            <w:shd w:val="clear" w:color="auto" w:fill="auto"/>
          </w:tcPr>
          <w:p w14:paraId="129680F6" w14:textId="77777777" w:rsidR="00F44AA4" w:rsidRPr="00344DFC" w:rsidRDefault="00F44AA4" w:rsidP="00F44AA4">
            <w:pPr>
              <w:jc w:val="center"/>
              <w:rPr>
                <w:color w:val="000000"/>
              </w:rPr>
            </w:pPr>
            <w:r w:rsidRPr="00344DFC">
              <w:rPr>
                <w:color w:val="000000"/>
              </w:rPr>
              <w:t>001</w:t>
            </w:r>
          </w:p>
        </w:tc>
        <w:tc>
          <w:tcPr>
            <w:tcW w:w="993" w:type="dxa"/>
            <w:shd w:val="clear" w:color="auto" w:fill="auto"/>
          </w:tcPr>
          <w:p w14:paraId="32DE163D" w14:textId="77777777" w:rsidR="00F44AA4" w:rsidRPr="00344DFC" w:rsidRDefault="00F44AA4" w:rsidP="00F44AA4">
            <w:pPr>
              <w:jc w:val="center"/>
              <w:rPr>
                <w:color w:val="000000"/>
              </w:rPr>
            </w:pPr>
            <w:r w:rsidRPr="00344DFC">
              <w:rPr>
                <w:color w:val="000000"/>
              </w:rPr>
              <w:t>008</w:t>
            </w:r>
          </w:p>
        </w:tc>
        <w:tc>
          <w:tcPr>
            <w:tcW w:w="1275" w:type="dxa"/>
            <w:shd w:val="clear" w:color="auto" w:fill="auto"/>
          </w:tcPr>
          <w:p w14:paraId="0D07F6D5" w14:textId="77777777" w:rsidR="00F44AA4" w:rsidRPr="00344DFC" w:rsidRDefault="00F44AA4" w:rsidP="00F44AA4">
            <w:pPr>
              <w:jc w:val="center"/>
              <w:rPr>
                <w:color w:val="000000"/>
              </w:rPr>
            </w:pPr>
            <w:r w:rsidRPr="00344DFC">
              <w:rPr>
                <w:color w:val="000000"/>
              </w:rPr>
              <w:t>12</w:t>
            </w:r>
          </w:p>
        </w:tc>
        <w:tc>
          <w:tcPr>
            <w:tcW w:w="1347" w:type="dxa"/>
            <w:shd w:val="clear" w:color="auto" w:fill="auto"/>
          </w:tcPr>
          <w:p w14:paraId="05950699" w14:textId="77777777" w:rsidR="00F44AA4" w:rsidRPr="00344DFC" w:rsidRDefault="00F44AA4" w:rsidP="00F44AA4">
            <w:pPr>
              <w:jc w:val="center"/>
              <w:rPr>
                <w:color w:val="000000"/>
              </w:rPr>
            </w:pPr>
            <w:r w:rsidRPr="00344DFC">
              <w:rPr>
                <w:color w:val="000000"/>
              </w:rPr>
              <w:t>6.2</w:t>
            </w:r>
          </w:p>
        </w:tc>
        <w:tc>
          <w:tcPr>
            <w:tcW w:w="928" w:type="dxa"/>
            <w:shd w:val="clear" w:color="auto" w:fill="auto"/>
          </w:tcPr>
          <w:p w14:paraId="412ADE6B" w14:textId="77777777" w:rsidR="00F44AA4" w:rsidRPr="00344DFC" w:rsidRDefault="00F44AA4" w:rsidP="00F44AA4">
            <w:pPr>
              <w:jc w:val="center"/>
              <w:rPr>
                <w:color w:val="000000"/>
              </w:rPr>
            </w:pPr>
            <w:r w:rsidRPr="00344DFC">
              <w:rPr>
                <w:color w:val="000000"/>
              </w:rPr>
              <w:t>2.05</w:t>
            </w:r>
          </w:p>
        </w:tc>
        <w:tc>
          <w:tcPr>
            <w:tcW w:w="1269" w:type="dxa"/>
            <w:shd w:val="clear" w:color="auto" w:fill="auto"/>
          </w:tcPr>
          <w:p w14:paraId="24A3899C" w14:textId="77777777" w:rsidR="00F44AA4" w:rsidRPr="00612620" w:rsidRDefault="00F44AA4" w:rsidP="00F44AA4">
            <w:pPr>
              <w:jc w:val="center"/>
              <w:rPr>
                <w:color w:val="000000"/>
                <w:sz w:val="22"/>
              </w:rPr>
            </w:pPr>
            <w:r w:rsidRPr="00612620">
              <w:rPr>
                <w:color w:val="000000"/>
                <w:sz w:val="22"/>
              </w:rPr>
              <w:t>1.38 – 3.04</w:t>
            </w:r>
          </w:p>
        </w:tc>
        <w:tc>
          <w:tcPr>
            <w:tcW w:w="930" w:type="dxa"/>
            <w:shd w:val="clear" w:color="auto" w:fill="auto"/>
          </w:tcPr>
          <w:p w14:paraId="30E2FE3D" w14:textId="77777777" w:rsidR="00F44AA4" w:rsidRPr="00344DFC" w:rsidRDefault="00F44AA4" w:rsidP="00F44AA4">
            <w:pPr>
              <w:jc w:val="center"/>
              <w:rPr>
                <w:color w:val="000000"/>
              </w:rPr>
            </w:pPr>
            <w:r w:rsidRPr="00344DFC">
              <w:rPr>
                <w:color w:val="000000"/>
              </w:rPr>
              <w:t>0.0002</w:t>
            </w:r>
          </w:p>
        </w:tc>
      </w:tr>
      <w:tr w:rsidR="00F44AA4" w:rsidRPr="00344DFC" w14:paraId="22A68777" w14:textId="77777777" w:rsidTr="0023752D">
        <w:tc>
          <w:tcPr>
            <w:tcW w:w="993" w:type="dxa"/>
            <w:shd w:val="clear" w:color="auto" w:fill="auto"/>
          </w:tcPr>
          <w:p w14:paraId="2DC2D997" w14:textId="77777777" w:rsidR="00F44AA4" w:rsidRPr="00344DFC" w:rsidRDefault="00F44AA4" w:rsidP="00F44AA4">
            <w:pPr>
              <w:jc w:val="center"/>
              <w:rPr>
                <w:color w:val="000000"/>
              </w:rPr>
            </w:pPr>
            <w:r w:rsidRPr="00344DFC">
              <w:rPr>
                <w:color w:val="000000"/>
              </w:rPr>
              <w:t>015</w:t>
            </w:r>
          </w:p>
        </w:tc>
        <w:tc>
          <w:tcPr>
            <w:tcW w:w="992" w:type="dxa"/>
            <w:shd w:val="clear" w:color="auto" w:fill="auto"/>
          </w:tcPr>
          <w:p w14:paraId="27223DB7" w14:textId="77777777" w:rsidR="00F44AA4" w:rsidRPr="00344DFC" w:rsidRDefault="00F44AA4" w:rsidP="00F44AA4">
            <w:pPr>
              <w:jc w:val="center"/>
              <w:rPr>
                <w:color w:val="000000"/>
              </w:rPr>
            </w:pPr>
            <w:r w:rsidRPr="00344DFC">
              <w:rPr>
                <w:color w:val="000000"/>
              </w:rPr>
              <w:t>006</w:t>
            </w:r>
          </w:p>
        </w:tc>
        <w:tc>
          <w:tcPr>
            <w:tcW w:w="993" w:type="dxa"/>
            <w:shd w:val="clear" w:color="auto" w:fill="auto"/>
          </w:tcPr>
          <w:p w14:paraId="67A6505F" w14:textId="77777777" w:rsidR="00F44AA4" w:rsidRPr="00344DFC" w:rsidRDefault="00F44AA4" w:rsidP="00F44AA4">
            <w:pPr>
              <w:jc w:val="center"/>
              <w:rPr>
                <w:color w:val="000000"/>
              </w:rPr>
            </w:pPr>
            <w:r w:rsidRPr="00344DFC">
              <w:rPr>
                <w:color w:val="000000"/>
              </w:rPr>
              <w:t>023</w:t>
            </w:r>
          </w:p>
        </w:tc>
        <w:tc>
          <w:tcPr>
            <w:tcW w:w="1275" w:type="dxa"/>
            <w:shd w:val="clear" w:color="auto" w:fill="auto"/>
          </w:tcPr>
          <w:p w14:paraId="726643DF" w14:textId="77777777" w:rsidR="00F44AA4" w:rsidRPr="00344DFC" w:rsidRDefault="00F44AA4" w:rsidP="00F44AA4">
            <w:pPr>
              <w:jc w:val="center"/>
              <w:rPr>
                <w:color w:val="000000"/>
              </w:rPr>
            </w:pPr>
            <w:r w:rsidRPr="00344DFC">
              <w:rPr>
                <w:color w:val="000000"/>
              </w:rPr>
              <w:t>34.4</w:t>
            </w:r>
          </w:p>
        </w:tc>
        <w:tc>
          <w:tcPr>
            <w:tcW w:w="1347" w:type="dxa"/>
            <w:shd w:val="clear" w:color="auto" w:fill="auto"/>
          </w:tcPr>
          <w:p w14:paraId="5846A969" w14:textId="77777777" w:rsidR="00F44AA4" w:rsidRPr="00344DFC" w:rsidRDefault="00F44AA4" w:rsidP="00F44AA4">
            <w:pPr>
              <w:jc w:val="center"/>
              <w:rPr>
                <w:color w:val="000000"/>
              </w:rPr>
            </w:pPr>
            <w:r w:rsidRPr="00344DFC">
              <w:rPr>
                <w:color w:val="000000"/>
              </w:rPr>
              <w:t>25.6</w:t>
            </w:r>
          </w:p>
        </w:tc>
        <w:tc>
          <w:tcPr>
            <w:tcW w:w="928" w:type="dxa"/>
            <w:shd w:val="clear" w:color="auto" w:fill="auto"/>
          </w:tcPr>
          <w:p w14:paraId="29DE1476" w14:textId="77777777" w:rsidR="00F44AA4" w:rsidRPr="00344DFC" w:rsidRDefault="00F44AA4" w:rsidP="00F44AA4">
            <w:pPr>
              <w:jc w:val="center"/>
              <w:rPr>
                <w:color w:val="000000"/>
              </w:rPr>
            </w:pPr>
            <w:r w:rsidRPr="00344DFC">
              <w:rPr>
                <w:color w:val="000000"/>
              </w:rPr>
              <w:t>1.52</w:t>
            </w:r>
          </w:p>
        </w:tc>
        <w:tc>
          <w:tcPr>
            <w:tcW w:w="1269" w:type="dxa"/>
            <w:shd w:val="clear" w:color="auto" w:fill="auto"/>
          </w:tcPr>
          <w:p w14:paraId="47C3BB3F" w14:textId="77777777" w:rsidR="00F44AA4" w:rsidRPr="00612620" w:rsidRDefault="00F44AA4" w:rsidP="00F44AA4">
            <w:pPr>
              <w:jc w:val="center"/>
              <w:rPr>
                <w:color w:val="000000"/>
                <w:sz w:val="22"/>
              </w:rPr>
            </w:pPr>
            <w:r w:rsidRPr="00612620">
              <w:rPr>
                <w:color w:val="000000"/>
                <w:sz w:val="22"/>
              </w:rPr>
              <w:t>1.19-1.94</w:t>
            </w:r>
          </w:p>
        </w:tc>
        <w:tc>
          <w:tcPr>
            <w:tcW w:w="930" w:type="dxa"/>
            <w:shd w:val="clear" w:color="auto" w:fill="auto"/>
          </w:tcPr>
          <w:p w14:paraId="3AF34B8F" w14:textId="77777777" w:rsidR="00F44AA4" w:rsidRPr="00344DFC" w:rsidRDefault="00F44AA4" w:rsidP="00F44AA4">
            <w:pPr>
              <w:jc w:val="center"/>
              <w:rPr>
                <w:color w:val="000000"/>
              </w:rPr>
            </w:pPr>
            <w:r w:rsidRPr="00344DFC">
              <w:rPr>
                <w:color w:val="000000"/>
              </w:rPr>
              <w:t>0.0006</w:t>
            </w:r>
          </w:p>
        </w:tc>
      </w:tr>
    </w:tbl>
    <w:p w14:paraId="3BBDCCCE" w14:textId="62DD99FF" w:rsidR="00EA6F7A" w:rsidRPr="00344DFC" w:rsidRDefault="00EA6F7A" w:rsidP="00F44AA4">
      <w:pPr>
        <w:spacing w:line="480" w:lineRule="auto"/>
        <w:jc w:val="both"/>
        <w:rPr>
          <w:color w:val="000000"/>
        </w:rPr>
      </w:pPr>
      <w:r w:rsidRPr="00344DFC">
        <w:rPr>
          <w:color w:val="000000"/>
        </w:rPr>
        <w:t xml:space="preserve">Frequencies of three-locus DLA haplotypes found at increased frequency in diabetic dogs vs. controls </w:t>
      </w:r>
      <w:r w:rsidRPr="00344DFC">
        <w:rPr>
          <w:noProof/>
          <w:color w:val="000000"/>
        </w:rPr>
        <w:t>(Kennedy et al., 2006)</w:t>
      </w:r>
      <w:r w:rsidRPr="00344DFC">
        <w:rPr>
          <w:color w:val="000000"/>
        </w:rPr>
        <w:t>.</w:t>
      </w:r>
      <w:r w:rsidRPr="00344DFC">
        <w:br w:type="page"/>
      </w:r>
    </w:p>
    <w:p w14:paraId="2311064D" w14:textId="026B5A4B" w:rsidR="00F44AA4" w:rsidRPr="00344DFC" w:rsidRDefault="00F44AA4" w:rsidP="00F44AA4">
      <w:pPr>
        <w:autoSpaceDE w:val="0"/>
        <w:autoSpaceDN w:val="0"/>
        <w:adjustRightInd w:val="0"/>
        <w:spacing w:line="480" w:lineRule="auto"/>
        <w:jc w:val="both"/>
        <w:rPr>
          <w:b/>
          <w:color w:val="000000"/>
          <w:lang w:val="en-US"/>
        </w:rPr>
      </w:pPr>
      <w:r w:rsidRPr="00344DFC">
        <w:rPr>
          <w:b/>
          <w:color w:val="000000"/>
          <w:lang w:val="en-US"/>
        </w:rPr>
        <w:lastRenderedPageBreak/>
        <w:t xml:space="preserve">Figure </w:t>
      </w:r>
      <w:r w:rsidR="0021603E">
        <w:rPr>
          <w:b/>
          <w:color w:val="000000"/>
          <w:lang w:val="en-US"/>
        </w:rPr>
        <w:t>l</w:t>
      </w:r>
      <w:r w:rsidRPr="00344DFC">
        <w:rPr>
          <w:b/>
          <w:color w:val="000000"/>
          <w:lang w:val="en-US"/>
        </w:rPr>
        <w:t>egends</w:t>
      </w:r>
    </w:p>
    <w:p w14:paraId="6DC12907" w14:textId="77777777" w:rsidR="00F44AA4" w:rsidRPr="00344DFC" w:rsidRDefault="00F44AA4" w:rsidP="00F44AA4">
      <w:pPr>
        <w:autoSpaceDE w:val="0"/>
        <w:autoSpaceDN w:val="0"/>
        <w:adjustRightInd w:val="0"/>
        <w:spacing w:line="480" w:lineRule="auto"/>
        <w:jc w:val="both"/>
        <w:rPr>
          <w:b/>
          <w:color w:val="000000"/>
          <w:lang w:val="en-US"/>
        </w:rPr>
      </w:pPr>
    </w:p>
    <w:p w14:paraId="01FE372B" w14:textId="72D8BA51" w:rsidR="000D2040" w:rsidRPr="00344DFC" w:rsidRDefault="000D2040" w:rsidP="00F44AA4">
      <w:pPr>
        <w:autoSpaceDE w:val="0"/>
        <w:autoSpaceDN w:val="0"/>
        <w:adjustRightInd w:val="0"/>
        <w:spacing w:line="480" w:lineRule="auto"/>
        <w:jc w:val="both"/>
        <w:rPr>
          <w:color w:val="000000"/>
          <w:lang w:val="en-US"/>
        </w:rPr>
      </w:pPr>
      <w:r w:rsidRPr="00344DFC">
        <w:rPr>
          <w:color w:val="000000"/>
          <w:lang w:val="en-US"/>
        </w:rPr>
        <w:t>Fig. 1</w:t>
      </w:r>
      <w:r w:rsidR="00F44AA4" w:rsidRPr="00344DFC">
        <w:rPr>
          <w:color w:val="000000"/>
          <w:lang w:val="en-US"/>
        </w:rPr>
        <w:t>.</w:t>
      </w:r>
      <w:r w:rsidRPr="00344DFC">
        <w:rPr>
          <w:color w:val="000000"/>
          <w:lang w:val="en-US"/>
        </w:rPr>
        <w:t xml:space="preserve"> Examples of techniques for </w:t>
      </w:r>
      <w:r w:rsidR="00741597" w:rsidRPr="00344DFC">
        <w:rPr>
          <w:color w:val="000000"/>
          <w:lang w:val="en-US"/>
        </w:rPr>
        <w:t xml:space="preserve">the </w:t>
      </w:r>
      <w:r w:rsidRPr="00344DFC">
        <w:rPr>
          <w:color w:val="000000"/>
          <w:lang w:val="en-US"/>
        </w:rPr>
        <w:t>study of genetic disease</w:t>
      </w:r>
      <w:r w:rsidR="00F44AA4" w:rsidRPr="00344DFC">
        <w:rPr>
          <w:color w:val="000000"/>
          <w:lang w:val="en-US"/>
        </w:rPr>
        <w:t>.</w:t>
      </w:r>
    </w:p>
    <w:p w14:paraId="10970D98" w14:textId="77777777" w:rsidR="00EA6095" w:rsidRPr="00344DFC" w:rsidRDefault="00EA6095" w:rsidP="00F44AA4">
      <w:pPr>
        <w:autoSpaceDE w:val="0"/>
        <w:autoSpaceDN w:val="0"/>
        <w:adjustRightInd w:val="0"/>
        <w:spacing w:line="480" w:lineRule="auto"/>
        <w:jc w:val="both"/>
        <w:rPr>
          <w:color w:val="000000"/>
          <w:lang w:val="en-US"/>
        </w:rPr>
      </w:pPr>
    </w:p>
    <w:p w14:paraId="2FA07A4E" w14:textId="3846AF24" w:rsidR="00EA6095" w:rsidRPr="00344DFC" w:rsidRDefault="00EA6095" w:rsidP="00F44AA4">
      <w:pPr>
        <w:spacing w:line="480" w:lineRule="auto"/>
        <w:rPr>
          <w:color w:val="000000"/>
        </w:rPr>
      </w:pPr>
      <w:r w:rsidRPr="00344DFC">
        <w:t>Fig. 2</w:t>
      </w:r>
      <w:r w:rsidR="00F44AA4" w:rsidRPr="00344DFC">
        <w:t>.</w:t>
      </w:r>
      <w:r w:rsidRPr="00344DFC">
        <w:t xml:space="preserve"> The major histocompatibility complex (MHC)</w:t>
      </w:r>
      <w:r w:rsidR="00F44AA4" w:rsidRPr="00344DFC">
        <w:t>.</w:t>
      </w:r>
    </w:p>
    <w:p w14:paraId="08726B3F" w14:textId="77777777" w:rsidR="00EA6F7A" w:rsidRPr="00344DFC" w:rsidRDefault="00EA6F7A" w:rsidP="00F44AA4">
      <w:pPr>
        <w:spacing w:line="480" w:lineRule="auto"/>
        <w:rPr>
          <w:color w:val="000000"/>
        </w:rPr>
      </w:pPr>
    </w:p>
    <w:p w14:paraId="01BA240B" w14:textId="6571A6F5" w:rsidR="003C0062" w:rsidRPr="0021603E" w:rsidRDefault="005B10B7" w:rsidP="00F44AA4">
      <w:pPr>
        <w:spacing w:line="480" w:lineRule="auto"/>
        <w:rPr>
          <w:color w:val="000000"/>
        </w:rPr>
      </w:pPr>
      <w:r w:rsidRPr="00344DFC">
        <w:rPr>
          <w:bCs/>
          <w:lang w:val="en-US"/>
        </w:rPr>
        <w:t>Fig. 3</w:t>
      </w:r>
      <w:r w:rsidR="00F44AA4" w:rsidRPr="00344DFC">
        <w:rPr>
          <w:bCs/>
          <w:lang w:val="en-US"/>
        </w:rPr>
        <w:t>.</w:t>
      </w:r>
      <w:r w:rsidRPr="00344DFC">
        <w:rPr>
          <w:bCs/>
          <w:lang w:val="en-US"/>
        </w:rPr>
        <w:t xml:space="preserve"> Selected examples of genes in which variants have been associated with (a) human type 1, type 2 or monogenic </w:t>
      </w:r>
      <w:r w:rsidR="0021603E">
        <w:rPr>
          <w:bCs/>
          <w:lang w:val="en-US"/>
        </w:rPr>
        <w:t>diabetes mellitus (</w:t>
      </w:r>
      <w:r w:rsidRPr="00344DFC">
        <w:rPr>
          <w:bCs/>
          <w:lang w:val="en-US"/>
        </w:rPr>
        <w:t>DM</w:t>
      </w:r>
      <w:r w:rsidR="0021603E">
        <w:rPr>
          <w:bCs/>
          <w:lang w:val="en-US"/>
        </w:rPr>
        <w:t>)</w:t>
      </w:r>
      <w:r w:rsidRPr="00344DFC">
        <w:rPr>
          <w:bCs/>
          <w:lang w:val="en-US"/>
        </w:rPr>
        <w:t xml:space="preserve"> or (b) canine DM. </w:t>
      </w:r>
      <w:r w:rsidRPr="00344DFC">
        <w:rPr>
          <w:lang w:val="en-US"/>
        </w:rPr>
        <w:t>Examples are not a comprehensive list since, in humans, there are more than 60 genes associated with type 1 diabetes and more than 200 associated with type 2 diabetes. Associations in dogs may have been identified in single or multiple breeds</w:t>
      </w:r>
      <w:r w:rsidR="003C0062" w:rsidRPr="00344DFC">
        <w:rPr>
          <w:lang w:val="en-US"/>
        </w:rPr>
        <w:t xml:space="preserve">. </w:t>
      </w:r>
      <w:r w:rsidR="006A72ED" w:rsidRPr="00344DFC">
        <w:rPr>
          <w:noProof/>
          <w:color w:val="000000"/>
        </w:rPr>
        <w:t>(Short et al., 2007, 2009, 2010, 2014; Catchpole et al., 2013; Gaulton, 2017; Misra and Owen, 2018; Bakay et al., 2019)</w:t>
      </w:r>
      <w:r w:rsidR="003C0062" w:rsidRPr="00344DFC">
        <w:rPr>
          <w:noProof/>
          <w:color w:val="000000"/>
        </w:rPr>
        <w:t>.</w:t>
      </w:r>
      <w:r w:rsidR="0021603E">
        <w:rPr>
          <w:color w:val="000000"/>
        </w:rPr>
        <w:t xml:space="preserve"> </w:t>
      </w:r>
      <w:r w:rsidR="003C0062" w:rsidRPr="00344DFC">
        <w:rPr>
          <w:lang w:val="en-US"/>
        </w:rPr>
        <w:t>SNP</w:t>
      </w:r>
      <w:r w:rsidR="0021603E">
        <w:rPr>
          <w:lang w:val="en-US"/>
        </w:rPr>
        <w:t>,</w:t>
      </w:r>
      <w:r w:rsidR="003C0062" w:rsidRPr="00344DFC">
        <w:rPr>
          <w:lang w:val="en-US"/>
        </w:rPr>
        <w:t xml:space="preserve"> single nucleotide polymorphism</w:t>
      </w:r>
      <w:r w:rsidR="0021603E">
        <w:rPr>
          <w:lang w:val="en-US"/>
        </w:rPr>
        <w:t>;</w:t>
      </w:r>
      <w:r w:rsidR="003C0062" w:rsidRPr="00344DFC">
        <w:rPr>
          <w:lang w:val="en-US"/>
        </w:rPr>
        <w:t xml:space="preserve"> VNTR</w:t>
      </w:r>
      <w:r w:rsidR="0021603E">
        <w:rPr>
          <w:lang w:val="en-US"/>
        </w:rPr>
        <w:t>,</w:t>
      </w:r>
      <w:r w:rsidR="003C0062" w:rsidRPr="00344DFC">
        <w:rPr>
          <w:lang w:val="en-US"/>
        </w:rPr>
        <w:t xml:space="preserve"> variable number tandem repeat.</w:t>
      </w:r>
    </w:p>
    <w:p w14:paraId="5F835AD1" w14:textId="1DA8191F" w:rsidR="00201A5D" w:rsidRPr="00344DFC" w:rsidRDefault="00201A5D" w:rsidP="00F44AA4">
      <w:pPr>
        <w:spacing w:line="480" w:lineRule="auto"/>
        <w:rPr>
          <w:lang w:val="en-US"/>
        </w:rPr>
      </w:pPr>
    </w:p>
    <w:p w14:paraId="0D96CF18" w14:textId="16CDC3D6" w:rsidR="009B708F" w:rsidRPr="00344DFC" w:rsidRDefault="00BD0325" w:rsidP="00F44AA4">
      <w:pPr>
        <w:spacing w:line="480" w:lineRule="auto"/>
      </w:pPr>
      <w:r w:rsidRPr="00344DFC">
        <w:t xml:space="preserve">Fig. </w:t>
      </w:r>
      <w:r w:rsidR="00C83D74" w:rsidRPr="00344DFC">
        <w:t>4</w:t>
      </w:r>
      <w:r w:rsidR="00F44AA4" w:rsidRPr="00344DFC">
        <w:t>.</w:t>
      </w:r>
      <w:r w:rsidRPr="00344DFC">
        <w:t xml:space="preserve"> Illustration of canine MHC genes and proteins. </w:t>
      </w:r>
      <w:r w:rsidR="00763771" w:rsidRPr="00344DFC">
        <w:t xml:space="preserve">The canine MHC class I and class II genes (also known as Dog Leukocyte Antigen </w:t>
      </w:r>
      <w:r w:rsidR="0066753C">
        <w:t xml:space="preserve">or DLA </w:t>
      </w:r>
      <w:r w:rsidR="00763771" w:rsidRPr="00344DFC">
        <w:t>genes) are located on chromosome 12; functional antigen presenting genes are illustrated</w:t>
      </w:r>
      <w:r w:rsidR="00584BC5" w:rsidRPr="00344DFC">
        <w:t xml:space="preserve"> (Debenham et al., 2005)</w:t>
      </w:r>
      <w:r w:rsidR="00763771" w:rsidRPr="00344DFC">
        <w:t xml:space="preserve">. MHC proteins encoded by these genes are expressed on the cell surface; examples are shown. MHC class II proteins are formed by two subunits, encoded by two neighbouring genes (e.g. DLA-DRA1 and -DRB1) whereas the </w:t>
      </w:r>
      <w:r w:rsidR="00763771" w:rsidRPr="00344DFC">
        <w:sym w:font="Symbol" w:char="F061"/>
      </w:r>
      <w:r w:rsidR="00763771" w:rsidRPr="00344DFC">
        <w:t xml:space="preserve">-chain of a class I molecule is encoded by a single DLA gene (e.g. DLA-88). Exon 2 of the DLA genes encodes the hypervariable region of the antigen binding groove, which mediates antigen presentation to T cells, to influence the immune response. </w:t>
      </w:r>
    </w:p>
    <w:sectPr w:rsidR="009B708F" w:rsidRPr="00344DFC" w:rsidSect="002D5836">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AC9C" w14:textId="77777777" w:rsidR="00330ED1" w:rsidRDefault="00330ED1" w:rsidP="000D2040">
      <w:r>
        <w:separator/>
      </w:r>
    </w:p>
  </w:endnote>
  <w:endnote w:type="continuationSeparator" w:id="0">
    <w:p w14:paraId="5F37361A" w14:textId="77777777" w:rsidR="00330ED1" w:rsidRDefault="00330ED1" w:rsidP="000D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C1BD" w14:textId="77777777" w:rsidR="00330ED1" w:rsidRDefault="00330ED1" w:rsidP="000D2040">
      <w:r>
        <w:separator/>
      </w:r>
    </w:p>
  </w:footnote>
  <w:footnote w:type="continuationSeparator" w:id="0">
    <w:p w14:paraId="19280171" w14:textId="77777777" w:rsidR="00330ED1" w:rsidRDefault="00330ED1" w:rsidP="000D2040">
      <w:r>
        <w:continuationSeparator/>
      </w:r>
    </w:p>
  </w:footnote>
  <w:footnote w:id="1">
    <w:p w14:paraId="277F9CAC" w14:textId="0C30F326" w:rsidR="00D2279A" w:rsidRPr="00E27E13" w:rsidRDefault="00D2279A" w:rsidP="006B0A7F">
      <w:pPr>
        <w:rPr>
          <w:color w:val="000000" w:themeColor="text1"/>
          <w:sz w:val="20"/>
          <w:szCs w:val="20"/>
        </w:rPr>
      </w:pPr>
      <w:r w:rsidRPr="00E27E13">
        <w:rPr>
          <w:rStyle w:val="FootnoteReference"/>
          <w:color w:val="000000" w:themeColor="text1"/>
          <w:sz w:val="20"/>
          <w:szCs w:val="20"/>
        </w:rPr>
        <w:footnoteRef/>
      </w:r>
      <w:r w:rsidRPr="00E27E13">
        <w:rPr>
          <w:color w:val="000000" w:themeColor="text1"/>
          <w:sz w:val="20"/>
          <w:szCs w:val="20"/>
        </w:rPr>
        <w:t xml:space="preserve"> See</w:t>
      </w:r>
      <w:r w:rsidR="006B0A7F" w:rsidRPr="00E27E13">
        <w:rPr>
          <w:color w:val="000000" w:themeColor="text1"/>
          <w:sz w:val="20"/>
          <w:szCs w:val="20"/>
        </w:rPr>
        <w:t>:</w:t>
      </w:r>
      <w:r w:rsidRPr="00E27E13">
        <w:rPr>
          <w:color w:val="000000" w:themeColor="text1"/>
          <w:sz w:val="20"/>
          <w:szCs w:val="20"/>
        </w:rPr>
        <w:t xml:space="preserve"> Online Mendelian Inheritance in Man (OMIM)</w:t>
      </w:r>
      <w:r w:rsidR="00E27E13">
        <w:rPr>
          <w:color w:val="000000" w:themeColor="text1"/>
          <w:sz w:val="20"/>
          <w:szCs w:val="20"/>
        </w:rPr>
        <w:t>.</w:t>
      </w:r>
      <w:r w:rsidRPr="00E27E13">
        <w:rPr>
          <w:color w:val="4472C4" w:themeColor="accent1"/>
          <w:sz w:val="20"/>
          <w:szCs w:val="20"/>
        </w:rPr>
        <w:t xml:space="preserve"> </w:t>
      </w:r>
      <w:hyperlink r:id="rId1" w:history="1">
        <w:r w:rsidRPr="00E27E13">
          <w:rPr>
            <w:rStyle w:val="Hyperlink"/>
            <w:color w:val="4472C4" w:themeColor="accent1"/>
            <w:sz w:val="20"/>
            <w:szCs w:val="20"/>
          </w:rPr>
          <w:t>https://www.omim.org/</w:t>
        </w:r>
      </w:hyperlink>
      <w:r w:rsidRPr="00E27E13">
        <w:rPr>
          <w:color w:val="4472C4" w:themeColor="accent1"/>
          <w:sz w:val="20"/>
          <w:szCs w:val="20"/>
        </w:rPr>
        <w:t xml:space="preserve"> </w:t>
      </w:r>
      <w:r w:rsidRPr="00E27E13">
        <w:rPr>
          <w:color w:val="000000" w:themeColor="text1"/>
          <w:sz w:val="20"/>
          <w:szCs w:val="20"/>
        </w:rPr>
        <w:t>(</w:t>
      </w:r>
      <w:r w:rsidR="00E27E13">
        <w:rPr>
          <w:color w:val="000000" w:themeColor="text1"/>
          <w:sz w:val="20"/>
          <w:szCs w:val="20"/>
        </w:rPr>
        <w:t>A</w:t>
      </w:r>
      <w:r w:rsidRPr="00E27E13">
        <w:rPr>
          <w:color w:val="000000" w:themeColor="text1"/>
          <w:sz w:val="20"/>
          <w:szCs w:val="20"/>
        </w:rPr>
        <w:t>ccessed</w:t>
      </w:r>
      <w:r w:rsidR="00E27E13">
        <w:rPr>
          <w:color w:val="000000" w:themeColor="text1"/>
          <w:sz w:val="20"/>
          <w:szCs w:val="20"/>
        </w:rPr>
        <w:t xml:space="preserve"> 7 January 2021</w:t>
      </w:r>
      <w:r w:rsidRPr="00E27E13">
        <w:rPr>
          <w:color w:val="000000" w:themeColor="text1"/>
          <w:sz w:val="20"/>
          <w:szCs w:val="20"/>
        </w:rPr>
        <w:t>)</w:t>
      </w:r>
    </w:p>
  </w:footnote>
  <w:footnote w:id="2">
    <w:p w14:paraId="20CFE442" w14:textId="6692FABF" w:rsidR="00D2279A" w:rsidRPr="00E27E13" w:rsidRDefault="00D2279A" w:rsidP="00A85C9D">
      <w:pPr>
        <w:rPr>
          <w:sz w:val="20"/>
          <w:szCs w:val="20"/>
        </w:rPr>
      </w:pPr>
      <w:r w:rsidRPr="00E27E13">
        <w:rPr>
          <w:rStyle w:val="FootnoteReference"/>
          <w:sz w:val="20"/>
          <w:szCs w:val="20"/>
        </w:rPr>
        <w:footnoteRef/>
      </w:r>
      <w:r w:rsidR="00325EDE" w:rsidRPr="00E27E13">
        <w:rPr>
          <w:sz w:val="20"/>
          <w:szCs w:val="20"/>
        </w:rPr>
        <w:t xml:space="preserve"> </w:t>
      </w:r>
      <w:r w:rsidRPr="00E27E13">
        <w:rPr>
          <w:sz w:val="20"/>
          <w:szCs w:val="20"/>
        </w:rPr>
        <w:t>See: Dog Genome SNP Database</w:t>
      </w:r>
      <w:r w:rsidR="001A2693">
        <w:rPr>
          <w:sz w:val="20"/>
          <w:szCs w:val="20"/>
        </w:rPr>
        <w:t>.</w:t>
      </w:r>
      <w:r w:rsidRPr="00E27E13">
        <w:rPr>
          <w:sz w:val="20"/>
          <w:szCs w:val="20"/>
        </w:rPr>
        <w:t xml:space="preserve"> </w:t>
      </w:r>
      <w:hyperlink r:id="rId2" w:history="1">
        <w:r w:rsidRPr="00E27E13">
          <w:rPr>
            <w:rStyle w:val="Hyperlink"/>
            <w:sz w:val="20"/>
            <w:szCs w:val="20"/>
          </w:rPr>
          <w:t>http://bigd.big.ac.cn/dogsdv2/</w:t>
        </w:r>
      </w:hyperlink>
      <w:r w:rsidRPr="00E27E13">
        <w:rPr>
          <w:sz w:val="20"/>
          <w:szCs w:val="20"/>
        </w:rPr>
        <w:t xml:space="preserve"> (</w:t>
      </w:r>
      <w:r w:rsidR="00E27E13" w:rsidRPr="00E27E13">
        <w:rPr>
          <w:color w:val="000000" w:themeColor="text1"/>
          <w:sz w:val="20"/>
          <w:szCs w:val="20"/>
        </w:rPr>
        <w:t>Accessed 7 January 2021</w:t>
      </w:r>
      <w:r w:rsidRPr="00E27E13">
        <w:rPr>
          <w:sz w:val="20"/>
          <w:szCs w:val="20"/>
        </w:rPr>
        <w:t>)</w:t>
      </w:r>
    </w:p>
  </w:footnote>
  <w:footnote w:id="3">
    <w:p w14:paraId="294ABBCB" w14:textId="4A77876B" w:rsidR="00D2279A" w:rsidRPr="00E27E13" w:rsidRDefault="00D2279A">
      <w:pPr>
        <w:pStyle w:val="FootnoteText"/>
        <w:rPr>
          <w:rFonts w:ascii="Times New Roman" w:hAnsi="Times New Roman"/>
        </w:rPr>
      </w:pPr>
      <w:r w:rsidRPr="00E27E13">
        <w:rPr>
          <w:rStyle w:val="FootnoteReference"/>
          <w:rFonts w:ascii="Times New Roman" w:hAnsi="Times New Roman"/>
        </w:rPr>
        <w:footnoteRef/>
      </w:r>
      <w:r w:rsidRPr="00E27E13">
        <w:rPr>
          <w:rFonts w:ascii="Times New Roman" w:hAnsi="Times New Roman"/>
        </w:rPr>
        <w:t xml:space="preserve"> See: Dog 10k Genomes Project</w:t>
      </w:r>
      <w:r w:rsidR="001A2693">
        <w:rPr>
          <w:rFonts w:ascii="Times New Roman" w:hAnsi="Times New Roman"/>
        </w:rPr>
        <w:t>.</w:t>
      </w:r>
      <w:r w:rsidRPr="00E27E13">
        <w:rPr>
          <w:rFonts w:ascii="Times New Roman" w:hAnsi="Times New Roman"/>
        </w:rPr>
        <w:t xml:space="preserve"> </w:t>
      </w:r>
      <w:hyperlink r:id="rId3" w:history="1">
        <w:r w:rsidRPr="00E27E13">
          <w:rPr>
            <w:rStyle w:val="Hyperlink"/>
            <w:rFonts w:ascii="Times New Roman" w:hAnsi="Times New Roman"/>
          </w:rPr>
          <w:t>http://www.dog10kgenomes.org/</w:t>
        </w:r>
      </w:hyperlink>
      <w:r w:rsidRPr="00E27E13">
        <w:rPr>
          <w:rFonts w:ascii="Times New Roman" w:hAnsi="Times New Roman"/>
        </w:rPr>
        <w:t xml:space="preserve"> (</w:t>
      </w:r>
      <w:r w:rsidR="00E27E13" w:rsidRPr="00E27E13">
        <w:rPr>
          <w:rFonts w:ascii="Times New Roman" w:hAnsi="Times New Roman"/>
          <w:color w:val="000000" w:themeColor="text1"/>
        </w:rPr>
        <w:t>Accessed 7 January 2021</w:t>
      </w:r>
      <w:r w:rsidRPr="00E27E13">
        <w:rPr>
          <w:rFonts w:ascii="Times New Roman" w:hAnsi="Times New Roman"/>
        </w:rPr>
        <w:t xml:space="preserve">) </w:t>
      </w:r>
    </w:p>
  </w:footnote>
  <w:footnote w:id="4">
    <w:p w14:paraId="23FC6E0C" w14:textId="2D54B34A" w:rsidR="00D2279A" w:rsidRPr="00E27E13" w:rsidRDefault="00D2279A">
      <w:pPr>
        <w:pStyle w:val="FootnoteText"/>
        <w:rPr>
          <w:rFonts w:ascii="Times New Roman" w:hAnsi="Times New Roman"/>
          <w:color w:val="000000" w:themeColor="text1"/>
          <w:sz w:val="18"/>
          <w:szCs w:val="18"/>
        </w:rPr>
      </w:pPr>
      <w:r w:rsidRPr="00E27E13">
        <w:rPr>
          <w:rStyle w:val="FootnoteReference"/>
          <w:rFonts w:ascii="Times New Roman" w:hAnsi="Times New Roman"/>
          <w:sz w:val="18"/>
          <w:szCs w:val="18"/>
        </w:rPr>
        <w:footnoteRef/>
      </w:r>
      <w:r w:rsidRPr="00E27E13">
        <w:rPr>
          <w:rFonts w:ascii="Times New Roman" w:hAnsi="Times New Roman"/>
          <w:sz w:val="18"/>
          <w:szCs w:val="18"/>
        </w:rPr>
        <w:t xml:space="preserve"> </w:t>
      </w:r>
      <w:r w:rsidR="00325EDE" w:rsidRPr="00E27E13">
        <w:rPr>
          <w:rFonts w:ascii="Times New Roman" w:hAnsi="Times New Roman"/>
          <w:sz w:val="18"/>
          <w:szCs w:val="18"/>
        </w:rPr>
        <w:t xml:space="preserve">See: </w:t>
      </w:r>
      <w:r w:rsidRPr="00E27E13">
        <w:rPr>
          <w:rFonts w:ascii="Times New Roman" w:hAnsi="Times New Roman"/>
          <w:sz w:val="18"/>
          <w:szCs w:val="18"/>
        </w:rPr>
        <w:t xml:space="preserve">For submission information visit </w:t>
      </w:r>
      <w:hyperlink r:id="rId4" w:history="1">
        <w:r w:rsidRPr="00E27E13">
          <w:rPr>
            <w:rStyle w:val="Hyperlink"/>
            <w:rFonts w:ascii="Times New Roman" w:hAnsi="Times New Roman"/>
            <w:sz w:val="18"/>
            <w:szCs w:val="18"/>
          </w:rPr>
          <w:t>https://www.rvc.ac.uk/diabetesregister/</w:t>
        </w:r>
      </w:hyperlink>
      <w:r w:rsidRPr="00E27E13">
        <w:rPr>
          <w:rFonts w:ascii="Times New Roman" w:hAnsi="Times New Roman"/>
          <w:color w:val="000000"/>
          <w:sz w:val="18"/>
          <w:szCs w:val="18"/>
        </w:rPr>
        <w:t xml:space="preserve"> </w:t>
      </w:r>
      <w:r w:rsidRPr="00E27E13">
        <w:rPr>
          <w:rFonts w:ascii="Times New Roman" w:hAnsi="Times New Roman"/>
          <w:color w:val="000000" w:themeColor="text1"/>
          <w:sz w:val="18"/>
          <w:szCs w:val="18"/>
        </w:rPr>
        <w:t>(</w:t>
      </w:r>
      <w:r w:rsidR="00E27E13" w:rsidRPr="00E27E13">
        <w:rPr>
          <w:rFonts w:ascii="Times New Roman" w:hAnsi="Times New Roman"/>
          <w:color w:val="000000" w:themeColor="text1"/>
          <w:sz w:val="18"/>
          <w:szCs w:val="18"/>
        </w:rPr>
        <w:t>Accessed 7 January 2021</w:t>
      </w:r>
      <w:r w:rsidRPr="00E27E13">
        <w:rPr>
          <w:rFonts w:ascii="Times New Roman" w:hAnsi="Times New Roman"/>
          <w:color w:val="000000" w:themeColor="text1"/>
          <w:sz w:val="18"/>
          <w:szCs w:val="18"/>
        </w:rPr>
        <w:t>)</w:t>
      </w:r>
    </w:p>
  </w:footnote>
  <w:footnote w:id="5">
    <w:p w14:paraId="33132F7E" w14:textId="40294899" w:rsidR="00D2279A" w:rsidRPr="00E27E13" w:rsidRDefault="00D2279A">
      <w:pPr>
        <w:pStyle w:val="FootnoteText"/>
        <w:rPr>
          <w:rFonts w:ascii="Times New Roman" w:hAnsi="Times New Roman"/>
          <w:color w:val="000000" w:themeColor="text1"/>
          <w:sz w:val="18"/>
          <w:szCs w:val="18"/>
        </w:rPr>
      </w:pPr>
      <w:r w:rsidRPr="00E27E13">
        <w:rPr>
          <w:rStyle w:val="FootnoteReference"/>
          <w:rFonts w:ascii="Times New Roman" w:hAnsi="Times New Roman"/>
          <w:sz w:val="18"/>
          <w:szCs w:val="18"/>
        </w:rPr>
        <w:footnoteRef/>
      </w:r>
      <w:r w:rsidRPr="00E27E13">
        <w:rPr>
          <w:rFonts w:ascii="Times New Roman" w:hAnsi="Times New Roman"/>
          <w:sz w:val="18"/>
          <w:szCs w:val="18"/>
        </w:rPr>
        <w:t xml:space="preserve"> See: Canine Diabetes Genetics Partnership</w:t>
      </w:r>
      <w:r w:rsidR="001A2693">
        <w:rPr>
          <w:rFonts w:ascii="Times New Roman" w:hAnsi="Times New Roman"/>
          <w:sz w:val="18"/>
          <w:szCs w:val="18"/>
        </w:rPr>
        <w:t>.</w:t>
      </w:r>
      <w:r w:rsidRPr="00E27E13">
        <w:rPr>
          <w:rFonts w:ascii="Times New Roman" w:hAnsi="Times New Roman"/>
          <w:sz w:val="18"/>
          <w:szCs w:val="18"/>
        </w:rPr>
        <w:t xml:space="preserve"> </w:t>
      </w:r>
      <w:hyperlink r:id="rId5" w:history="1">
        <w:r w:rsidRPr="00E27E13">
          <w:rPr>
            <w:rStyle w:val="Hyperlink"/>
            <w:rFonts w:ascii="Times New Roman" w:hAnsi="Times New Roman"/>
            <w:sz w:val="18"/>
            <w:szCs w:val="18"/>
          </w:rPr>
          <w:t>https://www.caninediabetesgenetics.org/</w:t>
        </w:r>
      </w:hyperlink>
      <w:r w:rsidRPr="00E27E13">
        <w:rPr>
          <w:rFonts w:ascii="Times New Roman" w:hAnsi="Times New Roman"/>
          <w:sz w:val="18"/>
          <w:szCs w:val="18"/>
        </w:rPr>
        <w:t xml:space="preserve"> (</w:t>
      </w:r>
      <w:r w:rsidR="00E27E13" w:rsidRPr="00E27E13">
        <w:rPr>
          <w:rFonts w:ascii="Times New Roman" w:hAnsi="Times New Roman"/>
          <w:color w:val="000000" w:themeColor="text1"/>
          <w:sz w:val="18"/>
          <w:szCs w:val="18"/>
        </w:rPr>
        <w:t>Accessed 7 January 2021</w:t>
      </w:r>
      <w:r w:rsidRPr="00E27E13">
        <w:rPr>
          <w:rFonts w:ascii="Times New Roman" w:hAnsi="Times New Roman"/>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D84"/>
    <w:multiLevelType w:val="hybridMultilevel"/>
    <w:tmpl w:val="100AB726"/>
    <w:lvl w:ilvl="0" w:tplc="C9F8CB7C">
      <w:start w:val="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70F1"/>
    <w:multiLevelType w:val="hybridMultilevel"/>
    <w:tmpl w:val="2D00D4F8"/>
    <w:lvl w:ilvl="0" w:tplc="C1EAD1B0">
      <w:start w:val="1"/>
      <w:numFmt w:val="upperRoman"/>
      <w:lvlText w:val="%1."/>
      <w:lvlJc w:val="right"/>
      <w:pPr>
        <w:tabs>
          <w:tab w:val="num" w:pos="720"/>
        </w:tabs>
        <w:ind w:left="720" w:hanging="360"/>
      </w:pPr>
    </w:lvl>
    <w:lvl w:ilvl="1" w:tplc="E1A0342C">
      <w:start w:val="1"/>
      <w:numFmt w:val="lowerLetter"/>
      <w:lvlText w:val="%2)"/>
      <w:lvlJc w:val="right"/>
      <w:pPr>
        <w:tabs>
          <w:tab w:val="num" w:pos="1440"/>
        </w:tabs>
        <w:ind w:left="1440" w:hanging="360"/>
      </w:pPr>
    </w:lvl>
    <w:lvl w:ilvl="2" w:tplc="C688F01C">
      <w:start w:val="1"/>
      <w:numFmt w:val="upperRoman"/>
      <w:lvlText w:val="%3."/>
      <w:lvlJc w:val="right"/>
      <w:pPr>
        <w:tabs>
          <w:tab w:val="num" w:pos="2160"/>
        </w:tabs>
        <w:ind w:left="2160" w:hanging="360"/>
      </w:pPr>
    </w:lvl>
    <w:lvl w:ilvl="3" w:tplc="21366D56" w:tentative="1">
      <w:start w:val="1"/>
      <w:numFmt w:val="upperRoman"/>
      <w:lvlText w:val="%4."/>
      <w:lvlJc w:val="right"/>
      <w:pPr>
        <w:tabs>
          <w:tab w:val="num" w:pos="2880"/>
        </w:tabs>
        <w:ind w:left="2880" w:hanging="360"/>
      </w:pPr>
    </w:lvl>
    <w:lvl w:ilvl="4" w:tplc="F2AAE8EC" w:tentative="1">
      <w:start w:val="1"/>
      <w:numFmt w:val="upperRoman"/>
      <w:lvlText w:val="%5."/>
      <w:lvlJc w:val="right"/>
      <w:pPr>
        <w:tabs>
          <w:tab w:val="num" w:pos="3600"/>
        </w:tabs>
        <w:ind w:left="3600" w:hanging="360"/>
      </w:pPr>
    </w:lvl>
    <w:lvl w:ilvl="5" w:tplc="2F706AC4" w:tentative="1">
      <w:start w:val="1"/>
      <w:numFmt w:val="upperRoman"/>
      <w:lvlText w:val="%6."/>
      <w:lvlJc w:val="right"/>
      <w:pPr>
        <w:tabs>
          <w:tab w:val="num" w:pos="4320"/>
        </w:tabs>
        <w:ind w:left="4320" w:hanging="360"/>
      </w:pPr>
    </w:lvl>
    <w:lvl w:ilvl="6" w:tplc="4FBE8724" w:tentative="1">
      <w:start w:val="1"/>
      <w:numFmt w:val="upperRoman"/>
      <w:lvlText w:val="%7."/>
      <w:lvlJc w:val="right"/>
      <w:pPr>
        <w:tabs>
          <w:tab w:val="num" w:pos="5040"/>
        </w:tabs>
        <w:ind w:left="5040" w:hanging="360"/>
      </w:pPr>
    </w:lvl>
    <w:lvl w:ilvl="7" w:tplc="0B0E8DB0" w:tentative="1">
      <w:start w:val="1"/>
      <w:numFmt w:val="upperRoman"/>
      <w:lvlText w:val="%8."/>
      <w:lvlJc w:val="right"/>
      <w:pPr>
        <w:tabs>
          <w:tab w:val="num" w:pos="5760"/>
        </w:tabs>
        <w:ind w:left="5760" w:hanging="360"/>
      </w:pPr>
    </w:lvl>
    <w:lvl w:ilvl="8" w:tplc="1C5A2A42" w:tentative="1">
      <w:start w:val="1"/>
      <w:numFmt w:val="upperRoman"/>
      <w:lvlText w:val="%9."/>
      <w:lvlJc w:val="right"/>
      <w:pPr>
        <w:tabs>
          <w:tab w:val="num" w:pos="6480"/>
        </w:tabs>
        <w:ind w:left="6480" w:hanging="360"/>
      </w:pPr>
    </w:lvl>
  </w:abstractNum>
  <w:abstractNum w:abstractNumId="2" w15:restartNumberingAfterBreak="0">
    <w:nsid w:val="2FD83CC6"/>
    <w:multiLevelType w:val="hybridMultilevel"/>
    <w:tmpl w:val="67B85F62"/>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60500"/>
    <w:multiLevelType w:val="hybridMultilevel"/>
    <w:tmpl w:val="E7A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D74F2"/>
    <w:multiLevelType w:val="multilevel"/>
    <w:tmpl w:val="7B5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C6857"/>
    <w:multiLevelType w:val="multilevel"/>
    <w:tmpl w:val="3AB6EBA6"/>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B4493"/>
    <w:multiLevelType w:val="hybridMultilevel"/>
    <w:tmpl w:val="041C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0172"/>
    <w:multiLevelType w:val="hybridMultilevel"/>
    <w:tmpl w:val="2CA4E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F95B6C"/>
    <w:multiLevelType w:val="hybridMultilevel"/>
    <w:tmpl w:val="3774EA56"/>
    <w:lvl w:ilvl="0" w:tplc="0A0E205E">
      <w:numFmt w:val="bullet"/>
      <w:lvlText w:val="-"/>
      <w:lvlJc w:val="left"/>
      <w:pPr>
        <w:ind w:left="420" w:hanging="360"/>
      </w:pPr>
      <w:rPr>
        <w:rFonts w:ascii="Times" w:eastAsia="Times New Roman" w:hAnsi="Time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A2121EE"/>
    <w:multiLevelType w:val="hybridMultilevel"/>
    <w:tmpl w:val="ACD28D20"/>
    <w:lvl w:ilvl="0" w:tplc="C904492C">
      <w:start w:val="8"/>
      <w:numFmt w:val="bullet"/>
      <w:lvlText w:val="-"/>
      <w:lvlJc w:val="left"/>
      <w:pPr>
        <w:ind w:left="1080" w:hanging="360"/>
      </w:pPr>
      <w:rPr>
        <w:rFonts w:ascii="Times" w:eastAsia="Times New Roman"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B649EA"/>
    <w:multiLevelType w:val="hybridMultilevel"/>
    <w:tmpl w:val="4064A718"/>
    <w:lvl w:ilvl="0" w:tplc="EA929798">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0"/>
  </w:num>
  <w:num w:numId="6">
    <w:abstractNumId w:val="9"/>
  </w:num>
  <w:num w:numId="7">
    <w:abstractNumId w:val="0"/>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41"/>
    <w:rsid w:val="00002B1C"/>
    <w:rsid w:val="00002C2B"/>
    <w:rsid w:val="0001239E"/>
    <w:rsid w:val="00022BF9"/>
    <w:rsid w:val="000231B7"/>
    <w:rsid w:val="00023255"/>
    <w:rsid w:val="00030156"/>
    <w:rsid w:val="00062FE9"/>
    <w:rsid w:val="0006780A"/>
    <w:rsid w:val="0007702F"/>
    <w:rsid w:val="0008155F"/>
    <w:rsid w:val="00084B6C"/>
    <w:rsid w:val="0008726D"/>
    <w:rsid w:val="00092712"/>
    <w:rsid w:val="000A542B"/>
    <w:rsid w:val="000B2434"/>
    <w:rsid w:val="000B657E"/>
    <w:rsid w:val="000C798A"/>
    <w:rsid w:val="000D2040"/>
    <w:rsid w:val="000E257B"/>
    <w:rsid w:val="000E68ED"/>
    <w:rsid w:val="000F20D5"/>
    <w:rsid w:val="00114F5A"/>
    <w:rsid w:val="00123A50"/>
    <w:rsid w:val="00131423"/>
    <w:rsid w:val="00134969"/>
    <w:rsid w:val="00152264"/>
    <w:rsid w:val="001572AD"/>
    <w:rsid w:val="00164D44"/>
    <w:rsid w:val="00170673"/>
    <w:rsid w:val="001A2693"/>
    <w:rsid w:val="001B2B4C"/>
    <w:rsid w:val="001C69CF"/>
    <w:rsid w:val="001D2201"/>
    <w:rsid w:val="001D3FAD"/>
    <w:rsid w:val="001E1278"/>
    <w:rsid w:val="001F10D9"/>
    <w:rsid w:val="001F29BC"/>
    <w:rsid w:val="001F508C"/>
    <w:rsid w:val="002019D1"/>
    <w:rsid w:val="00201A5D"/>
    <w:rsid w:val="00206BB0"/>
    <w:rsid w:val="002103BE"/>
    <w:rsid w:val="0021603E"/>
    <w:rsid w:val="0022267B"/>
    <w:rsid w:val="00226EA1"/>
    <w:rsid w:val="00236F70"/>
    <w:rsid w:val="0023752D"/>
    <w:rsid w:val="002457B2"/>
    <w:rsid w:val="00247DAA"/>
    <w:rsid w:val="002778F2"/>
    <w:rsid w:val="00277DEC"/>
    <w:rsid w:val="002804BE"/>
    <w:rsid w:val="0028056F"/>
    <w:rsid w:val="00293B8D"/>
    <w:rsid w:val="0029756E"/>
    <w:rsid w:val="002A1B70"/>
    <w:rsid w:val="002B0354"/>
    <w:rsid w:val="002B7301"/>
    <w:rsid w:val="002C199E"/>
    <w:rsid w:val="002D06A1"/>
    <w:rsid w:val="002D5836"/>
    <w:rsid w:val="002E7695"/>
    <w:rsid w:val="002E7A50"/>
    <w:rsid w:val="0030362F"/>
    <w:rsid w:val="00304C13"/>
    <w:rsid w:val="00312DE1"/>
    <w:rsid w:val="00322505"/>
    <w:rsid w:val="00322710"/>
    <w:rsid w:val="0032487D"/>
    <w:rsid w:val="00325EDE"/>
    <w:rsid w:val="00330ED1"/>
    <w:rsid w:val="00334B15"/>
    <w:rsid w:val="00344516"/>
    <w:rsid w:val="00344DFC"/>
    <w:rsid w:val="0035111A"/>
    <w:rsid w:val="00367E14"/>
    <w:rsid w:val="00370BC1"/>
    <w:rsid w:val="003754DD"/>
    <w:rsid w:val="00396EE3"/>
    <w:rsid w:val="003A02A4"/>
    <w:rsid w:val="003A3E71"/>
    <w:rsid w:val="003B326B"/>
    <w:rsid w:val="003B635D"/>
    <w:rsid w:val="003C0062"/>
    <w:rsid w:val="003C10AD"/>
    <w:rsid w:val="003C3133"/>
    <w:rsid w:val="003C42FA"/>
    <w:rsid w:val="003C5606"/>
    <w:rsid w:val="003C78BA"/>
    <w:rsid w:val="003F08DD"/>
    <w:rsid w:val="004008AB"/>
    <w:rsid w:val="00400C64"/>
    <w:rsid w:val="004029F8"/>
    <w:rsid w:val="0040485B"/>
    <w:rsid w:val="00420B3D"/>
    <w:rsid w:val="0044323A"/>
    <w:rsid w:val="00446F26"/>
    <w:rsid w:val="00455794"/>
    <w:rsid w:val="004567DD"/>
    <w:rsid w:val="0047157A"/>
    <w:rsid w:val="00476F12"/>
    <w:rsid w:val="00481ED3"/>
    <w:rsid w:val="004923CC"/>
    <w:rsid w:val="00494DCB"/>
    <w:rsid w:val="0049673F"/>
    <w:rsid w:val="004A4EE9"/>
    <w:rsid w:val="004B0691"/>
    <w:rsid w:val="004B5427"/>
    <w:rsid w:val="004C063C"/>
    <w:rsid w:val="004C16B3"/>
    <w:rsid w:val="004C4C47"/>
    <w:rsid w:val="004D5EC7"/>
    <w:rsid w:val="004E2D91"/>
    <w:rsid w:val="00506A76"/>
    <w:rsid w:val="00515197"/>
    <w:rsid w:val="00517280"/>
    <w:rsid w:val="00535479"/>
    <w:rsid w:val="0053717C"/>
    <w:rsid w:val="0054199F"/>
    <w:rsid w:val="00584BC5"/>
    <w:rsid w:val="00586F6E"/>
    <w:rsid w:val="005879BE"/>
    <w:rsid w:val="0059326A"/>
    <w:rsid w:val="00593609"/>
    <w:rsid w:val="00594187"/>
    <w:rsid w:val="00594B26"/>
    <w:rsid w:val="005B10B7"/>
    <w:rsid w:val="005D400D"/>
    <w:rsid w:val="005D5801"/>
    <w:rsid w:val="005D5DD4"/>
    <w:rsid w:val="005F0A9D"/>
    <w:rsid w:val="005F52EF"/>
    <w:rsid w:val="006032CD"/>
    <w:rsid w:val="00612620"/>
    <w:rsid w:val="00624A00"/>
    <w:rsid w:val="00640A13"/>
    <w:rsid w:val="00654F03"/>
    <w:rsid w:val="006665AF"/>
    <w:rsid w:val="0066753C"/>
    <w:rsid w:val="006745FF"/>
    <w:rsid w:val="006777A9"/>
    <w:rsid w:val="00696372"/>
    <w:rsid w:val="00697290"/>
    <w:rsid w:val="006A0EBF"/>
    <w:rsid w:val="006A435D"/>
    <w:rsid w:val="006A72ED"/>
    <w:rsid w:val="006B0A7F"/>
    <w:rsid w:val="006E1741"/>
    <w:rsid w:val="006F16EE"/>
    <w:rsid w:val="006F3C0B"/>
    <w:rsid w:val="0070159B"/>
    <w:rsid w:val="007057B4"/>
    <w:rsid w:val="0070590D"/>
    <w:rsid w:val="00712EB7"/>
    <w:rsid w:val="00714847"/>
    <w:rsid w:val="00717706"/>
    <w:rsid w:val="00730726"/>
    <w:rsid w:val="00732088"/>
    <w:rsid w:val="00735B16"/>
    <w:rsid w:val="00741597"/>
    <w:rsid w:val="00747094"/>
    <w:rsid w:val="00747E81"/>
    <w:rsid w:val="0075529E"/>
    <w:rsid w:val="0075626D"/>
    <w:rsid w:val="00756A8E"/>
    <w:rsid w:val="007607C8"/>
    <w:rsid w:val="00763771"/>
    <w:rsid w:val="00764D6E"/>
    <w:rsid w:val="007657FB"/>
    <w:rsid w:val="00797E36"/>
    <w:rsid w:val="007A70B5"/>
    <w:rsid w:val="007C438A"/>
    <w:rsid w:val="007D2599"/>
    <w:rsid w:val="007D5281"/>
    <w:rsid w:val="007D7ACA"/>
    <w:rsid w:val="007E09A0"/>
    <w:rsid w:val="007F14D7"/>
    <w:rsid w:val="007F493E"/>
    <w:rsid w:val="00803766"/>
    <w:rsid w:val="008044B7"/>
    <w:rsid w:val="00821820"/>
    <w:rsid w:val="0082539B"/>
    <w:rsid w:val="008338E6"/>
    <w:rsid w:val="00835250"/>
    <w:rsid w:val="00843768"/>
    <w:rsid w:val="00862D95"/>
    <w:rsid w:val="0086728D"/>
    <w:rsid w:val="00880A7B"/>
    <w:rsid w:val="008851B6"/>
    <w:rsid w:val="008968EB"/>
    <w:rsid w:val="008A0BB2"/>
    <w:rsid w:val="008A4BEC"/>
    <w:rsid w:val="008B3D03"/>
    <w:rsid w:val="008B5A97"/>
    <w:rsid w:val="008C6355"/>
    <w:rsid w:val="008E1003"/>
    <w:rsid w:val="00900C98"/>
    <w:rsid w:val="00906AAD"/>
    <w:rsid w:val="009071D3"/>
    <w:rsid w:val="00921E3B"/>
    <w:rsid w:val="00924DE3"/>
    <w:rsid w:val="009347AF"/>
    <w:rsid w:val="00971874"/>
    <w:rsid w:val="00981FAD"/>
    <w:rsid w:val="00986E32"/>
    <w:rsid w:val="00991D44"/>
    <w:rsid w:val="0099204B"/>
    <w:rsid w:val="00992EB1"/>
    <w:rsid w:val="00996710"/>
    <w:rsid w:val="00997EEA"/>
    <w:rsid w:val="009B708F"/>
    <w:rsid w:val="009D56DE"/>
    <w:rsid w:val="009D6F32"/>
    <w:rsid w:val="009E2A1E"/>
    <w:rsid w:val="009F0346"/>
    <w:rsid w:val="00A02FB3"/>
    <w:rsid w:val="00A14363"/>
    <w:rsid w:val="00A173A6"/>
    <w:rsid w:val="00A451F5"/>
    <w:rsid w:val="00A650AE"/>
    <w:rsid w:val="00A81E27"/>
    <w:rsid w:val="00A81FF2"/>
    <w:rsid w:val="00A845EA"/>
    <w:rsid w:val="00A85C9D"/>
    <w:rsid w:val="00A95C0B"/>
    <w:rsid w:val="00AA6607"/>
    <w:rsid w:val="00AB2A0E"/>
    <w:rsid w:val="00AB4BED"/>
    <w:rsid w:val="00AC19B4"/>
    <w:rsid w:val="00AC3418"/>
    <w:rsid w:val="00AD20C9"/>
    <w:rsid w:val="00AD6D1D"/>
    <w:rsid w:val="00AE5D03"/>
    <w:rsid w:val="00AF5814"/>
    <w:rsid w:val="00AF7599"/>
    <w:rsid w:val="00B07A5B"/>
    <w:rsid w:val="00B12464"/>
    <w:rsid w:val="00B215F6"/>
    <w:rsid w:val="00B24078"/>
    <w:rsid w:val="00B4085D"/>
    <w:rsid w:val="00B57A70"/>
    <w:rsid w:val="00B60A0E"/>
    <w:rsid w:val="00B63BCE"/>
    <w:rsid w:val="00B652D1"/>
    <w:rsid w:val="00B835C6"/>
    <w:rsid w:val="00B90003"/>
    <w:rsid w:val="00B92BD3"/>
    <w:rsid w:val="00B93AFD"/>
    <w:rsid w:val="00B93C8E"/>
    <w:rsid w:val="00B96AEB"/>
    <w:rsid w:val="00BA4C13"/>
    <w:rsid w:val="00BA74B7"/>
    <w:rsid w:val="00BB1191"/>
    <w:rsid w:val="00BC6DFE"/>
    <w:rsid w:val="00BD0325"/>
    <w:rsid w:val="00BD2A6C"/>
    <w:rsid w:val="00BD2E04"/>
    <w:rsid w:val="00C003E1"/>
    <w:rsid w:val="00C02AB3"/>
    <w:rsid w:val="00C07629"/>
    <w:rsid w:val="00C1265A"/>
    <w:rsid w:val="00C12C30"/>
    <w:rsid w:val="00C17E4D"/>
    <w:rsid w:val="00C17F09"/>
    <w:rsid w:val="00C3688F"/>
    <w:rsid w:val="00C378A1"/>
    <w:rsid w:val="00C37E0A"/>
    <w:rsid w:val="00C60303"/>
    <w:rsid w:val="00C665CF"/>
    <w:rsid w:val="00C671CB"/>
    <w:rsid w:val="00C73EB0"/>
    <w:rsid w:val="00C740EA"/>
    <w:rsid w:val="00C7509C"/>
    <w:rsid w:val="00C83D74"/>
    <w:rsid w:val="00C9080A"/>
    <w:rsid w:val="00C94E86"/>
    <w:rsid w:val="00CA3BAF"/>
    <w:rsid w:val="00CA4514"/>
    <w:rsid w:val="00CA4522"/>
    <w:rsid w:val="00CB0EEA"/>
    <w:rsid w:val="00CC0D25"/>
    <w:rsid w:val="00CC16E1"/>
    <w:rsid w:val="00CC20A0"/>
    <w:rsid w:val="00CD2627"/>
    <w:rsid w:val="00CD34C7"/>
    <w:rsid w:val="00CF5D85"/>
    <w:rsid w:val="00D02A3A"/>
    <w:rsid w:val="00D05C19"/>
    <w:rsid w:val="00D06623"/>
    <w:rsid w:val="00D12213"/>
    <w:rsid w:val="00D2279A"/>
    <w:rsid w:val="00D27A84"/>
    <w:rsid w:val="00D47BEB"/>
    <w:rsid w:val="00D715CF"/>
    <w:rsid w:val="00D72680"/>
    <w:rsid w:val="00D75E08"/>
    <w:rsid w:val="00D77776"/>
    <w:rsid w:val="00D8114F"/>
    <w:rsid w:val="00D92586"/>
    <w:rsid w:val="00D93644"/>
    <w:rsid w:val="00DC0A2B"/>
    <w:rsid w:val="00DD107B"/>
    <w:rsid w:val="00E01766"/>
    <w:rsid w:val="00E02934"/>
    <w:rsid w:val="00E27E13"/>
    <w:rsid w:val="00E31D1C"/>
    <w:rsid w:val="00E322C8"/>
    <w:rsid w:val="00E33A77"/>
    <w:rsid w:val="00E37B1B"/>
    <w:rsid w:val="00E41D05"/>
    <w:rsid w:val="00E4310F"/>
    <w:rsid w:val="00E46702"/>
    <w:rsid w:val="00E67356"/>
    <w:rsid w:val="00E835C4"/>
    <w:rsid w:val="00E9108F"/>
    <w:rsid w:val="00E91356"/>
    <w:rsid w:val="00EA5859"/>
    <w:rsid w:val="00EA6095"/>
    <w:rsid w:val="00EA6F7A"/>
    <w:rsid w:val="00EB38C6"/>
    <w:rsid w:val="00EB480C"/>
    <w:rsid w:val="00EC1484"/>
    <w:rsid w:val="00EC1565"/>
    <w:rsid w:val="00ED3D97"/>
    <w:rsid w:val="00ED45A3"/>
    <w:rsid w:val="00EF0A68"/>
    <w:rsid w:val="00EF11BB"/>
    <w:rsid w:val="00EF660E"/>
    <w:rsid w:val="00F105AA"/>
    <w:rsid w:val="00F21A1A"/>
    <w:rsid w:val="00F35D10"/>
    <w:rsid w:val="00F3743B"/>
    <w:rsid w:val="00F44AA4"/>
    <w:rsid w:val="00F44AF8"/>
    <w:rsid w:val="00F46045"/>
    <w:rsid w:val="00F6281D"/>
    <w:rsid w:val="00F7042D"/>
    <w:rsid w:val="00F72069"/>
    <w:rsid w:val="00F811A4"/>
    <w:rsid w:val="00F93580"/>
    <w:rsid w:val="00F950AB"/>
    <w:rsid w:val="00FB24AD"/>
    <w:rsid w:val="00FB37B0"/>
    <w:rsid w:val="00FB6B1E"/>
    <w:rsid w:val="00FC3AC1"/>
    <w:rsid w:val="00FD1D29"/>
    <w:rsid w:val="00FE525A"/>
    <w:rsid w:val="00FF68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EA8B6"/>
  <w14:defaultImageDpi w14:val="32767"/>
  <w15:chartTrackingRefBased/>
  <w15:docId w15:val="{470CA693-2BC5-BC4E-99BF-03DB2A09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E1"/>
    <w:rPr>
      <w:rFonts w:ascii="Times New Roman" w:eastAsia="Times New Roman" w:hAnsi="Times New Roman"/>
      <w:sz w:val="24"/>
      <w:szCs w:val="24"/>
    </w:rPr>
  </w:style>
  <w:style w:type="paragraph" w:styleId="Heading1">
    <w:name w:val="heading 1"/>
    <w:basedOn w:val="Normal"/>
    <w:next w:val="Normal"/>
    <w:link w:val="Heading1Char"/>
    <w:qFormat/>
    <w:rsid w:val="007607C8"/>
    <w:pPr>
      <w:keepNext/>
      <w:pBdr>
        <w:bottom w:val="double" w:sz="4" w:space="1" w:color="auto"/>
      </w:pBdr>
      <w:outlineLvl w:val="0"/>
    </w:pPr>
    <w:rPr>
      <w:rFonts w:ascii="Arial" w:hAnsi="Arial"/>
      <w:b/>
      <w:bCs/>
      <w:color w:val="7B7B7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7C8"/>
    <w:rPr>
      <w:rFonts w:ascii="Arial" w:eastAsia="Times New Roman" w:hAnsi="Arial" w:cs="Times New Roman"/>
      <w:b/>
      <w:bCs/>
      <w:color w:val="7B7B7B"/>
      <w:sz w:val="32"/>
      <w:szCs w:val="32"/>
      <w:u w:val="single"/>
    </w:rPr>
  </w:style>
  <w:style w:type="paragraph" w:customStyle="1" w:styleId="Style1">
    <w:name w:val="Style1"/>
    <w:basedOn w:val="Normal"/>
    <w:qFormat/>
    <w:rsid w:val="007607C8"/>
    <w:pPr>
      <w:spacing w:before="120"/>
      <w:ind w:left="288"/>
    </w:pPr>
    <w:rPr>
      <w:rFonts w:ascii="Apple Chancery" w:eastAsia="Calibri" w:hAnsi="Apple Chancery" w:cs="Apple Chancery"/>
      <w:lang w:val="en-US"/>
    </w:rPr>
  </w:style>
  <w:style w:type="character" w:styleId="CommentReference">
    <w:name w:val="annotation reference"/>
    <w:uiPriority w:val="99"/>
    <w:semiHidden/>
    <w:unhideWhenUsed/>
    <w:rsid w:val="00201A5D"/>
    <w:rPr>
      <w:sz w:val="16"/>
      <w:szCs w:val="16"/>
    </w:rPr>
  </w:style>
  <w:style w:type="paragraph" w:styleId="CommentText">
    <w:name w:val="annotation text"/>
    <w:basedOn w:val="Normal"/>
    <w:link w:val="CommentTextChar"/>
    <w:uiPriority w:val="99"/>
    <w:unhideWhenUsed/>
    <w:rsid w:val="00201A5D"/>
    <w:rPr>
      <w:sz w:val="20"/>
      <w:szCs w:val="20"/>
    </w:rPr>
  </w:style>
  <w:style w:type="character" w:customStyle="1" w:styleId="CommentTextChar">
    <w:name w:val="Comment Text Char"/>
    <w:link w:val="CommentText"/>
    <w:uiPriority w:val="99"/>
    <w:rsid w:val="00201A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1A5D"/>
    <w:rPr>
      <w:sz w:val="18"/>
      <w:szCs w:val="18"/>
    </w:rPr>
  </w:style>
  <w:style w:type="character" w:customStyle="1" w:styleId="BalloonTextChar">
    <w:name w:val="Balloon Text Char"/>
    <w:link w:val="BalloonText"/>
    <w:uiPriority w:val="99"/>
    <w:semiHidden/>
    <w:rsid w:val="00201A5D"/>
    <w:rPr>
      <w:rFonts w:ascii="Times New Roman" w:eastAsia="Times New Roman" w:hAnsi="Times New Roman" w:cs="Times New Roman"/>
      <w:sz w:val="18"/>
      <w:szCs w:val="18"/>
    </w:rPr>
  </w:style>
  <w:style w:type="paragraph" w:styleId="NormalWeb">
    <w:name w:val="Normal (Web)"/>
    <w:basedOn w:val="Normal"/>
    <w:uiPriority w:val="99"/>
    <w:unhideWhenUsed/>
    <w:rsid w:val="00201A5D"/>
    <w:pPr>
      <w:spacing w:before="100" w:beforeAutospacing="1" w:after="100" w:afterAutospacing="1"/>
    </w:pPr>
  </w:style>
  <w:style w:type="paragraph" w:styleId="ListParagraph">
    <w:name w:val="List Paragraph"/>
    <w:basedOn w:val="Normal"/>
    <w:uiPriority w:val="34"/>
    <w:qFormat/>
    <w:rsid w:val="00201A5D"/>
    <w:pPr>
      <w:ind w:left="720"/>
      <w:contextualSpacing/>
    </w:pPr>
  </w:style>
  <w:style w:type="character" w:styleId="Hyperlink">
    <w:name w:val="Hyperlink"/>
    <w:uiPriority w:val="99"/>
    <w:unhideWhenUsed/>
    <w:rsid w:val="00201A5D"/>
    <w:rPr>
      <w:color w:val="0563C1"/>
      <w:u w:val="single"/>
    </w:rPr>
  </w:style>
  <w:style w:type="character" w:customStyle="1" w:styleId="UnresolvedMention1">
    <w:name w:val="Unresolved Mention1"/>
    <w:uiPriority w:val="99"/>
    <w:rsid w:val="00201A5D"/>
    <w:rPr>
      <w:color w:val="605E5C"/>
      <w:shd w:val="clear" w:color="auto" w:fill="E1DFDD"/>
    </w:rPr>
  </w:style>
  <w:style w:type="table" w:styleId="TableGrid">
    <w:name w:val="Table Grid"/>
    <w:basedOn w:val="TableNormal"/>
    <w:uiPriority w:val="39"/>
    <w:rsid w:val="0020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1A5D"/>
    <w:rPr>
      <w:b/>
      <w:bCs/>
    </w:rPr>
  </w:style>
  <w:style w:type="character" w:customStyle="1" w:styleId="CommentSubjectChar">
    <w:name w:val="Comment Subject Char"/>
    <w:link w:val="CommentSubject"/>
    <w:uiPriority w:val="99"/>
    <w:semiHidden/>
    <w:rsid w:val="00201A5D"/>
    <w:rPr>
      <w:rFonts w:ascii="Times New Roman" w:eastAsia="Times New Roman" w:hAnsi="Times New Roman" w:cs="Times New Roman"/>
      <w:b/>
      <w:bCs/>
      <w:sz w:val="20"/>
      <w:szCs w:val="20"/>
    </w:rPr>
  </w:style>
  <w:style w:type="character" w:customStyle="1" w:styleId="st">
    <w:name w:val="st"/>
    <w:basedOn w:val="DefaultParagraphFont"/>
    <w:rsid w:val="00201A5D"/>
  </w:style>
  <w:style w:type="character" w:customStyle="1" w:styleId="UnresolvedMention2">
    <w:name w:val="Unresolved Mention2"/>
    <w:uiPriority w:val="99"/>
    <w:semiHidden/>
    <w:unhideWhenUsed/>
    <w:rsid w:val="00201A5D"/>
    <w:rPr>
      <w:color w:val="605E5C"/>
      <w:shd w:val="clear" w:color="auto" w:fill="E1DFDD"/>
    </w:rPr>
  </w:style>
  <w:style w:type="table" w:styleId="TableGridLight">
    <w:name w:val="Grid Table Light"/>
    <w:basedOn w:val="TableNormal"/>
    <w:uiPriority w:val="40"/>
    <w:rsid w:val="00201A5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201A5D"/>
    <w:rPr>
      <w:rFonts w:ascii="Times New Roman" w:eastAsia="Times New Roman" w:hAnsi="Times New Roman"/>
      <w:sz w:val="24"/>
      <w:szCs w:val="24"/>
    </w:rPr>
  </w:style>
  <w:style w:type="character" w:styleId="FollowedHyperlink">
    <w:name w:val="FollowedHyperlink"/>
    <w:uiPriority w:val="99"/>
    <w:semiHidden/>
    <w:unhideWhenUsed/>
    <w:rsid w:val="00201A5D"/>
    <w:rPr>
      <w:color w:val="954F72"/>
      <w:u w:val="single"/>
    </w:rPr>
  </w:style>
  <w:style w:type="character" w:customStyle="1" w:styleId="highwire-cite-metadata-journal">
    <w:name w:val="highwire-cite-metadata-journal"/>
    <w:basedOn w:val="DefaultParagraphFont"/>
    <w:rsid w:val="00201A5D"/>
  </w:style>
  <w:style w:type="character" w:customStyle="1" w:styleId="highwire-cite-metadata-date">
    <w:name w:val="highwire-cite-metadata-date"/>
    <w:basedOn w:val="DefaultParagraphFont"/>
    <w:rsid w:val="00201A5D"/>
  </w:style>
  <w:style w:type="character" w:customStyle="1" w:styleId="highwire-cite-metadata-volume">
    <w:name w:val="highwire-cite-metadata-volume"/>
    <w:basedOn w:val="DefaultParagraphFont"/>
    <w:rsid w:val="00201A5D"/>
  </w:style>
  <w:style w:type="character" w:customStyle="1" w:styleId="highwire-cite-metadata-issue">
    <w:name w:val="highwire-cite-metadata-issue"/>
    <w:basedOn w:val="DefaultParagraphFont"/>
    <w:rsid w:val="00201A5D"/>
  </w:style>
  <w:style w:type="character" w:customStyle="1" w:styleId="highwire-cite-metadata-pages">
    <w:name w:val="highwire-cite-metadata-pages"/>
    <w:basedOn w:val="DefaultParagraphFont"/>
    <w:rsid w:val="00201A5D"/>
  </w:style>
  <w:style w:type="character" w:styleId="Emphasis">
    <w:name w:val="Emphasis"/>
    <w:uiPriority w:val="20"/>
    <w:qFormat/>
    <w:rsid w:val="00201A5D"/>
    <w:rPr>
      <w:i/>
      <w:iCs/>
    </w:rPr>
  </w:style>
  <w:style w:type="character" w:customStyle="1" w:styleId="u-visually-hidden">
    <w:name w:val="u-visually-hidden"/>
    <w:basedOn w:val="DefaultParagraphFont"/>
    <w:rsid w:val="00201A5D"/>
  </w:style>
  <w:style w:type="paragraph" w:styleId="Footer">
    <w:name w:val="footer"/>
    <w:basedOn w:val="Normal"/>
    <w:link w:val="FooterChar"/>
    <w:uiPriority w:val="99"/>
    <w:unhideWhenUsed/>
    <w:rsid w:val="00201A5D"/>
    <w:pPr>
      <w:tabs>
        <w:tab w:val="center" w:pos="4513"/>
        <w:tab w:val="right" w:pos="9026"/>
      </w:tabs>
    </w:pPr>
  </w:style>
  <w:style w:type="character" w:customStyle="1" w:styleId="FooterChar">
    <w:name w:val="Footer Char"/>
    <w:link w:val="Footer"/>
    <w:uiPriority w:val="99"/>
    <w:rsid w:val="00201A5D"/>
    <w:rPr>
      <w:rFonts w:ascii="Times New Roman" w:eastAsia="Times New Roman" w:hAnsi="Times New Roman" w:cs="Times New Roman"/>
    </w:rPr>
  </w:style>
  <w:style w:type="character" w:styleId="PageNumber">
    <w:name w:val="page number"/>
    <w:basedOn w:val="DefaultParagraphFont"/>
    <w:uiPriority w:val="99"/>
    <w:semiHidden/>
    <w:unhideWhenUsed/>
    <w:rsid w:val="00201A5D"/>
  </w:style>
  <w:style w:type="character" w:customStyle="1" w:styleId="apple-converted-space">
    <w:name w:val="apple-converted-space"/>
    <w:basedOn w:val="DefaultParagraphFont"/>
    <w:rsid w:val="00201A5D"/>
  </w:style>
  <w:style w:type="paragraph" w:styleId="NoSpacing">
    <w:name w:val="No Spacing"/>
    <w:qFormat/>
    <w:rsid w:val="00F21A1A"/>
    <w:rPr>
      <w:sz w:val="22"/>
      <w:szCs w:val="22"/>
    </w:rPr>
  </w:style>
  <w:style w:type="character" w:styleId="LineNumber">
    <w:name w:val="line number"/>
    <w:basedOn w:val="DefaultParagraphFont"/>
    <w:uiPriority w:val="99"/>
    <w:semiHidden/>
    <w:unhideWhenUsed/>
    <w:rsid w:val="002D5836"/>
  </w:style>
  <w:style w:type="paragraph" w:styleId="FootnoteText">
    <w:name w:val="footnote text"/>
    <w:basedOn w:val="Normal"/>
    <w:link w:val="FootnoteTextChar"/>
    <w:uiPriority w:val="99"/>
    <w:semiHidden/>
    <w:unhideWhenUsed/>
    <w:rsid w:val="000D2040"/>
    <w:rPr>
      <w:rFonts w:ascii="Calibri" w:eastAsia="Calibri" w:hAnsi="Calibri"/>
      <w:sz w:val="20"/>
      <w:szCs w:val="20"/>
    </w:rPr>
  </w:style>
  <w:style w:type="character" w:customStyle="1" w:styleId="FootnoteTextChar">
    <w:name w:val="Footnote Text Char"/>
    <w:link w:val="FootnoteText"/>
    <w:uiPriority w:val="99"/>
    <w:semiHidden/>
    <w:rsid w:val="000D2040"/>
    <w:rPr>
      <w:sz w:val="20"/>
      <w:szCs w:val="20"/>
    </w:rPr>
  </w:style>
  <w:style w:type="character" w:styleId="FootnoteReference">
    <w:name w:val="footnote reference"/>
    <w:uiPriority w:val="99"/>
    <w:semiHidden/>
    <w:unhideWhenUsed/>
    <w:rsid w:val="000D2040"/>
    <w:rPr>
      <w:vertAlign w:val="superscript"/>
    </w:rPr>
  </w:style>
  <w:style w:type="character" w:customStyle="1" w:styleId="UnresolvedMention3">
    <w:name w:val="Unresolved Mention3"/>
    <w:uiPriority w:val="99"/>
    <w:semiHidden/>
    <w:unhideWhenUsed/>
    <w:rsid w:val="00515197"/>
    <w:rPr>
      <w:color w:val="605E5C"/>
      <w:shd w:val="clear" w:color="auto" w:fill="E1DFDD"/>
    </w:rPr>
  </w:style>
  <w:style w:type="character" w:styleId="EndnoteReference">
    <w:name w:val="endnote reference"/>
    <w:uiPriority w:val="99"/>
    <w:semiHidden/>
    <w:unhideWhenUsed/>
    <w:rsid w:val="00971874"/>
    <w:rPr>
      <w:vertAlign w:val="superscript"/>
    </w:rPr>
  </w:style>
  <w:style w:type="character" w:customStyle="1" w:styleId="UnresolvedMention4">
    <w:name w:val="Unresolved Mention4"/>
    <w:basedOn w:val="DefaultParagraphFont"/>
    <w:uiPriority w:val="99"/>
    <w:semiHidden/>
    <w:unhideWhenUsed/>
    <w:rsid w:val="00370BC1"/>
    <w:rPr>
      <w:color w:val="605E5C"/>
      <w:shd w:val="clear" w:color="auto" w:fill="E1DFDD"/>
    </w:rPr>
  </w:style>
  <w:style w:type="character" w:customStyle="1" w:styleId="UnresolvedMention5">
    <w:name w:val="Unresolved Mention5"/>
    <w:basedOn w:val="DefaultParagraphFont"/>
    <w:uiPriority w:val="99"/>
    <w:semiHidden/>
    <w:unhideWhenUsed/>
    <w:rsid w:val="00344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907">
      <w:bodyDiv w:val="1"/>
      <w:marLeft w:val="0"/>
      <w:marRight w:val="0"/>
      <w:marTop w:val="0"/>
      <w:marBottom w:val="0"/>
      <w:divBdr>
        <w:top w:val="none" w:sz="0" w:space="0" w:color="auto"/>
        <w:left w:val="none" w:sz="0" w:space="0" w:color="auto"/>
        <w:bottom w:val="none" w:sz="0" w:space="0" w:color="auto"/>
        <w:right w:val="none" w:sz="0" w:space="0" w:color="auto"/>
      </w:divBdr>
    </w:div>
    <w:div w:id="141974047">
      <w:bodyDiv w:val="1"/>
      <w:marLeft w:val="0"/>
      <w:marRight w:val="0"/>
      <w:marTop w:val="0"/>
      <w:marBottom w:val="0"/>
      <w:divBdr>
        <w:top w:val="none" w:sz="0" w:space="0" w:color="auto"/>
        <w:left w:val="none" w:sz="0" w:space="0" w:color="auto"/>
        <w:bottom w:val="none" w:sz="0" w:space="0" w:color="auto"/>
        <w:right w:val="none" w:sz="0" w:space="0" w:color="auto"/>
      </w:divBdr>
    </w:div>
    <w:div w:id="227109487">
      <w:bodyDiv w:val="1"/>
      <w:marLeft w:val="0"/>
      <w:marRight w:val="0"/>
      <w:marTop w:val="0"/>
      <w:marBottom w:val="0"/>
      <w:divBdr>
        <w:top w:val="none" w:sz="0" w:space="0" w:color="auto"/>
        <w:left w:val="none" w:sz="0" w:space="0" w:color="auto"/>
        <w:bottom w:val="none" w:sz="0" w:space="0" w:color="auto"/>
        <w:right w:val="none" w:sz="0" w:space="0" w:color="auto"/>
      </w:divBdr>
    </w:div>
    <w:div w:id="339161142">
      <w:bodyDiv w:val="1"/>
      <w:marLeft w:val="0"/>
      <w:marRight w:val="0"/>
      <w:marTop w:val="0"/>
      <w:marBottom w:val="0"/>
      <w:divBdr>
        <w:top w:val="none" w:sz="0" w:space="0" w:color="auto"/>
        <w:left w:val="none" w:sz="0" w:space="0" w:color="auto"/>
        <w:bottom w:val="none" w:sz="0" w:space="0" w:color="auto"/>
        <w:right w:val="none" w:sz="0" w:space="0" w:color="auto"/>
      </w:divBdr>
    </w:div>
    <w:div w:id="432366159">
      <w:bodyDiv w:val="1"/>
      <w:marLeft w:val="0"/>
      <w:marRight w:val="0"/>
      <w:marTop w:val="0"/>
      <w:marBottom w:val="0"/>
      <w:divBdr>
        <w:top w:val="none" w:sz="0" w:space="0" w:color="auto"/>
        <w:left w:val="none" w:sz="0" w:space="0" w:color="auto"/>
        <w:bottom w:val="none" w:sz="0" w:space="0" w:color="auto"/>
        <w:right w:val="none" w:sz="0" w:space="0" w:color="auto"/>
      </w:divBdr>
    </w:div>
    <w:div w:id="455104547">
      <w:bodyDiv w:val="1"/>
      <w:marLeft w:val="0"/>
      <w:marRight w:val="0"/>
      <w:marTop w:val="0"/>
      <w:marBottom w:val="0"/>
      <w:divBdr>
        <w:top w:val="none" w:sz="0" w:space="0" w:color="auto"/>
        <w:left w:val="none" w:sz="0" w:space="0" w:color="auto"/>
        <w:bottom w:val="none" w:sz="0" w:space="0" w:color="auto"/>
        <w:right w:val="none" w:sz="0" w:space="0" w:color="auto"/>
      </w:divBdr>
    </w:div>
    <w:div w:id="487481673">
      <w:bodyDiv w:val="1"/>
      <w:marLeft w:val="0"/>
      <w:marRight w:val="0"/>
      <w:marTop w:val="0"/>
      <w:marBottom w:val="0"/>
      <w:divBdr>
        <w:top w:val="none" w:sz="0" w:space="0" w:color="auto"/>
        <w:left w:val="none" w:sz="0" w:space="0" w:color="auto"/>
        <w:bottom w:val="none" w:sz="0" w:space="0" w:color="auto"/>
        <w:right w:val="none" w:sz="0" w:space="0" w:color="auto"/>
      </w:divBdr>
    </w:div>
    <w:div w:id="487670940">
      <w:bodyDiv w:val="1"/>
      <w:marLeft w:val="0"/>
      <w:marRight w:val="0"/>
      <w:marTop w:val="0"/>
      <w:marBottom w:val="0"/>
      <w:divBdr>
        <w:top w:val="none" w:sz="0" w:space="0" w:color="auto"/>
        <w:left w:val="none" w:sz="0" w:space="0" w:color="auto"/>
        <w:bottom w:val="none" w:sz="0" w:space="0" w:color="auto"/>
        <w:right w:val="none" w:sz="0" w:space="0" w:color="auto"/>
      </w:divBdr>
    </w:div>
    <w:div w:id="488251618">
      <w:bodyDiv w:val="1"/>
      <w:marLeft w:val="0"/>
      <w:marRight w:val="0"/>
      <w:marTop w:val="0"/>
      <w:marBottom w:val="0"/>
      <w:divBdr>
        <w:top w:val="none" w:sz="0" w:space="0" w:color="auto"/>
        <w:left w:val="none" w:sz="0" w:space="0" w:color="auto"/>
        <w:bottom w:val="none" w:sz="0" w:space="0" w:color="auto"/>
        <w:right w:val="none" w:sz="0" w:space="0" w:color="auto"/>
      </w:divBdr>
    </w:div>
    <w:div w:id="502939737">
      <w:bodyDiv w:val="1"/>
      <w:marLeft w:val="0"/>
      <w:marRight w:val="0"/>
      <w:marTop w:val="0"/>
      <w:marBottom w:val="0"/>
      <w:divBdr>
        <w:top w:val="none" w:sz="0" w:space="0" w:color="auto"/>
        <w:left w:val="none" w:sz="0" w:space="0" w:color="auto"/>
        <w:bottom w:val="none" w:sz="0" w:space="0" w:color="auto"/>
        <w:right w:val="none" w:sz="0" w:space="0" w:color="auto"/>
      </w:divBdr>
    </w:div>
    <w:div w:id="535431835">
      <w:bodyDiv w:val="1"/>
      <w:marLeft w:val="0"/>
      <w:marRight w:val="0"/>
      <w:marTop w:val="0"/>
      <w:marBottom w:val="0"/>
      <w:divBdr>
        <w:top w:val="none" w:sz="0" w:space="0" w:color="auto"/>
        <w:left w:val="none" w:sz="0" w:space="0" w:color="auto"/>
        <w:bottom w:val="none" w:sz="0" w:space="0" w:color="auto"/>
        <w:right w:val="none" w:sz="0" w:space="0" w:color="auto"/>
      </w:divBdr>
    </w:div>
    <w:div w:id="546377697">
      <w:bodyDiv w:val="1"/>
      <w:marLeft w:val="0"/>
      <w:marRight w:val="0"/>
      <w:marTop w:val="0"/>
      <w:marBottom w:val="0"/>
      <w:divBdr>
        <w:top w:val="none" w:sz="0" w:space="0" w:color="auto"/>
        <w:left w:val="none" w:sz="0" w:space="0" w:color="auto"/>
        <w:bottom w:val="none" w:sz="0" w:space="0" w:color="auto"/>
        <w:right w:val="none" w:sz="0" w:space="0" w:color="auto"/>
      </w:divBdr>
    </w:div>
    <w:div w:id="699359208">
      <w:bodyDiv w:val="1"/>
      <w:marLeft w:val="0"/>
      <w:marRight w:val="0"/>
      <w:marTop w:val="0"/>
      <w:marBottom w:val="0"/>
      <w:divBdr>
        <w:top w:val="none" w:sz="0" w:space="0" w:color="auto"/>
        <w:left w:val="none" w:sz="0" w:space="0" w:color="auto"/>
        <w:bottom w:val="none" w:sz="0" w:space="0" w:color="auto"/>
        <w:right w:val="none" w:sz="0" w:space="0" w:color="auto"/>
      </w:divBdr>
    </w:div>
    <w:div w:id="714937541">
      <w:bodyDiv w:val="1"/>
      <w:marLeft w:val="0"/>
      <w:marRight w:val="0"/>
      <w:marTop w:val="0"/>
      <w:marBottom w:val="0"/>
      <w:divBdr>
        <w:top w:val="none" w:sz="0" w:space="0" w:color="auto"/>
        <w:left w:val="none" w:sz="0" w:space="0" w:color="auto"/>
        <w:bottom w:val="none" w:sz="0" w:space="0" w:color="auto"/>
        <w:right w:val="none" w:sz="0" w:space="0" w:color="auto"/>
      </w:divBdr>
    </w:div>
    <w:div w:id="716317593">
      <w:bodyDiv w:val="1"/>
      <w:marLeft w:val="0"/>
      <w:marRight w:val="0"/>
      <w:marTop w:val="0"/>
      <w:marBottom w:val="0"/>
      <w:divBdr>
        <w:top w:val="none" w:sz="0" w:space="0" w:color="auto"/>
        <w:left w:val="none" w:sz="0" w:space="0" w:color="auto"/>
        <w:bottom w:val="none" w:sz="0" w:space="0" w:color="auto"/>
        <w:right w:val="none" w:sz="0" w:space="0" w:color="auto"/>
      </w:divBdr>
    </w:div>
    <w:div w:id="947617033">
      <w:bodyDiv w:val="1"/>
      <w:marLeft w:val="0"/>
      <w:marRight w:val="0"/>
      <w:marTop w:val="0"/>
      <w:marBottom w:val="0"/>
      <w:divBdr>
        <w:top w:val="none" w:sz="0" w:space="0" w:color="auto"/>
        <w:left w:val="none" w:sz="0" w:space="0" w:color="auto"/>
        <w:bottom w:val="none" w:sz="0" w:space="0" w:color="auto"/>
        <w:right w:val="none" w:sz="0" w:space="0" w:color="auto"/>
      </w:divBdr>
    </w:div>
    <w:div w:id="1169910024">
      <w:bodyDiv w:val="1"/>
      <w:marLeft w:val="0"/>
      <w:marRight w:val="0"/>
      <w:marTop w:val="0"/>
      <w:marBottom w:val="0"/>
      <w:divBdr>
        <w:top w:val="none" w:sz="0" w:space="0" w:color="auto"/>
        <w:left w:val="none" w:sz="0" w:space="0" w:color="auto"/>
        <w:bottom w:val="none" w:sz="0" w:space="0" w:color="auto"/>
        <w:right w:val="none" w:sz="0" w:space="0" w:color="auto"/>
      </w:divBdr>
    </w:div>
    <w:div w:id="1345279501">
      <w:bodyDiv w:val="1"/>
      <w:marLeft w:val="0"/>
      <w:marRight w:val="0"/>
      <w:marTop w:val="0"/>
      <w:marBottom w:val="0"/>
      <w:divBdr>
        <w:top w:val="none" w:sz="0" w:space="0" w:color="auto"/>
        <w:left w:val="none" w:sz="0" w:space="0" w:color="auto"/>
        <w:bottom w:val="none" w:sz="0" w:space="0" w:color="auto"/>
        <w:right w:val="none" w:sz="0" w:space="0" w:color="auto"/>
      </w:divBdr>
    </w:div>
    <w:div w:id="1490557583">
      <w:bodyDiv w:val="1"/>
      <w:marLeft w:val="0"/>
      <w:marRight w:val="0"/>
      <w:marTop w:val="0"/>
      <w:marBottom w:val="0"/>
      <w:divBdr>
        <w:top w:val="none" w:sz="0" w:space="0" w:color="auto"/>
        <w:left w:val="none" w:sz="0" w:space="0" w:color="auto"/>
        <w:bottom w:val="none" w:sz="0" w:space="0" w:color="auto"/>
        <w:right w:val="none" w:sz="0" w:space="0" w:color="auto"/>
      </w:divBdr>
    </w:div>
    <w:div w:id="1654066228">
      <w:bodyDiv w:val="1"/>
      <w:marLeft w:val="0"/>
      <w:marRight w:val="0"/>
      <w:marTop w:val="0"/>
      <w:marBottom w:val="0"/>
      <w:divBdr>
        <w:top w:val="none" w:sz="0" w:space="0" w:color="auto"/>
        <w:left w:val="none" w:sz="0" w:space="0" w:color="auto"/>
        <w:bottom w:val="none" w:sz="0" w:space="0" w:color="auto"/>
        <w:right w:val="none" w:sz="0" w:space="0" w:color="auto"/>
      </w:divBdr>
    </w:div>
    <w:div w:id="1767536003">
      <w:bodyDiv w:val="1"/>
      <w:marLeft w:val="0"/>
      <w:marRight w:val="0"/>
      <w:marTop w:val="0"/>
      <w:marBottom w:val="0"/>
      <w:divBdr>
        <w:top w:val="none" w:sz="0" w:space="0" w:color="auto"/>
        <w:left w:val="none" w:sz="0" w:space="0" w:color="auto"/>
        <w:bottom w:val="none" w:sz="0" w:space="0" w:color="auto"/>
        <w:right w:val="none" w:sz="0" w:space="0" w:color="auto"/>
      </w:divBdr>
    </w:div>
    <w:div w:id="1866095719">
      <w:bodyDiv w:val="1"/>
      <w:marLeft w:val="0"/>
      <w:marRight w:val="0"/>
      <w:marTop w:val="0"/>
      <w:marBottom w:val="0"/>
      <w:divBdr>
        <w:top w:val="none" w:sz="0" w:space="0" w:color="auto"/>
        <w:left w:val="none" w:sz="0" w:space="0" w:color="auto"/>
        <w:bottom w:val="none" w:sz="0" w:space="0" w:color="auto"/>
        <w:right w:val="none" w:sz="0" w:space="0" w:color="auto"/>
      </w:divBdr>
    </w:div>
    <w:div w:id="1989170746">
      <w:bodyDiv w:val="1"/>
      <w:marLeft w:val="0"/>
      <w:marRight w:val="0"/>
      <w:marTop w:val="0"/>
      <w:marBottom w:val="0"/>
      <w:divBdr>
        <w:top w:val="none" w:sz="0" w:space="0" w:color="auto"/>
        <w:left w:val="none" w:sz="0" w:space="0" w:color="auto"/>
        <w:bottom w:val="none" w:sz="0" w:space="0" w:color="auto"/>
        <w:right w:val="none" w:sz="0" w:space="0" w:color="auto"/>
      </w:divBdr>
    </w:div>
    <w:div w:id="2032607845">
      <w:bodyDiv w:val="1"/>
      <w:marLeft w:val="0"/>
      <w:marRight w:val="0"/>
      <w:marTop w:val="0"/>
      <w:marBottom w:val="0"/>
      <w:divBdr>
        <w:top w:val="none" w:sz="0" w:space="0" w:color="auto"/>
        <w:left w:val="none" w:sz="0" w:space="0" w:color="auto"/>
        <w:bottom w:val="none" w:sz="0" w:space="0" w:color="auto"/>
        <w:right w:val="none" w:sz="0" w:space="0" w:color="auto"/>
      </w:divBdr>
    </w:div>
    <w:div w:id="2064715444">
      <w:bodyDiv w:val="1"/>
      <w:marLeft w:val="0"/>
      <w:marRight w:val="0"/>
      <w:marTop w:val="0"/>
      <w:marBottom w:val="0"/>
      <w:divBdr>
        <w:top w:val="none" w:sz="0" w:space="0" w:color="auto"/>
        <w:left w:val="none" w:sz="0" w:space="0" w:color="auto"/>
        <w:bottom w:val="none" w:sz="0" w:space="0" w:color="auto"/>
        <w:right w:val="none" w:sz="0" w:space="0" w:color="auto"/>
      </w:divBdr>
    </w:div>
    <w:div w:id="20807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avison@well.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trobankonline.co.uk/" TargetMode="External"/><Relationship Id="rId4" Type="http://schemas.openxmlformats.org/officeDocument/2006/relationships/settings" Target="settings.xml"/><Relationship Id="rId9" Type="http://schemas.openxmlformats.org/officeDocument/2006/relationships/hyperlink" Target="http://dogcharityblog.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g10kgenomes.org/" TargetMode="External"/><Relationship Id="rId2" Type="http://schemas.openxmlformats.org/officeDocument/2006/relationships/hyperlink" Target="http://bigd.big.ac.cn/dogsdv2/" TargetMode="External"/><Relationship Id="rId1" Type="http://schemas.openxmlformats.org/officeDocument/2006/relationships/hyperlink" Target="https://www.omim.org/" TargetMode="External"/><Relationship Id="rId5" Type="http://schemas.openxmlformats.org/officeDocument/2006/relationships/hyperlink" Target="https://www.caninediabetesgenetics.org/" TargetMode="External"/><Relationship Id="rId4" Type="http://schemas.openxmlformats.org/officeDocument/2006/relationships/hyperlink" Target="https://www.rvc.ac.uk/diabet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7D19-4D82-6F4C-AFD1-566C4E03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8284</Words>
  <Characters>47219</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Denyer, Alice</dc:creator>
  <cp:keywords/>
  <dc:description/>
  <cp:lastModifiedBy>Denyer, Alice</cp:lastModifiedBy>
  <cp:revision>2</cp:revision>
  <dcterms:created xsi:type="dcterms:W3CDTF">2021-01-07T15:52:00Z</dcterms:created>
  <dcterms:modified xsi:type="dcterms:W3CDTF">2021-01-07T15:52:00Z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http://www.zotero.org/styles/the-veterinary-journal</vt:lpwstr>
  </property>
  <property fmtid="{D5CDD505-2E9C-101B-9397-08002B2CF9AE}" pid="19" name="Mendeley Recent Style Name 8_1">
    <vt:lpwstr>The Veterinary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