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557F5" w14:textId="47765410" w:rsidR="005B27BF" w:rsidRPr="00105869" w:rsidRDefault="005B27BF" w:rsidP="00D11410">
      <w:pPr>
        <w:spacing w:line="480" w:lineRule="auto"/>
        <w:rPr>
          <w:b/>
          <w:bCs/>
          <w:lang w:val="en-GB"/>
        </w:rPr>
      </w:pPr>
      <w:r w:rsidRPr="00105869">
        <w:rPr>
          <w:b/>
          <w:bCs/>
          <w:lang w:val="en-GB"/>
        </w:rPr>
        <w:t>Title</w:t>
      </w:r>
    </w:p>
    <w:p w14:paraId="04AC1FCE" w14:textId="0D2ABCBB" w:rsidR="005A4D8B" w:rsidRPr="00105869" w:rsidRDefault="0095350A" w:rsidP="00D11410">
      <w:pPr>
        <w:spacing w:line="480" w:lineRule="auto"/>
        <w:rPr>
          <w:b/>
          <w:bCs/>
          <w:lang w:val="en-GB"/>
        </w:rPr>
      </w:pPr>
      <w:r>
        <w:rPr>
          <w:b/>
          <w:bCs/>
          <w:lang w:val="en-GB"/>
        </w:rPr>
        <w:t>Agreement of Grading Radiographs of Thoracolumbar Spinous Processes in Healthy Horses on Pre-Purchase Examination</w:t>
      </w:r>
      <w:r w:rsidR="005B27BF" w:rsidRPr="00105869">
        <w:rPr>
          <w:b/>
          <w:bCs/>
          <w:lang w:val="en-GB"/>
        </w:rPr>
        <w:t xml:space="preserve"> </w:t>
      </w:r>
    </w:p>
    <w:p w14:paraId="5E2B9A80" w14:textId="0F75FCB2" w:rsidR="00D36636" w:rsidRDefault="00D36636" w:rsidP="00105869">
      <w:pPr>
        <w:spacing w:line="480" w:lineRule="auto"/>
        <w:rPr>
          <w:lang w:val="en-GB"/>
        </w:rPr>
      </w:pPr>
    </w:p>
    <w:p w14:paraId="3C6C0491" w14:textId="192A36D3" w:rsidR="00D36636" w:rsidRDefault="00D36636" w:rsidP="00105869">
      <w:pPr>
        <w:spacing w:line="480" w:lineRule="auto"/>
        <w:rPr>
          <w:lang w:val="en-GB"/>
        </w:rPr>
      </w:pPr>
      <w:r>
        <w:rPr>
          <w:lang w:val="en-GB"/>
        </w:rPr>
        <w:t xml:space="preserve">Running head: </w:t>
      </w:r>
      <w:r w:rsidR="00EF028E">
        <w:rPr>
          <w:lang w:val="en-GB"/>
        </w:rPr>
        <w:t>A</w:t>
      </w:r>
      <w:r w:rsidR="0095350A">
        <w:rPr>
          <w:lang w:val="en-GB"/>
        </w:rPr>
        <w:t xml:space="preserve">greement of </w:t>
      </w:r>
      <w:r w:rsidR="00EF028E">
        <w:rPr>
          <w:lang w:val="en-GB"/>
        </w:rPr>
        <w:t>back radiographs</w:t>
      </w:r>
      <w:r w:rsidR="0095350A">
        <w:rPr>
          <w:lang w:val="en-GB"/>
        </w:rPr>
        <w:t xml:space="preserve"> in h</w:t>
      </w:r>
      <w:r w:rsidR="00EF028E">
        <w:rPr>
          <w:lang w:val="en-GB"/>
        </w:rPr>
        <w:t>ealthy h</w:t>
      </w:r>
      <w:r w:rsidR="0095350A">
        <w:rPr>
          <w:lang w:val="en-GB"/>
        </w:rPr>
        <w:t xml:space="preserve">orses </w:t>
      </w:r>
    </w:p>
    <w:p w14:paraId="0CE15AA1" w14:textId="77777777" w:rsidR="0095350A" w:rsidRDefault="0095350A" w:rsidP="00105869">
      <w:pPr>
        <w:spacing w:line="480" w:lineRule="auto"/>
        <w:rPr>
          <w:lang w:val="en-GB"/>
        </w:rPr>
      </w:pPr>
    </w:p>
    <w:p w14:paraId="3DBEC965" w14:textId="1F3ADB61" w:rsidR="00D11410" w:rsidRPr="00105869" w:rsidRDefault="00D11410" w:rsidP="00105869">
      <w:pPr>
        <w:spacing w:line="480" w:lineRule="auto"/>
        <w:rPr>
          <w:lang w:val="en-GB"/>
        </w:rPr>
      </w:pPr>
      <w:r w:rsidRPr="00105869">
        <w:rPr>
          <w:lang w:val="en-GB"/>
        </w:rPr>
        <w:t>M. G. P. Looijen</w:t>
      </w:r>
      <w:r w:rsidRPr="00105869">
        <w:rPr>
          <w:vertAlign w:val="superscript"/>
          <w:lang w:val="en-GB"/>
        </w:rPr>
        <w:t>1</w:t>
      </w:r>
      <w:r w:rsidRPr="00105869">
        <w:rPr>
          <w:lang w:val="en-GB"/>
        </w:rPr>
        <w:t>, K. Hanousek</w:t>
      </w:r>
      <w:r w:rsidRPr="00105869">
        <w:rPr>
          <w:u w:val="single"/>
          <w:vertAlign w:val="superscript"/>
          <w:lang w:val="en-GB"/>
        </w:rPr>
        <w:t>1</w:t>
      </w:r>
      <w:r w:rsidRPr="00105869">
        <w:rPr>
          <w:lang w:val="en-GB"/>
        </w:rPr>
        <w:t>, J.T.M. Maree</w:t>
      </w:r>
      <w:r w:rsidRPr="00105869">
        <w:rPr>
          <w:u w:val="single"/>
          <w:vertAlign w:val="superscript"/>
          <w:lang w:val="en-GB"/>
        </w:rPr>
        <w:t>2</w:t>
      </w:r>
      <w:r w:rsidRPr="00105869">
        <w:rPr>
          <w:lang w:val="en-GB"/>
        </w:rPr>
        <w:t>, M.</w:t>
      </w:r>
      <w:r w:rsidR="00E31E27">
        <w:rPr>
          <w:lang w:val="en-GB"/>
        </w:rPr>
        <w:t>C</w:t>
      </w:r>
      <w:r w:rsidRPr="00105869">
        <w:rPr>
          <w:lang w:val="en-GB"/>
        </w:rPr>
        <w:t>. Visser</w:t>
      </w:r>
      <w:r w:rsidRPr="00105869">
        <w:rPr>
          <w:u w:val="single"/>
          <w:vertAlign w:val="superscript"/>
          <w:lang w:val="en-GB"/>
        </w:rPr>
        <w:t>2</w:t>
      </w:r>
      <w:r w:rsidRPr="00105869">
        <w:rPr>
          <w:lang w:val="en-GB"/>
        </w:rPr>
        <w:t>, D. Berner</w:t>
      </w:r>
      <w:r w:rsidRPr="00105869">
        <w:rPr>
          <w:u w:val="single"/>
          <w:vertAlign w:val="superscript"/>
          <w:lang w:val="en-GB"/>
        </w:rPr>
        <w:t>1</w:t>
      </w:r>
    </w:p>
    <w:p w14:paraId="5B40EE1F" w14:textId="77777777" w:rsidR="00D11410" w:rsidRPr="00105869" w:rsidRDefault="00D11410" w:rsidP="00105869">
      <w:pPr>
        <w:shd w:val="clear" w:color="auto" w:fill="FFFFFF"/>
        <w:spacing w:line="480" w:lineRule="auto"/>
        <w:rPr>
          <w:lang w:val="en-GB"/>
        </w:rPr>
      </w:pPr>
    </w:p>
    <w:p w14:paraId="64FC1192" w14:textId="04696A9C" w:rsidR="00D11410" w:rsidRPr="00105869" w:rsidRDefault="00D11410" w:rsidP="00105869">
      <w:pPr>
        <w:shd w:val="clear" w:color="auto" w:fill="FFFFFF"/>
        <w:spacing w:line="480" w:lineRule="auto"/>
        <w:rPr>
          <w:lang w:val="en-GB"/>
        </w:rPr>
      </w:pPr>
      <w:r w:rsidRPr="00105869">
        <w:rPr>
          <w:vertAlign w:val="superscript"/>
          <w:lang w:val="en-GB"/>
        </w:rPr>
        <w:t>1</w:t>
      </w:r>
      <w:r w:rsidRPr="00105869">
        <w:rPr>
          <w:lang w:val="en-GB"/>
        </w:rPr>
        <w:t xml:space="preserve"> </w:t>
      </w:r>
      <w:r w:rsidR="00D36636">
        <w:rPr>
          <w:lang w:val="en-GB"/>
        </w:rPr>
        <w:t xml:space="preserve">Equine Referral Hospital, </w:t>
      </w:r>
      <w:r w:rsidRPr="00105869">
        <w:rPr>
          <w:lang w:val="en-GB"/>
        </w:rPr>
        <w:t>Royal Veterinary College,</w:t>
      </w:r>
      <w:r w:rsidR="00D36636">
        <w:rPr>
          <w:lang w:val="en-GB"/>
        </w:rPr>
        <w:t xml:space="preserve"> University of London,</w:t>
      </w:r>
      <w:r w:rsidRPr="00105869">
        <w:rPr>
          <w:lang w:val="en-GB"/>
        </w:rPr>
        <w:t xml:space="preserve"> </w:t>
      </w:r>
      <w:proofErr w:type="spellStart"/>
      <w:r w:rsidR="00D36636">
        <w:rPr>
          <w:lang w:val="en-GB"/>
        </w:rPr>
        <w:t>Hawskhead</w:t>
      </w:r>
      <w:proofErr w:type="spellEnd"/>
      <w:r w:rsidR="00D36636">
        <w:rPr>
          <w:lang w:val="en-GB"/>
        </w:rPr>
        <w:t xml:space="preserve"> </w:t>
      </w:r>
      <w:r w:rsidR="00EF028E">
        <w:rPr>
          <w:lang w:val="en-GB"/>
        </w:rPr>
        <w:t>Lane</w:t>
      </w:r>
      <w:r w:rsidRPr="00105869">
        <w:rPr>
          <w:lang w:val="en-GB"/>
        </w:rPr>
        <w:t xml:space="preserve">, </w:t>
      </w:r>
      <w:r w:rsidR="00D36636">
        <w:rPr>
          <w:lang w:val="en-GB"/>
        </w:rPr>
        <w:t xml:space="preserve">Hatfield, </w:t>
      </w:r>
      <w:r w:rsidRPr="00105869">
        <w:rPr>
          <w:lang w:val="en-GB"/>
        </w:rPr>
        <w:t>AL9 7TA, United Kingdom</w:t>
      </w:r>
    </w:p>
    <w:p w14:paraId="353B06F9" w14:textId="69FA9412" w:rsidR="00D11410" w:rsidRPr="00105869" w:rsidRDefault="00D11410" w:rsidP="00105869">
      <w:pPr>
        <w:shd w:val="clear" w:color="auto" w:fill="FFFFFF"/>
        <w:spacing w:line="480" w:lineRule="auto"/>
        <w:rPr>
          <w:lang w:val="en-GB"/>
        </w:rPr>
      </w:pPr>
      <w:r w:rsidRPr="00105869">
        <w:rPr>
          <w:vertAlign w:val="superscript"/>
          <w:lang w:val="en-GB"/>
        </w:rPr>
        <w:t>2</w:t>
      </w:r>
      <w:r w:rsidRPr="00105869">
        <w:rPr>
          <w:lang w:val="en-GB"/>
        </w:rPr>
        <w:t xml:space="preserve"> </w:t>
      </w:r>
      <w:proofErr w:type="spellStart"/>
      <w:r w:rsidR="000C6F6E" w:rsidRPr="00105869">
        <w:rPr>
          <w:lang w:val="en-GB"/>
        </w:rPr>
        <w:t>Evidensia</w:t>
      </w:r>
      <w:proofErr w:type="spellEnd"/>
      <w:r w:rsidR="000C6F6E" w:rsidRPr="00105869">
        <w:rPr>
          <w:lang w:val="en-GB"/>
        </w:rPr>
        <w:t xml:space="preserve"> </w:t>
      </w:r>
      <w:proofErr w:type="spellStart"/>
      <w:r w:rsidRPr="00105869">
        <w:rPr>
          <w:lang w:val="en-GB"/>
        </w:rPr>
        <w:t>Veterinair</w:t>
      </w:r>
      <w:proofErr w:type="spellEnd"/>
      <w:r w:rsidRPr="00105869">
        <w:rPr>
          <w:lang w:val="en-GB"/>
        </w:rPr>
        <w:t xml:space="preserve"> Centrum </w:t>
      </w:r>
      <w:proofErr w:type="spellStart"/>
      <w:r w:rsidRPr="00105869">
        <w:rPr>
          <w:lang w:val="en-GB"/>
        </w:rPr>
        <w:t>Honselersdijk</w:t>
      </w:r>
      <w:proofErr w:type="spellEnd"/>
      <w:r w:rsidRPr="00105869">
        <w:rPr>
          <w:lang w:val="en-GB"/>
        </w:rPr>
        <w:t xml:space="preserve">, </w:t>
      </w:r>
      <w:proofErr w:type="spellStart"/>
      <w:r w:rsidR="00D36636">
        <w:rPr>
          <w:lang w:val="en-GB"/>
        </w:rPr>
        <w:t>Harteveldlaan</w:t>
      </w:r>
      <w:proofErr w:type="spellEnd"/>
      <w:r w:rsidR="00D36636">
        <w:rPr>
          <w:lang w:val="en-GB"/>
        </w:rPr>
        <w:t xml:space="preserve"> 3, </w:t>
      </w:r>
      <w:proofErr w:type="spellStart"/>
      <w:r w:rsidRPr="00105869">
        <w:rPr>
          <w:lang w:val="en-GB"/>
        </w:rPr>
        <w:t>Honselersdijk</w:t>
      </w:r>
      <w:proofErr w:type="spellEnd"/>
      <w:r w:rsidRPr="00105869">
        <w:rPr>
          <w:lang w:val="en-GB"/>
        </w:rPr>
        <w:t>, 2675 LE, the Netherlands</w:t>
      </w:r>
    </w:p>
    <w:p w14:paraId="34875EBE" w14:textId="77777777" w:rsidR="00D11410" w:rsidRPr="00105869" w:rsidRDefault="00D11410" w:rsidP="00105869">
      <w:pPr>
        <w:spacing w:line="480" w:lineRule="auto"/>
        <w:rPr>
          <w:lang w:val="en-GB"/>
        </w:rPr>
      </w:pPr>
    </w:p>
    <w:p w14:paraId="3F7E3AE9" w14:textId="3FB8B21E" w:rsidR="003659FA" w:rsidRPr="00EF028E" w:rsidRDefault="00D11410" w:rsidP="006F2073">
      <w:pPr>
        <w:spacing w:line="480" w:lineRule="auto"/>
        <w:rPr>
          <w:b/>
          <w:bCs/>
          <w:lang w:val="en-GB"/>
        </w:rPr>
      </w:pPr>
      <w:r w:rsidRPr="00105869">
        <w:rPr>
          <w:lang w:val="en-GB"/>
        </w:rPr>
        <w:t xml:space="preserve">*Corresponding author e-mail: </w:t>
      </w:r>
      <w:hyperlink r:id="rId8" w:history="1">
        <w:r w:rsidRPr="00105869">
          <w:rPr>
            <w:rStyle w:val="Hyperlink"/>
            <w:lang w:val="en-GB"/>
          </w:rPr>
          <w:t>mlooijen@rvc.ac.uk</w:t>
        </w:r>
      </w:hyperlink>
      <w:r w:rsidR="00D36636">
        <w:rPr>
          <w:rStyle w:val="Hyperlink"/>
          <w:lang w:val="en-GB"/>
        </w:rPr>
        <w:t xml:space="preserve">, </w:t>
      </w:r>
      <w:proofErr w:type="spellStart"/>
      <w:r w:rsidR="00D36636" w:rsidRPr="00427620">
        <w:t>telephone</w:t>
      </w:r>
      <w:proofErr w:type="spellEnd"/>
      <w:r w:rsidR="00D36636" w:rsidRPr="00427620">
        <w:t xml:space="preserve"> </w:t>
      </w:r>
      <w:proofErr w:type="spellStart"/>
      <w:r w:rsidR="00D36636" w:rsidRPr="00427620">
        <w:t>number</w:t>
      </w:r>
      <w:proofErr w:type="spellEnd"/>
      <w:r w:rsidR="00D36636" w:rsidRPr="00427620">
        <w:t xml:space="preserve">: </w:t>
      </w:r>
      <w:r w:rsidR="00EF028E" w:rsidRPr="00EF028E">
        <w:rPr>
          <w:lang w:val="en-GB"/>
        </w:rPr>
        <w:t>+44 1707 666297</w:t>
      </w:r>
    </w:p>
    <w:p w14:paraId="4C39FC6E" w14:textId="059B0074" w:rsidR="002000C1" w:rsidRDefault="003659FA" w:rsidP="00994588">
      <w:pPr>
        <w:spacing w:line="480" w:lineRule="auto"/>
        <w:rPr>
          <w:lang w:val="en-GB"/>
        </w:rPr>
      </w:pPr>
      <w:r w:rsidRPr="00EF028E">
        <w:rPr>
          <w:lang w:val="en-GB"/>
        </w:rPr>
        <w:t>Keywords</w:t>
      </w:r>
      <w:r w:rsidRPr="00105869">
        <w:rPr>
          <w:b/>
          <w:bCs/>
          <w:lang w:val="en-GB"/>
        </w:rPr>
        <w:t xml:space="preserve">: </w:t>
      </w:r>
      <w:r w:rsidRPr="00105869">
        <w:rPr>
          <w:lang w:val="en-GB"/>
        </w:rPr>
        <w:t xml:space="preserve">equine, back, </w:t>
      </w:r>
      <w:r w:rsidR="00CB4D62">
        <w:rPr>
          <w:lang w:val="en-GB"/>
        </w:rPr>
        <w:t xml:space="preserve">without </w:t>
      </w:r>
      <w:r w:rsidRPr="00105869">
        <w:rPr>
          <w:lang w:val="en-GB"/>
        </w:rPr>
        <w:t>clinical symptoms, inter-observer, intra-observer</w:t>
      </w:r>
      <w:r w:rsidR="00CB4D62">
        <w:rPr>
          <w:lang w:val="en-GB"/>
        </w:rPr>
        <w:t>, x-rays</w:t>
      </w:r>
      <w:r w:rsidRPr="00105869">
        <w:rPr>
          <w:lang w:val="en-GB"/>
        </w:rPr>
        <w:t>.</w:t>
      </w:r>
    </w:p>
    <w:p w14:paraId="23D64DCA" w14:textId="79F1340F" w:rsidR="0095350A" w:rsidRDefault="0095350A" w:rsidP="00994588">
      <w:pPr>
        <w:spacing w:line="480" w:lineRule="auto"/>
        <w:rPr>
          <w:lang w:val="en-GB"/>
        </w:rPr>
      </w:pPr>
    </w:p>
    <w:p w14:paraId="35671F62" w14:textId="1C3ADB76" w:rsidR="0095350A" w:rsidRPr="00105869" w:rsidRDefault="0095350A" w:rsidP="00994588">
      <w:pPr>
        <w:spacing w:line="480" w:lineRule="auto"/>
        <w:rPr>
          <w:b/>
          <w:bCs/>
          <w:lang w:val="en-GB"/>
        </w:rPr>
      </w:pPr>
      <w:r>
        <w:rPr>
          <w:lang w:val="en-GB"/>
        </w:rPr>
        <w:t>Word count:</w:t>
      </w:r>
      <w:r w:rsidR="004C5797">
        <w:rPr>
          <w:lang w:val="en-GB"/>
        </w:rPr>
        <w:t xml:space="preserve"> </w:t>
      </w:r>
      <w:r w:rsidR="004520D9">
        <w:rPr>
          <w:lang w:val="en-GB"/>
        </w:rPr>
        <w:t>3706</w:t>
      </w:r>
    </w:p>
    <w:p w14:paraId="77D60D48" w14:textId="77777777" w:rsidR="0095350A" w:rsidRDefault="0095350A">
      <w:pPr>
        <w:spacing w:line="480" w:lineRule="auto"/>
        <w:rPr>
          <w:b/>
          <w:bCs/>
          <w:lang w:val="en-GB"/>
        </w:rPr>
      </w:pPr>
    </w:p>
    <w:p w14:paraId="0B664CF6" w14:textId="77777777" w:rsidR="0095350A" w:rsidRDefault="0095350A">
      <w:pPr>
        <w:spacing w:line="480" w:lineRule="auto"/>
        <w:rPr>
          <w:b/>
          <w:bCs/>
          <w:lang w:val="en-GB"/>
        </w:rPr>
      </w:pPr>
    </w:p>
    <w:p w14:paraId="6FB65EA7" w14:textId="77777777" w:rsidR="00DC34F8" w:rsidRDefault="00DC34F8">
      <w:pPr>
        <w:rPr>
          <w:b/>
          <w:bCs/>
          <w:lang w:val="en-GB"/>
        </w:rPr>
      </w:pPr>
      <w:r>
        <w:rPr>
          <w:b/>
          <w:bCs/>
          <w:lang w:val="en-GB"/>
        </w:rPr>
        <w:br w:type="page"/>
      </w:r>
    </w:p>
    <w:p w14:paraId="5AC4A6C4" w14:textId="3275E3F1" w:rsidR="008C628C" w:rsidRPr="00105869" w:rsidRDefault="0095350A">
      <w:pPr>
        <w:spacing w:line="480" w:lineRule="auto"/>
        <w:rPr>
          <w:b/>
          <w:bCs/>
          <w:lang w:val="en-GB"/>
        </w:rPr>
      </w:pPr>
      <w:r>
        <w:rPr>
          <w:b/>
          <w:bCs/>
          <w:lang w:val="en-GB"/>
        </w:rPr>
        <w:lastRenderedPageBreak/>
        <w:t>ABSTRACT:</w:t>
      </w:r>
    </w:p>
    <w:p w14:paraId="208581C2" w14:textId="3D15B48C" w:rsidR="0095350A" w:rsidRDefault="0095350A">
      <w:pPr>
        <w:spacing w:line="480" w:lineRule="auto"/>
        <w:rPr>
          <w:b/>
          <w:bCs/>
          <w:lang w:val="en-GB"/>
        </w:rPr>
      </w:pPr>
      <w:r w:rsidRPr="00EF028E">
        <w:rPr>
          <w:b/>
          <w:bCs/>
          <w:lang w:val="en-GB"/>
        </w:rPr>
        <w:t>Background</w:t>
      </w:r>
      <w:r>
        <w:rPr>
          <w:lang w:val="en-GB"/>
        </w:rPr>
        <w:t xml:space="preserve">: </w:t>
      </w:r>
      <w:r w:rsidR="00BD4D6C" w:rsidRPr="00105869">
        <w:rPr>
          <w:lang w:val="en-GB"/>
        </w:rPr>
        <w:t xml:space="preserve">There is wide variability in radiographic </w:t>
      </w:r>
      <w:r w:rsidR="00222991" w:rsidRPr="00105869">
        <w:rPr>
          <w:lang w:val="en-GB"/>
        </w:rPr>
        <w:t xml:space="preserve">grading systems </w:t>
      </w:r>
      <w:r w:rsidR="00BD4D6C" w:rsidRPr="00105869">
        <w:rPr>
          <w:lang w:val="en-GB"/>
        </w:rPr>
        <w:t xml:space="preserve">in thoracolumbar spinous processes in horses. </w:t>
      </w:r>
      <w:r w:rsidR="0083686B">
        <w:rPr>
          <w:lang w:val="en-GB"/>
        </w:rPr>
        <w:t xml:space="preserve">The aim of this study was to determine agreement of </w:t>
      </w:r>
      <w:r w:rsidR="00E40353">
        <w:rPr>
          <w:lang w:val="en-GB"/>
        </w:rPr>
        <w:t xml:space="preserve">grading </w:t>
      </w:r>
      <w:r w:rsidR="0083686B">
        <w:rPr>
          <w:lang w:val="en-GB"/>
        </w:rPr>
        <w:t>different parameters</w:t>
      </w:r>
      <w:r w:rsidR="00F55ACE">
        <w:rPr>
          <w:lang w:val="en-GB"/>
        </w:rPr>
        <w:t>, and combinations of those,</w:t>
      </w:r>
      <w:r w:rsidR="0083686B">
        <w:rPr>
          <w:lang w:val="en-GB"/>
        </w:rPr>
        <w:t xml:space="preserve"> </w:t>
      </w:r>
      <w:r w:rsidR="00F55ACE">
        <w:rPr>
          <w:lang w:val="en-GB"/>
        </w:rPr>
        <w:t>in</w:t>
      </w:r>
      <w:r w:rsidR="0083686B">
        <w:rPr>
          <w:lang w:val="en-GB"/>
        </w:rPr>
        <w:t xml:space="preserve"> radiographs</w:t>
      </w:r>
      <w:r w:rsidR="00E40353">
        <w:rPr>
          <w:lang w:val="en-GB"/>
        </w:rPr>
        <w:t xml:space="preserve"> of the spinous processes of the equine thoracolumbar spine</w:t>
      </w:r>
      <w:r w:rsidR="00F55ACE">
        <w:rPr>
          <w:lang w:val="en-GB"/>
        </w:rPr>
        <w:t xml:space="preserve"> </w:t>
      </w:r>
      <w:r w:rsidR="00870196">
        <w:rPr>
          <w:lang w:val="en-GB"/>
        </w:rPr>
        <w:t>in the scope of</w:t>
      </w:r>
      <w:r w:rsidR="00F55ACE">
        <w:rPr>
          <w:lang w:val="en-GB"/>
        </w:rPr>
        <w:t xml:space="preserve"> prepurchase examination</w:t>
      </w:r>
      <w:r w:rsidR="0083686B">
        <w:rPr>
          <w:lang w:val="en-GB"/>
        </w:rPr>
        <w:t>.</w:t>
      </w:r>
      <w:r w:rsidR="00F55ACE">
        <w:rPr>
          <w:lang w:val="en-GB"/>
        </w:rPr>
        <w:t xml:space="preserve"> We hypothesized that agreement is variable and interpretation of these radiographs is difficult. </w:t>
      </w:r>
    </w:p>
    <w:p w14:paraId="453E04C4" w14:textId="462219F3" w:rsidR="00CB4D62" w:rsidRDefault="0095350A">
      <w:pPr>
        <w:spacing w:line="480" w:lineRule="auto"/>
        <w:rPr>
          <w:lang w:val="en-GB"/>
        </w:rPr>
      </w:pPr>
      <w:r w:rsidRPr="00EF028E">
        <w:rPr>
          <w:b/>
          <w:bCs/>
          <w:lang w:val="en-GB"/>
        </w:rPr>
        <w:t>Methods</w:t>
      </w:r>
      <w:r>
        <w:rPr>
          <w:lang w:val="en-GB"/>
        </w:rPr>
        <w:t xml:space="preserve">: </w:t>
      </w:r>
      <w:r w:rsidR="00235175" w:rsidRPr="00105869">
        <w:rPr>
          <w:lang w:val="en-GB"/>
        </w:rPr>
        <w:t>R</w:t>
      </w:r>
      <w:r w:rsidR="009F41E5" w:rsidRPr="00105869">
        <w:rPr>
          <w:lang w:val="en-GB"/>
        </w:rPr>
        <w:t xml:space="preserve">adiographs </w:t>
      </w:r>
      <w:r w:rsidR="00337C6B" w:rsidRPr="00105869">
        <w:rPr>
          <w:lang w:val="en-GB"/>
        </w:rPr>
        <w:t xml:space="preserve">of the thoracolumbar spine </w:t>
      </w:r>
      <w:r w:rsidR="00C91218" w:rsidRPr="00105869">
        <w:rPr>
          <w:lang w:val="en-GB"/>
        </w:rPr>
        <w:t xml:space="preserve">of </w:t>
      </w:r>
      <w:r w:rsidR="00647D1F">
        <w:rPr>
          <w:lang w:val="en-GB"/>
        </w:rPr>
        <w:t xml:space="preserve">healthy </w:t>
      </w:r>
      <w:r w:rsidR="00C91218" w:rsidRPr="00105869">
        <w:rPr>
          <w:lang w:val="en-GB"/>
        </w:rPr>
        <w:t xml:space="preserve">horses </w:t>
      </w:r>
      <w:r w:rsidR="00337C6B" w:rsidRPr="00105869">
        <w:rPr>
          <w:lang w:val="en-GB"/>
        </w:rPr>
        <w:t>(N=100)</w:t>
      </w:r>
      <w:r w:rsidR="00235175" w:rsidRPr="00105869">
        <w:rPr>
          <w:lang w:val="en-GB"/>
        </w:rPr>
        <w:t xml:space="preserve"> </w:t>
      </w:r>
      <w:r w:rsidR="00337C6B" w:rsidRPr="00105869">
        <w:rPr>
          <w:lang w:val="en-GB"/>
        </w:rPr>
        <w:t xml:space="preserve">were </w:t>
      </w:r>
      <w:r w:rsidR="00C91218" w:rsidRPr="00105869">
        <w:rPr>
          <w:lang w:val="en-GB"/>
        </w:rPr>
        <w:t xml:space="preserve">assessed </w:t>
      </w:r>
      <w:r w:rsidR="00337C6B" w:rsidRPr="00105869">
        <w:rPr>
          <w:lang w:val="en-GB"/>
        </w:rPr>
        <w:t xml:space="preserve">by three observers. Spinous processes were </w:t>
      </w:r>
      <w:r>
        <w:rPr>
          <w:lang w:val="en-GB"/>
        </w:rPr>
        <w:t xml:space="preserve">separately </w:t>
      </w:r>
      <w:r w:rsidR="00337C6B" w:rsidRPr="00105869">
        <w:rPr>
          <w:lang w:val="en-GB"/>
        </w:rPr>
        <w:t>graded for interspinous space width,</w:t>
      </w:r>
      <w:r w:rsidR="009F41E5" w:rsidRPr="00105869">
        <w:rPr>
          <w:lang w:val="en-GB"/>
        </w:rPr>
        <w:t xml:space="preserve"> </w:t>
      </w:r>
      <w:r w:rsidR="00337C6B" w:rsidRPr="00105869">
        <w:rPr>
          <w:lang w:val="en-GB"/>
        </w:rPr>
        <w:t xml:space="preserve">modelling, </w:t>
      </w:r>
      <w:r w:rsidR="009F41E5" w:rsidRPr="00105869">
        <w:rPr>
          <w:lang w:val="en-GB"/>
        </w:rPr>
        <w:t>radio</w:t>
      </w:r>
      <w:r w:rsidR="00337C6B" w:rsidRPr="00105869">
        <w:rPr>
          <w:lang w:val="en-GB"/>
        </w:rPr>
        <w:t>pacit</w:t>
      </w:r>
      <w:r w:rsidR="009F41E5" w:rsidRPr="00105869">
        <w:rPr>
          <w:lang w:val="en-GB"/>
        </w:rPr>
        <w:t>ies</w:t>
      </w:r>
      <w:r w:rsidR="00337C6B" w:rsidRPr="00105869">
        <w:rPr>
          <w:lang w:val="en-GB"/>
        </w:rPr>
        <w:t xml:space="preserve">, </w:t>
      </w:r>
      <w:proofErr w:type="spellStart"/>
      <w:r w:rsidR="00337C6B" w:rsidRPr="00105869">
        <w:rPr>
          <w:lang w:val="en-GB"/>
        </w:rPr>
        <w:t>radioluc</w:t>
      </w:r>
      <w:r w:rsidR="009F41E5" w:rsidRPr="00105869">
        <w:rPr>
          <w:lang w:val="en-GB"/>
        </w:rPr>
        <w:t>encies</w:t>
      </w:r>
      <w:proofErr w:type="spellEnd"/>
      <w:r w:rsidR="00BB07B7" w:rsidRPr="00105869">
        <w:rPr>
          <w:lang w:val="en-GB"/>
        </w:rPr>
        <w:t xml:space="preserve"> </w:t>
      </w:r>
      <w:r w:rsidR="00337C6B" w:rsidRPr="00105869">
        <w:rPr>
          <w:lang w:val="en-GB"/>
        </w:rPr>
        <w:t xml:space="preserve">and isolated opacities dorsally. Inter- and intra-observer agreement was assessed </w:t>
      </w:r>
      <w:r w:rsidR="00637BC3" w:rsidRPr="00105869">
        <w:rPr>
          <w:lang w:val="en-GB"/>
        </w:rPr>
        <w:t xml:space="preserve">for </w:t>
      </w:r>
      <w:r w:rsidR="00235175" w:rsidRPr="00105869">
        <w:rPr>
          <w:lang w:val="en-GB"/>
        </w:rPr>
        <w:t>individual</w:t>
      </w:r>
      <w:r w:rsidR="00637BC3" w:rsidRPr="00105869">
        <w:rPr>
          <w:lang w:val="en-GB"/>
        </w:rPr>
        <w:t xml:space="preserve"> and combinations of </w:t>
      </w:r>
      <w:r w:rsidR="00235175" w:rsidRPr="00105869">
        <w:rPr>
          <w:lang w:val="en-GB"/>
        </w:rPr>
        <w:t>parameters</w:t>
      </w:r>
      <w:r w:rsidR="00637BC3" w:rsidRPr="00105869">
        <w:rPr>
          <w:lang w:val="en-GB"/>
        </w:rPr>
        <w:t>.</w:t>
      </w:r>
      <w:r w:rsidR="00D479F9" w:rsidRPr="00105869">
        <w:rPr>
          <w:lang w:val="en-GB"/>
        </w:rPr>
        <w:t xml:space="preserve"> </w:t>
      </w:r>
    </w:p>
    <w:p w14:paraId="38FA3CA3" w14:textId="17CFAFBB" w:rsidR="0095350A" w:rsidRDefault="0095350A">
      <w:pPr>
        <w:spacing w:line="480" w:lineRule="auto"/>
        <w:rPr>
          <w:lang w:val="en-GB"/>
        </w:rPr>
      </w:pPr>
      <w:r w:rsidRPr="00EF028E">
        <w:rPr>
          <w:b/>
          <w:bCs/>
          <w:lang w:val="en-GB"/>
        </w:rPr>
        <w:t>Results</w:t>
      </w:r>
      <w:r>
        <w:rPr>
          <w:lang w:val="en-GB"/>
        </w:rPr>
        <w:t xml:space="preserve">: </w:t>
      </w:r>
      <w:r w:rsidR="00307750" w:rsidRPr="00105869">
        <w:rPr>
          <w:lang w:val="en-GB"/>
        </w:rPr>
        <w:t>Agreement</w:t>
      </w:r>
      <w:r w:rsidR="00337C6B" w:rsidRPr="00105869">
        <w:rPr>
          <w:lang w:val="en-GB"/>
        </w:rPr>
        <w:t xml:space="preserve"> </w:t>
      </w:r>
      <w:r w:rsidR="005F4B6F">
        <w:rPr>
          <w:lang w:val="en-GB"/>
        </w:rPr>
        <w:t xml:space="preserve">(inter- and intra-observer) </w:t>
      </w:r>
      <w:r w:rsidR="00337C6B" w:rsidRPr="00105869">
        <w:rPr>
          <w:lang w:val="en-GB"/>
        </w:rPr>
        <w:t xml:space="preserve">was </w:t>
      </w:r>
      <w:r>
        <w:rPr>
          <w:lang w:val="en-GB"/>
        </w:rPr>
        <w:t xml:space="preserve">good </w:t>
      </w:r>
      <w:r w:rsidR="00235175" w:rsidRPr="00105869">
        <w:rPr>
          <w:lang w:val="en-GB"/>
        </w:rPr>
        <w:t xml:space="preserve">for </w:t>
      </w:r>
      <w:r>
        <w:rPr>
          <w:lang w:val="en-GB"/>
        </w:rPr>
        <w:t xml:space="preserve">the </w:t>
      </w:r>
      <w:r w:rsidR="00337C6B" w:rsidRPr="00105869">
        <w:rPr>
          <w:lang w:val="en-GB"/>
        </w:rPr>
        <w:t>parameters</w:t>
      </w:r>
      <w:r>
        <w:rPr>
          <w:lang w:val="en-GB"/>
        </w:rPr>
        <w:t>;</w:t>
      </w:r>
      <w:r w:rsidR="00337C6B" w:rsidRPr="00105869">
        <w:rPr>
          <w:lang w:val="en-GB"/>
        </w:rPr>
        <w:t xml:space="preserve"> interspinous space width</w:t>
      </w:r>
      <w:r w:rsidR="002C5952" w:rsidRPr="00105869">
        <w:rPr>
          <w:lang w:val="en-GB"/>
        </w:rPr>
        <w:t xml:space="preserve">, </w:t>
      </w:r>
      <w:r w:rsidR="00337C6B" w:rsidRPr="00105869">
        <w:rPr>
          <w:lang w:val="en-GB"/>
        </w:rPr>
        <w:t>isolated opacities</w:t>
      </w:r>
      <w:r w:rsidR="00647D1F">
        <w:rPr>
          <w:lang w:val="en-GB"/>
        </w:rPr>
        <w:t xml:space="preserve"> dorsally</w:t>
      </w:r>
      <w:r w:rsidR="002C5952" w:rsidRPr="00105869">
        <w:rPr>
          <w:lang w:val="en-GB"/>
        </w:rPr>
        <w:t xml:space="preserve">, </w:t>
      </w:r>
      <w:r w:rsidR="00341C39" w:rsidRPr="00105869">
        <w:rPr>
          <w:lang w:val="en-GB"/>
        </w:rPr>
        <w:t xml:space="preserve">beak-shaped </w:t>
      </w:r>
      <w:r w:rsidR="00D31951" w:rsidRPr="00105869">
        <w:rPr>
          <w:lang w:val="en-GB"/>
        </w:rPr>
        <w:t xml:space="preserve">formations </w:t>
      </w:r>
      <w:r w:rsidR="009D5563" w:rsidRPr="00105869">
        <w:rPr>
          <w:lang w:val="en-GB"/>
        </w:rPr>
        <w:t>craniodorsally and</w:t>
      </w:r>
      <w:r w:rsidR="003D7C57" w:rsidRPr="00105869">
        <w:rPr>
          <w:lang w:val="en-GB"/>
        </w:rPr>
        <w:t xml:space="preserve"> modelling cranioventrally</w:t>
      </w:r>
      <w:r w:rsidR="00DB6F43" w:rsidRPr="00105869">
        <w:rPr>
          <w:lang w:val="en-GB"/>
        </w:rPr>
        <w:t xml:space="preserve">. </w:t>
      </w:r>
      <w:r>
        <w:rPr>
          <w:lang w:val="en-GB"/>
        </w:rPr>
        <w:t xml:space="preserve">Agreement </w:t>
      </w:r>
      <w:r w:rsidR="000F3627" w:rsidRPr="00105869">
        <w:rPr>
          <w:lang w:val="en-GB"/>
        </w:rPr>
        <w:t xml:space="preserve">increased </w:t>
      </w:r>
      <w:r w:rsidR="003A0067" w:rsidRPr="00105869">
        <w:rPr>
          <w:lang w:val="en-GB"/>
        </w:rPr>
        <w:t xml:space="preserve">slightly </w:t>
      </w:r>
      <w:r w:rsidR="000F3627" w:rsidRPr="00105869">
        <w:rPr>
          <w:lang w:val="en-GB"/>
        </w:rPr>
        <w:t xml:space="preserve">for </w:t>
      </w:r>
      <w:r w:rsidR="002C5952" w:rsidRPr="00105869">
        <w:rPr>
          <w:lang w:val="en-GB"/>
        </w:rPr>
        <w:t xml:space="preserve">sum </w:t>
      </w:r>
      <w:r w:rsidR="00637BC3" w:rsidRPr="00105869">
        <w:rPr>
          <w:lang w:val="en-GB"/>
        </w:rPr>
        <w:t xml:space="preserve">of </w:t>
      </w:r>
      <w:r w:rsidR="000F3627" w:rsidRPr="00105869">
        <w:rPr>
          <w:lang w:val="en-GB"/>
        </w:rPr>
        <w:t xml:space="preserve">specific parameters </w:t>
      </w:r>
      <w:r w:rsidR="003A0067" w:rsidRPr="00105869">
        <w:rPr>
          <w:lang w:val="en-GB"/>
        </w:rPr>
        <w:t>such as</w:t>
      </w:r>
      <w:r w:rsidR="000F3627" w:rsidRPr="00105869">
        <w:rPr>
          <w:lang w:val="en-GB"/>
        </w:rPr>
        <w:t xml:space="preserve"> </w:t>
      </w:r>
      <w:r w:rsidR="009F41E5" w:rsidRPr="00105869">
        <w:rPr>
          <w:lang w:val="en-GB"/>
        </w:rPr>
        <w:t>radio</w:t>
      </w:r>
      <w:r w:rsidR="000F3627" w:rsidRPr="00105869">
        <w:rPr>
          <w:lang w:val="en-GB"/>
        </w:rPr>
        <w:t>pacities</w:t>
      </w:r>
      <w:r w:rsidR="002C5952" w:rsidRPr="00105869">
        <w:rPr>
          <w:lang w:val="en-GB"/>
        </w:rPr>
        <w:t xml:space="preserve">, </w:t>
      </w:r>
      <w:r w:rsidR="000F3627" w:rsidRPr="00105869">
        <w:rPr>
          <w:lang w:val="en-GB"/>
        </w:rPr>
        <w:t>modelling</w:t>
      </w:r>
      <w:r w:rsidR="003A0067" w:rsidRPr="00105869">
        <w:rPr>
          <w:lang w:val="en-GB"/>
        </w:rPr>
        <w:t>,</w:t>
      </w:r>
      <w:r w:rsidR="009F41E5" w:rsidRPr="00105869">
        <w:rPr>
          <w:lang w:val="en-GB"/>
        </w:rPr>
        <w:t xml:space="preserve"> </w:t>
      </w:r>
      <w:r w:rsidR="000F3627" w:rsidRPr="00105869">
        <w:rPr>
          <w:lang w:val="en-GB"/>
        </w:rPr>
        <w:t xml:space="preserve">dorsal abnormalities and related abnormalities </w:t>
      </w:r>
      <w:r w:rsidR="00435EC3" w:rsidRPr="00105869">
        <w:rPr>
          <w:lang w:val="en-GB"/>
        </w:rPr>
        <w:t xml:space="preserve">involving </w:t>
      </w:r>
      <w:r w:rsidR="000F3627" w:rsidRPr="00105869">
        <w:rPr>
          <w:lang w:val="en-GB"/>
        </w:rPr>
        <w:t>increased opacity, modelling and osseous cyst like lesions</w:t>
      </w:r>
      <w:r w:rsidR="00307750" w:rsidRPr="00105869">
        <w:rPr>
          <w:lang w:val="en-GB"/>
        </w:rPr>
        <w:t>.</w:t>
      </w:r>
      <w:r w:rsidR="00435EC3" w:rsidRPr="00105869">
        <w:rPr>
          <w:lang w:val="en-GB"/>
        </w:rPr>
        <w:t xml:space="preserve"> </w:t>
      </w:r>
      <w:r w:rsidRPr="00105869">
        <w:rPr>
          <w:lang w:val="en-GB"/>
        </w:rPr>
        <w:t>Agreement for the total radiographic abnormalities per back was moderate</w:t>
      </w:r>
      <w:r>
        <w:rPr>
          <w:lang w:val="en-GB"/>
        </w:rPr>
        <w:t>.</w:t>
      </w:r>
    </w:p>
    <w:p w14:paraId="1FF6408D" w14:textId="2494DFFC" w:rsidR="005B27BF" w:rsidRPr="00105869" w:rsidRDefault="0095350A">
      <w:pPr>
        <w:spacing w:line="480" w:lineRule="auto"/>
        <w:rPr>
          <w:b/>
          <w:bCs/>
          <w:lang w:val="en-GB"/>
        </w:rPr>
      </w:pPr>
      <w:r w:rsidRPr="00EF028E">
        <w:rPr>
          <w:b/>
          <w:bCs/>
          <w:lang w:val="en-GB"/>
        </w:rPr>
        <w:t>Conclusions</w:t>
      </w:r>
      <w:r>
        <w:rPr>
          <w:lang w:val="en-GB"/>
        </w:rPr>
        <w:t>:</w:t>
      </w:r>
      <w:r w:rsidR="00307750" w:rsidRPr="00105869">
        <w:rPr>
          <w:lang w:val="en-GB"/>
        </w:rPr>
        <w:t xml:space="preserve"> </w:t>
      </w:r>
      <w:r w:rsidR="00852174">
        <w:rPr>
          <w:iCs/>
          <w:lang w:val="en-GB"/>
        </w:rPr>
        <w:t>G</w:t>
      </w:r>
      <w:r w:rsidR="00040D79" w:rsidRPr="00105869">
        <w:rPr>
          <w:iCs/>
          <w:lang w:val="en-GB"/>
        </w:rPr>
        <w:t>rading of thoracolumbar radiographs in horse</w:t>
      </w:r>
      <w:r w:rsidR="00DE23F7" w:rsidRPr="00105869">
        <w:rPr>
          <w:iCs/>
          <w:lang w:val="en-GB"/>
        </w:rPr>
        <w:t>s</w:t>
      </w:r>
      <w:r w:rsidR="00040D79" w:rsidRPr="00105869">
        <w:rPr>
          <w:iCs/>
          <w:lang w:val="en-GB"/>
        </w:rPr>
        <w:t xml:space="preserve"> </w:t>
      </w:r>
      <w:r w:rsidR="00C318FA" w:rsidRPr="00105869">
        <w:rPr>
          <w:iCs/>
          <w:lang w:val="en-GB"/>
        </w:rPr>
        <w:t xml:space="preserve">without back pain </w:t>
      </w:r>
      <w:r w:rsidR="00040D79" w:rsidRPr="00105869">
        <w:rPr>
          <w:iCs/>
          <w:lang w:val="en-GB"/>
        </w:rPr>
        <w:t xml:space="preserve">showed </w:t>
      </w:r>
      <w:r>
        <w:rPr>
          <w:iCs/>
          <w:lang w:val="en-GB"/>
        </w:rPr>
        <w:t xml:space="preserve">good </w:t>
      </w:r>
      <w:r w:rsidR="00040D79" w:rsidRPr="00105869">
        <w:rPr>
          <w:iCs/>
          <w:lang w:val="en-GB"/>
        </w:rPr>
        <w:t xml:space="preserve">inter- and intra-observer agreement for </w:t>
      </w:r>
      <w:r>
        <w:rPr>
          <w:iCs/>
          <w:lang w:val="en-GB"/>
        </w:rPr>
        <w:t>specific</w:t>
      </w:r>
      <w:r w:rsidRPr="00105869">
        <w:rPr>
          <w:iCs/>
          <w:lang w:val="en-GB"/>
        </w:rPr>
        <w:t xml:space="preserve"> </w:t>
      </w:r>
      <w:r w:rsidR="00040D79" w:rsidRPr="00105869">
        <w:rPr>
          <w:iCs/>
          <w:lang w:val="en-GB"/>
        </w:rPr>
        <w:t xml:space="preserve">parameters and these </w:t>
      </w:r>
      <w:r>
        <w:rPr>
          <w:iCs/>
          <w:lang w:val="en-GB"/>
        </w:rPr>
        <w:t>should be used in future grading of spinous processes</w:t>
      </w:r>
      <w:r w:rsidR="005B4A5A">
        <w:rPr>
          <w:iCs/>
          <w:lang w:val="en-GB"/>
        </w:rPr>
        <w:t>. L</w:t>
      </w:r>
      <w:r w:rsidR="00040D79" w:rsidRPr="00105869">
        <w:rPr>
          <w:iCs/>
          <w:lang w:val="en-GB"/>
        </w:rPr>
        <w:t>imitations should be considered in pre-purchase examinations</w:t>
      </w:r>
      <w:r w:rsidR="00435EC3" w:rsidRPr="00105869">
        <w:rPr>
          <w:lang w:val="en-GB"/>
        </w:rPr>
        <w:t xml:space="preserve">.  </w:t>
      </w:r>
    </w:p>
    <w:p w14:paraId="47F5081F" w14:textId="37C3A505" w:rsidR="005B27BF" w:rsidRDefault="005B27BF">
      <w:pPr>
        <w:spacing w:line="480" w:lineRule="auto"/>
        <w:rPr>
          <w:lang w:val="en-GB"/>
        </w:rPr>
      </w:pPr>
    </w:p>
    <w:p w14:paraId="679E846F" w14:textId="1C84C5D6" w:rsidR="005B4A5A" w:rsidRDefault="005B4A5A">
      <w:pPr>
        <w:spacing w:line="480" w:lineRule="auto"/>
        <w:rPr>
          <w:lang w:val="en-GB"/>
        </w:rPr>
      </w:pPr>
    </w:p>
    <w:p w14:paraId="3B20A9DC" w14:textId="77777777" w:rsidR="00DC34F8" w:rsidRDefault="00DC34F8">
      <w:pPr>
        <w:rPr>
          <w:b/>
          <w:bCs/>
          <w:lang w:val="en-GB"/>
        </w:rPr>
      </w:pPr>
      <w:r>
        <w:rPr>
          <w:b/>
          <w:bCs/>
          <w:lang w:val="en-GB"/>
        </w:rPr>
        <w:br w:type="page"/>
      </w:r>
    </w:p>
    <w:p w14:paraId="4A715DA6" w14:textId="372C575F" w:rsidR="005B27BF" w:rsidRPr="00105869" w:rsidRDefault="005B4A5A">
      <w:pPr>
        <w:spacing w:line="480" w:lineRule="auto"/>
        <w:rPr>
          <w:b/>
          <w:bCs/>
          <w:lang w:val="en-GB"/>
        </w:rPr>
      </w:pPr>
      <w:r>
        <w:rPr>
          <w:b/>
          <w:bCs/>
          <w:lang w:val="en-GB"/>
        </w:rPr>
        <w:lastRenderedPageBreak/>
        <w:t>INTRODUCTION</w:t>
      </w:r>
    </w:p>
    <w:p w14:paraId="401044A1" w14:textId="1C576431" w:rsidR="00A84F30" w:rsidRDefault="00F0274D" w:rsidP="00105869">
      <w:pPr>
        <w:spacing w:line="480" w:lineRule="auto"/>
        <w:rPr>
          <w:lang w:val="en-GB"/>
        </w:rPr>
      </w:pPr>
      <w:r w:rsidRPr="00105869">
        <w:rPr>
          <w:lang w:val="en-GB"/>
        </w:rPr>
        <w:t>Recently</w:t>
      </w:r>
      <w:r w:rsidR="00341C39" w:rsidRPr="00105869">
        <w:rPr>
          <w:lang w:val="en-GB"/>
        </w:rPr>
        <w:t xml:space="preserve"> there is much discussion</w:t>
      </w:r>
      <w:r w:rsidR="0081118B" w:rsidRPr="00105869">
        <w:rPr>
          <w:lang w:val="en-GB"/>
        </w:rPr>
        <w:t xml:space="preserve"> about</w:t>
      </w:r>
      <w:r w:rsidR="00341C39" w:rsidRPr="00105869">
        <w:rPr>
          <w:lang w:val="en-GB"/>
        </w:rPr>
        <w:t xml:space="preserve"> the clinical </w:t>
      </w:r>
      <w:r w:rsidR="00AB4414" w:rsidRPr="00105869">
        <w:rPr>
          <w:lang w:val="en-GB"/>
        </w:rPr>
        <w:t xml:space="preserve">benefit </w:t>
      </w:r>
      <w:r w:rsidR="00341C39" w:rsidRPr="00105869">
        <w:rPr>
          <w:lang w:val="en-GB"/>
        </w:rPr>
        <w:t xml:space="preserve">of </w:t>
      </w:r>
      <w:r w:rsidR="00AB4414" w:rsidRPr="00105869">
        <w:rPr>
          <w:lang w:val="en-GB"/>
        </w:rPr>
        <w:t>radiographic examination</w:t>
      </w:r>
      <w:r w:rsidR="00341C39" w:rsidRPr="00105869">
        <w:rPr>
          <w:lang w:val="en-GB"/>
        </w:rPr>
        <w:t xml:space="preserve"> of the </w:t>
      </w:r>
      <w:r w:rsidR="00380B5C" w:rsidRPr="00105869">
        <w:rPr>
          <w:lang w:val="en-GB"/>
        </w:rPr>
        <w:t xml:space="preserve">thoracolumbar </w:t>
      </w:r>
      <w:r w:rsidR="00341C39" w:rsidRPr="00105869">
        <w:rPr>
          <w:lang w:val="en-GB"/>
        </w:rPr>
        <w:t xml:space="preserve">spinous processes </w:t>
      </w:r>
      <w:r w:rsidR="00A24347" w:rsidRPr="00105869">
        <w:rPr>
          <w:lang w:val="en-GB"/>
        </w:rPr>
        <w:t xml:space="preserve">(SP) </w:t>
      </w:r>
      <w:r w:rsidR="00341C39" w:rsidRPr="00105869">
        <w:rPr>
          <w:lang w:val="en-GB"/>
        </w:rPr>
        <w:t xml:space="preserve">in healthy horses </w:t>
      </w:r>
      <w:r w:rsidR="00380B5C" w:rsidRPr="00105869">
        <w:rPr>
          <w:lang w:val="en-GB"/>
        </w:rPr>
        <w:t xml:space="preserve">during </w:t>
      </w:r>
      <w:r w:rsidR="00341C39" w:rsidRPr="00105869">
        <w:rPr>
          <w:lang w:val="en-GB"/>
        </w:rPr>
        <w:t>pre-purchase examination</w:t>
      </w:r>
      <w:r w:rsidR="00E46901" w:rsidRPr="00105869">
        <w:rPr>
          <w:lang w:val="en-GB"/>
        </w:rPr>
        <w:t xml:space="preserve"> (PPE)</w:t>
      </w:r>
      <w:r w:rsidR="00341C39" w:rsidRPr="00105869">
        <w:rPr>
          <w:lang w:val="en-GB"/>
        </w:rPr>
        <w:t xml:space="preserve">. </w:t>
      </w:r>
      <w:r w:rsidR="00BD4694" w:rsidRPr="00105869">
        <w:rPr>
          <w:lang w:val="en-GB"/>
        </w:rPr>
        <w:t>The FEEVA stated in 2018 that radiograp</w:t>
      </w:r>
      <w:r w:rsidR="001272EB" w:rsidRPr="00105869">
        <w:rPr>
          <w:lang w:val="en-GB"/>
        </w:rPr>
        <w:t>hs</w:t>
      </w:r>
      <w:r w:rsidR="00BD4694" w:rsidRPr="00105869">
        <w:rPr>
          <w:lang w:val="en-GB"/>
        </w:rPr>
        <w:t xml:space="preserve"> of </w:t>
      </w:r>
      <w:r w:rsidR="00A86AED">
        <w:rPr>
          <w:lang w:val="en-GB"/>
        </w:rPr>
        <w:t xml:space="preserve">equine </w:t>
      </w:r>
      <w:r w:rsidR="00380B5C" w:rsidRPr="00105869">
        <w:rPr>
          <w:lang w:val="en-GB"/>
        </w:rPr>
        <w:t xml:space="preserve">thoracolumbar </w:t>
      </w:r>
      <w:r w:rsidR="00A24347" w:rsidRPr="00105869">
        <w:rPr>
          <w:lang w:val="en-GB"/>
        </w:rPr>
        <w:t>SP</w:t>
      </w:r>
      <w:r w:rsidR="00BD4694" w:rsidRPr="00105869">
        <w:rPr>
          <w:lang w:val="en-GB"/>
        </w:rPr>
        <w:t xml:space="preserve"> as part of the </w:t>
      </w:r>
      <w:r w:rsidR="00E46901" w:rsidRPr="00105869">
        <w:rPr>
          <w:lang w:val="en-GB"/>
        </w:rPr>
        <w:t>PPE</w:t>
      </w:r>
      <w:r w:rsidR="00AB4414" w:rsidRPr="00105869">
        <w:rPr>
          <w:lang w:val="en-GB"/>
        </w:rPr>
        <w:t xml:space="preserve"> are not recommend</w:t>
      </w:r>
      <w:r w:rsidR="005E2D2D">
        <w:rPr>
          <w:lang w:val="en-GB"/>
        </w:rPr>
        <w:t>ed</w:t>
      </w:r>
      <w:r w:rsidR="00DC1DEB">
        <w:rPr>
          <w:lang w:val="en-GB"/>
        </w:rPr>
        <w:t>, they consider that there is no evidence of a correlation between the radiographic appearance of SP and future risk of back pain in asymptomatic horses</w:t>
      </w:r>
      <w:r w:rsidR="00222991" w:rsidRPr="00105869">
        <w:rPr>
          <w:lang w:val="en-GB"/>
        </w:rPr>
        <w:t xml:space="preserve"> </w:t>
      </w:r>
      <w:r w:rsidR="000C01E9" w:rsidRPr="00105869">
        <w:rPr>
          <w:lang w:val="en-GB"/>
        </w:rPr>
        <w:fldChar w:fldCharType="begin" w:fldLock="1"/>
      </w:r>
      <w:r w:rsidR="009F4FB3">
        <w:rPr>
          <w:lang w:val="en-GB"/>
        </w:rPr>
        <w:instrText>ADDIN CSL_CITATION {"citationItems":[{"id":"ITEM-1","itemData":{"URL":"https://feeva.fve.org/working_documents/ppe_rx/","container-title":"FEEVA","id":"ITEM-1","issued":{"date-parts":[["2018"]]},"title":"FEEVA Position Statement of pre-purchase radiography on dorsal spinous processes","type":"webpage"},"uris":["http://www.mendeley.com/documents/?uuid=0bf824df-2a44-436b-b6f5-93b9f15eeafb"]}],"mendeley":{"formattedCitation":"(1)","plainTextFormattedCitation":"(1)","previouslyFormattedCitation":"(1)"},"properties":{"noteIndex":0},"schema":"https://github.com/citation-style-language/schema/raw/master/csl-citation.json"}</w:instrText>
      </w:r>
      <w:r w:rsidR="000C01E9" w:rsidRPr="00105869">
        <w:rPr>
          <w:lang w:val="en-GB"/>
        </w:rPr>
        <w:fldChar w:fldCharType="separate"/>
      </w:r>
      <w:r w:rsidR="00FE2B59" w:rsidRPr="00105869">
        <w:rPr>
          <w:noProof/>
          <w:lang w:val="en-GB"/>
        </w:rPr>
        <w:t>(1)</w:t>
      </w:r>
      <w:r w:rsidR="000C01E9" w:rsidRPr="00105869">
        <w:rPr>
          <w:lang w:val="en-GB"/>
        </w:rPr>
        <w:fldChar w:fldCharType="end"/>
      </w:r>
      <w:r w:rsidR="00A86AED">
        <w:rPr>
          <w:lang w:val="en-GB"/>
        </w:rPr>
        <w:t xml:space="preserve"> </w:t>
      </w:r>
      <w:r w:rsidR="00DC1DEB">
        <w:rPr>
          <w:lang w:val="en-GB"/>
        </w:rPr>
        <w:t>These findings are supported by m</w:t>
      </w:r>
      <w:r w:rsidR="00A86AED">
        <w:rPr>
          <w:lang w:val="en-GB"/>
        </w:rPr>
        <w:t>ultiple studies</w:t>
      </w:r>
      <w:r w:rsidR="005A235F">
        <w:rPr>
          <w:lang w:val="en-GB"/>
        </w:rPr>
        <w:t>,</w:t>
      </w:r>
      <w:r w:rsidR="00A86AED">
        <w:rPr>
          <w:lang w:val="en-GB"/>
        </w:rPr>
        <w:t xml:space="preserve"> </w:t>
      </w:r>
      <w:r w:rsidR="00DC1DEB">
        <w:rPr>
          <w:lang w:val="en-GB"/>
        </w:rPr>
        <w:t xml:space="preserve">which </w:t>
      </w:r>
      <w:r w:rsidR="00952BF4">
        <w:rPr>
          <w:lang w:val="en-GB"/>
        </w:rPr>
        <w:t>reveal</w:t>
      </w:r>
      <w:r w:rsidR="00DC1DEB">
        <w:rPr>
          <w:lang w:val="en-GB"/>
        </w:rPr>
        <w:t xml:space="preserve"> </w:t>
      </w:r>
      <w:r w:rsidR="00952BF4">
        <w:rPr>
          <w:lang w:val="en-GB"/>
        </w:rPr>
        <w:t>a</w:t>
      </w:r>
      <w:r w:rsidR="00A86AED">
        <w:rPr>
          <w:lang w:val="en-GB"/>
        </w:rPr>
        <w:t xml:space="preserve"> lack of clinical significance of radiographic findings of SP</w:t>
      </w:r>
      <w:r w:rsidR="00ED6028">
        <w:rPr>
          <w:lang w:val="en-GB"/>
        </w:rPr>
        <w:t>.</w:t>
      </w:r>
      <w:r w:rsidR="000C01E9" w:rsidRPr="00105869">
        <w:rPr>
          <w:lang w:val="en-GB"/>
        </w:rPr>
        <w:fldChar w:fldCharType="begin" w:fldLock="1"/>
      </w:r>
      <w:r w:rsidR="009F4FB3">
        <w:rPr>
          <w:lang w:val="en-GB"/>
        </w:rPr>
        <w:instrText>ADDIN CSL_CITATION {"citationItems":[{"id":"ITEM-1","itemData":{"author":[{"dropping-particle":"","family":"Rieland","given":"E","non-dropping-particle":"","parse-names":false,"suffix":""}],"container-title":"Radiological findings in spinous processes in clinically sound horses","id":"ITEM-1","issued":{"date-parts":[["2002"]]},"publisher":"MICEM-Kongress, Maastricht","title":"Radiological findings in spinous processes in clinically sound horses","type":"paper-conference"},"uris":["http://www.mendeley.com/documents/?uuid=cb2c8bd4-e907-4afd-914c-dbeca5e213ea"]},{"id":"ITEM-2","itemData":{"author":[{"dropping-particle":"","family":"Ranner","given":"W.","non-dropping-particle":"","parse-names":false,"suffix":""},{"dropping-particle":"","family":"Gerhards","given":"H.","non-dropping-particle":"","parse-names":false,"suffix":""}],"container-title":"Pferdeheilkunde","id":"ITEM-2","issued":{"date-parts":[["2002"]]},"title":"Vorkommen und Bedeutung von Rückenerkrankungen-Insbesondere des “Kissing Spine”-Syndroms-Bei Pferden in Süddeutschland.","type":"article-journal"},"uris":["http://www.mendeley.com/documents/?uuid=d848a2c1-e06b-43b2-bca3-8143485fea2e"]},{"id":"ITEM-3","itemData":{"DOI":"10.2746/0425164044877341","ISSN":"04251644","PMID":"15460068","abstract":"Reasons for performing study: Radiography and scintigraphy are used to aid diagnosis of the cause of back pain, but a large variation in appearance and radiopharmaceutical uptake in fully functioning horses make diagnosis difficult. Objectives: To describe the range of and compare scintigraphic and radiographic findings in the spinous processes of horses without clinical signs of back problems. Methods: Thirty-three apparently normal riding horses underwent scintigraphic and radiographic examinations of the spinous processes in the thoracolumbar spine. Scintigraphic images were evaluated in a continuous blue, green and red colour scale, and the level of radiopharmaceutical uptake in the spinous processes from T10-L2 was graded into none, mild, moderate or severe increased radiopharmaceutical uptake. Structural changes along the borders of the spinous processes and the width of the interspinous spaces from T10-L2 were recorded. Results: Only 7 horses had no scintigraphic or radiographic findings. Nine horses had no increased radiopharmaceutical uptake, 17 had no sclerosis, 21 had no radiolucencies and 11 had normal spacing of the spinous processes (&gt;4 mm wide). The majority of findings in 26 horses were located from T13-18 and were mild. Conclusions: The findings of a wide spectrum of scintigraphic and radiographic changes leads to the conclusion that changes within this range found in affected horses cannot be interpreted as clinically significant. Potential relevance: To determine whether scintigraphy and/or radiography can be used to separate horses with back pain from horses without clinical signs, the results from this study should be compared to the scintigraphic and radiographic findings in horses with clinical signs.","author":[{"dropping-particle":"","family":"Erichsen","given":"C.","non-dropping-particle":"","parse-names":false,"suffix":""},{"dropping-particle":"","family":"Eksell","given":"P.","non-dropping-particle":"","parse-names":false,"suffix":""},{"dropping-particle":"","family":"Roethlisberger Holm","given":"K.","non-dropping-particle":"","parse-names":false,"suffix":""},{"dropping-particle":"","family":"Lord","given":"P.","non-dropping-particle":"","parse-names":false,"suffix":""},{"dropping-particle":"","family":"Johnston","given":"C.","non-dropping-particle":"","parse-names":false,"suffix":""}],"container-title":"Equine Veterinary Journal","id":"ITEM-3","issue":"6","issued":{"date-parts":[["2004"]]},"page":"458-465","title":"Relationship between scintigraphic and radiographic evaluations of spinous processes in the thoracolumbar spine in riding horses without clinical signs of back problems","type":"article-journal","volume":"36"},"uris":["http://www.mendeley.com/documents/?uuid=5c233ecf-5ab9-4864-9434-7194183c41fe"]},{"id":"ITEM-4","itemData":{"DOI":"10.21836/pem20070506","ISSN":"01777726","abstract":"The significance of X-ray alterations in the sense of \"Kissing Spines\" for the usefulness of saddle horses is highly disputed. In spite of considerable x-ray results some horses show no clinical discomfort. On the other hand alterations on the spinal processes can cause pain and involve problems when riding the horse or make a horse even unridable. In order to being better equipped to assess the x-ray results on the spinal processes, a retrospective study was performed by way of analysis of spinal processes -x-rays of 295 clinically back sound warm-blood horses. All horses of this study were x-rayed in \"Tierklinik Telgte\". X-ray alterations on the spinal processes were diagnosed with 91,5% of the horses. The x-ray results were assessed according to localisation, character and degree of alteration. Most afflicted spinal processes were found to be vertebras T12 to T18. The most frequent results were diminished internal spaces of spinal processes including changes of the bone structure of the spinal processes. Only 8,5% of the tested horses showed no abnormality in the x-ray results. X-ray alterations thus are frequent even among clinically back healthy horses. If alterations occur almost always the spinal processes of the caudal saddle position are affected. Recent court decisions have ruled x-ray alterations not accompanied by clinical symptoms as not being material defects. Therefore it is worth discussing whether an x-ray exam as part of a general exam at the time of a purchase makes sense at all under these circumstances when x-rays are performed without a clinical suspicion of a dorsal ailment it would most probably be sufficient to perform a singular x-ray of the caudal saddle position allowing for radiation protection.","author":[{"dropping-particle":"","family":"Holmer","given":"Matilda","non-dropping-particle":"","parse-names":false,"suffix":""},{"dropping-particle":"","family":"Wollanke","given":"Bettina","non-dropping-particle":"","parse-names":false,"suffix":""},{"dropping-particle":"","family":"Stadtbäumer","given":"Guido","non-dropping-particle":"","parse-names":false,"suffix":""}],"container-title":"Pferdeheilkunde","id":"ITEM-4","issue":"5","issued":{"date-parts":[["2007"]]},"page":"507-511","title":"X-ray alterations on spinal processes of 295 warmblood horses without clinical findings","type":"article-journal","volume":"23"},"uris":["http://www.mendeley.com/documents/?uuid=5f9009b5-eac1-45b6-991a-0f7938b67ebb"]},{"id":"ITEM-5","itemData":{"DOI":"10.21836/PEM20150106","ISSN":"01777726","author":[{"dropping-particle":"","family":"Geiger","given":"Carmen P.","non-dropping-particle":"","parse-names":false,"suffix":""},{"dropping-particle":"","family":"Gerhards","given":"Hartmut","non-dropping-particle":"","parse-names":false,"suffix":""}],"container-title":"Pferdeheilkunde","id":"ITEM-5","issue":"1","issued":{"date-parts":[["2015"]]},"page":"39-48","title":"Radiologische Befunderhebung an der Brustwirbelsäule des Pferdes gemäß des Röntgenleitfadens 2007 unter Berücksichtigung der klinischen Relevanz","type":"article-journal","volume":"31"},"uris":["http://www.mendeley.com/documents/?uuid=eea26e92-abfc-42e7-a095-c324585c0a5c"]}],"mendeley":{"formattedCitation":"(2–6)","plainTextFormattedCitation":"(2–6)","previouslyFormattedCitation":"(2–6)"},"properties":{"noteIndex":0},"schema":"https://github.com/citation-style-language/schema/raw/master/csl-citation.json"}</w:instrText>
      </w:r>
      <w:r w:rsidR="000C01E9" w:rsidRPr="00105869">
        <w:rPr>
          <w:lang w:val="en-GB"/>
        </w:rPr>
        <w:fldChar w:fldCharType="separate"/>
      </w:r>
      <w:r w:rsidR="00FE2B59" w:rsidRPr="00105869">
        <w:rPr>
          <w:noProof/>
          <w:lang w:val="en-GB"/>
        </w:rPr>
        <w:t>(2–6)</w:t>
      </w:r>
      <w:r w:rsidR="000C01E9" w:rsidRPr="00105869">
        <w:rPr>
          <w:lang w:val="en-GB"/>
        </w:rPr>
        <w:fldChar w:fldCharType="end"/>
      </w:r>
      <w:r w:rsidR="004508BA">
        <w:rPr>
          <w:lang w:val="en-GB"/>
        </w:rPr>
        <w:t xml:space="preserve"> </w:t>
      </w:r>
      <w:bookmarkStart w:id="0" w:name="OLE_LINK27"/>
      <w:bookmarkStart w:id="1" w:name="OLE_LINK28"/>
      <w:r w:rsidR="00DC1DEB">
        <w:rPr>
          <w:lang w:val="en-GB"/>
        </w:rPr>
        <w:t>However, t</w:t>
      </w:r>
      <w:r w:rsidR="00ED6028">
        <w:rPr>
          <w:lang w:val="en-GB"/>
        </w:rPr>
        <w:t xml:space="preserve">his is in contrast to other </w:t>
      </w:r>
      <w:r w:rsidR="00234F05" w:rsidRPr="00EF028E">
        <w:rPr>
          <w:lang w:val="en-GB"/>
        </w:rPr>
        <w:t>studies</w:t>
      </w:r>
      <w:r w:rsidR="00ED6028">
        <w:rPr>
          <w:lang w:val="en-GB"/>
        </w:rPr>
        <w:t xml:space="preserve"> which show</w:t>
      </w:r>
      <w:r w:rsidR="00DC1DEB">
        <w:rPr>
          <w:lang w:val="en-GB"/>
        </w:rPr>
        <w:t>ed</w:t>
      </w:r>
      <w:r w:rsidR="00ED6028">
        <w:rPr>
          <w:lang w:val="en-GB"/>
        </w:rPr>
        <w:t xml:space="preserve"> a </w:t>
      </w:r>
      <w:r w:rsidR="00234F05" w:rsidRPr="00EF028E">
        <w:rPr>
          <w:lang w:val="en-GB"/>
        </w:rPr>
        <w:t xml:space="preserve">good correlation between clinical </w:t>
      </w:r>
      <w:r w:rsidR="00952BF4">
        <w:rPr>
          <w:lang w:val="en-GB"/>
        </w:rPr>
        <w:t>symptoms</w:t>
      </w:r>
      <w:r w:rsidR="00952BF4" w:rsidRPr="00EF028E">
        <w:rPr>
          <w:lang w:val="en-GB"/>
        </w:rPr>
        <w:t xml:space="preserve"> </w:t>
      </w:r>
      <w:r w:rsidR="00234F05" w:rsidRPr="00EF028E">
        <w:rPr>
          <w:lang w:val="en-GB"/>
        </w:rPr>
        <w:t xml:space="preserve">and </w:t>
      </w:r>
      <w:r w:rsidR="004C708F">
        <w:rPr>
          <w:lang w:val="en-GB"/>
        </w:rPr>
        <w:t xml:space="preserve">radiographic </w:t>
      </w:r>
      <w:r w:rsidR="00234F05" w:rsidRPr="00EF028E">
        <w:rPr>
          <w:lang w:val="en-GB"/>
        </w:rPr>
        <w:t xml:space="preserve">abnormalities </w:t>
      </w:r>
      <w:r w:rsidR="004508BA">
        <w:rPr>
          <w:lang w:val="en-GB"/>
        </w:rPr>
        <w:t>in</w:t>
      </w:r>
      <w:r w:rsidR="004508BA" w:rsidRPr="000B4056">
        <w:rPr>
          <w:lang w:val="en-GB"/>
        </w:rPr>
        <w:t xml:space="preserve"> horses with signs of back pain</w:t>
      </w:r>
      <w:r w:rsidR="009F4FB3" w:rsidRPr="00EF028E">
        <w:rPr>
          <w:lang w:val="en-GB"/>
        </w:rPr>
        <w:t>.</w:t>
      </w:r>
      <w:r w:rsidR="009F4FB3" w:rsidRPr="00EF028E">
        <w:rPr>
          <w:lang w:val="en-GB"/>
        </w:rPr>
        <w:fldChar w:fldCharType="begin" w:fldLock="1"/>
      </w:r>
      <w:r w:rsidR="00B56CA6">
        <w:rPr>
          <w:lang w:val="en-GB"/>
        </w:rPr>
        <w:instrText>ADDIN CSL_CITATION {"citationItems":[{"id":"ITEM-1","itemData":{"DOI":"10.1111/j.2042-3306.2011.00373.x","ISSN":"04251644","PMID":"21880062","abstract":"Reasons for performing study: There has been no objective study comparing radiological features of spinous processes (SPs) in the thoracolumbar region and/or scintigraphic findings with clinical signs. Objectives: To investigate the relationship between the presence or absence of clinical signs of back pain and: 1) radiological findings of close, impinging or overriding SPs; 2) increased radiopharmaceutical uptake (IRU) in the SPs; and 3) the combination of radiological findings and IRU. Also to determine the prevalence of concurrent osseous pathology. Methods: Five-hundred and eighty-two horses, presented for perceived back pain and poor performance, underwent comprehensive clinical investigation including diagnostic analgesia of the forelimbs, hindlimbs, back and sacroiliac joints, and radiographic and scintigraphic evaluation of the thoracolumbar spine. Radiological and scintigraphic grades were determined subjectively. Statistical analysis was performed to determine the relationships between clinical signs of back pain, radiological and scintigraphic features, age, breed, gender, discipline, height and weight. Results: Thoroughbreds (TBs) were over-represented with thoracolumbar pain compared with Warmbloods and TB cross breeds. There was a significant association between maximum and total radiological grades of the SPs and thoracolumbar pain, between maximum and total grades of IRU and thoracolumbar pain, and between a combination of radiological and scintigraphic abnormalities and thoracolumbar pain. Horses with osteoarthritis (OA) of the synovial intervertebral articulations (SIAs) were more likely to have thoracolumbar pain than horses with lesions of the SPs alone, but the presence of OA of the SIAs and lesions of the SPs was associated with the highest likelihood of thoracolumbar pain. Conclusions and potential relevance: Fore- or hindlimb lameness and/or pain associated with the sacroiliac joints could mimic primary thoracolumbar pain. A combination of radiology and scintigraphy gives the most accurate prediction of thoracolumbar pain, but diagnostic analgesia is crucial for accurate diagnosis. © 2011 EVJ Ltd.","author":[{"dropping-particle":"","family":"Zimmerman","given":"M.","non-dropping-particle":"","parse-names":false,"suffix":""},{"dropping-particle":"","family":"Dyson","given":"S.","non-dropping-particle":"","parse-names":false,"suffix":""},{"dropping-particle":"","family":"Murray","given":"R.","non-dropping-particle":"","parse-names":false,"suffix":""}],"container-title":"Equine Veterinary Journal","id":"ITEM-1","issue":"2","issued":{"date-parts":[["2012"]]},"page":"178-184","title":"Close, impinging and overriding spinous processes in the thoracolumbar spine: The relationship between radiological and scintigraphic findings and clinical signs","type":"article-journal","volume":"44"},"uris":["http://www.mendeley.com/documents/?uuid=e83bcad9-688c-4e87-b914-8856883bec82"]},{"id":"ITEM-2","itemData":{"abstract":"\"Kissing spines\" is a radiographic diagnosis. It occurs in 39% of the horse population but does not cause problems in all horses. Kissing spines make a horse 3 times more likely to have back pain. Kissing spines are more likely associated with clinical problems in Thoroughbreds, dressage horses, horses 5 years of age or less, and horses with 5 or more vertebrae involved. Thermography is very helpful in suggesting the pathology in the evaluation of horses with back pain. Lateral radiographs of the spinous processes of the thoracolumbar vertebrae are used to confirm and characterize the condition. A therapeutic regimen combining shockwave, mesotherapy, and exercise had the most successful outcome in clinical cases. Author's address: Anoka Equine Veterinary Services ,","author":[{"dropping-particle":"","family":"Turner","given":"Tracy A","non-dropping-particle":"","parse-names":false,"suffix":""}],"container-title":"Proceedings of the 57th Annual Convention of the American Association of Equine Practitioners","id":"ITEM-2","issued":{"date-parts":[["2011"]]},"page":"18-22","title":"Overriding Spinous Processes (\"Kissing Spines\") in Horses: Diagnosis, Treatment, and Outcome in 212 Cases","type":"article-journal","volume":"57"},"uris":["http://www.mendeley.com/documents/?uuid=a29dcce6-91c5-4b6b-8653-47500dda8f05"]},{"id":"ITEM-3","itemData":{"DOI":"10.1136/vr.c70","ISSN":"00424900","PMID":"20064977","abstract":"The radiographs of 102 French trotters presented with signs of back pain were reviewed retrospectively, and a control group of 16 French trotters without back pain was analysed. The age, sex, type of race, number of starts, earnings and index of performance were recorded. Radiological evaluation was performed from the 14th thoracic (T14) to the third lumbar (L3) vertebra. Impingement of the spinous processes (ISP), periarticular proliferation of synovial intervertebral articulations (PP-SIA) and sclerosis of SIA (S-SIA) were located and graded. Radiological lesions were identified in 10 (62 per cent) of horses in the control group and 98 (96 per cent) of horses in the clinical group. The number of affected horses, the number of radiological lesions per horse and the mean number of affected intervertebral spaces were significantly higher in the clinical group. For ISP, the number of affected horses was not significantly different between the groups, but the number of affected interspinous spaces and the grade of lesions were significantly higher in the clinical group. For PP-SIA, the number of affected horses, the number of affected SIA and the grade of lesions were significantly higher in the clinical group. For S-SIA, the number of affected horses and the number of affected SIA were not significantly different between the groups but the grade of lesions was significantly higher in the clinical group. In both groups, ISP was most commonly encountered between T15-T18 and PP-SIA and S-SIA were most commonly encountered between T17-L2. Radiographic lesions of the back were less severe and more localised in horses without back pain than in those with back pain.","author":[{"dropping-particle":"","family":"Cousty","given":"M.","non-dropping-particle":"","parse-names":false,"suffix":""},{"dropping-particle":"","family":"Retureau","given":"C.","non-dropping-particle":"","parse-names":false,"suffix":""},{"dropping-particle":"","family":"Tricaud","given":"C.","non-dropping-particle":"","parse-names":false,"suffix":""},{"dropping-particle":"","family":"Geffroy","given":"O.","non-dropping-particle":"","parse-names":false,"suffix":""},{"dropping-particle":"","family":"Caure","given":"S.","non-dropping-particle":"","parse-names":false,"suffix":""}],"container-title":"Veterinary Record","id":"ITEM-3","issue":"2","issued":{"date-parts":[["2010"]]},"page":"41-45","title":"Location of radiological lesions of the thoracolumbar column in French trotters with and without signs of back pain","type":"article-journal","volume":"166"},"uris":["http://www.mendeley.com/documents/?uuid=14863bce-ff47-4dc6-a891-9e58611e7033"]},{"id":"ITEM-4","itemData":{"author":[{"dropping-particle":"","family":"Hendrickson","given":"D.","non-dropping-particle":"","parse-names":false,"suffix":""}],"container-title":"Adams’ Lameness in Horses","edition":"7th","editor":[{"dropping-particle":"","family":"Baxter","given":"G. M.","non-dropping-particle":"","parse-names":false,"suffix":""}],"id":"ITEM-4","issued":{"date-parts":[["2020"]]},"page":"784-795","publisher":"Lippincott Williams &amp; Wilkins","title":"The thoracolumbar spine/Back","type":"chapter"},"uris":["http://www.mendeley.com/documents/?uuid=6b19c55d-8643-4847-8f40-bcd55090350a"]}],"mendeley":{"formattedCitation":"(7–10)","plainTextFormattedCitation":"(7–10)","previouslyFormattedCitation":"(7–10)"},"properties":{"noteIndex":0},"schema":"https://github.com/citation-style-language/schema/raw/master/csl-citation.json"}</w:instrText>
      </w:r>
      <w:r w:rsidR="009F4FB3" w:rsidRPr="00EF028E">
        <w:rPr>
          <w:lang w:val="en-GB"/>
        </w:rPr>
        <w:fldChar w:fldCharType="separate"/>
      </w:r>
      <w:r w:rsidR="009F0CC5" w:rsidRPr="009F0CC5">
        <w:rPr>
          <w:noProof/>
          <w:lang w:val="en-GB"/>
        </w:rPr>
        <w:t>(7–10)</w:t>
      </w:r>
      <w:r w:rsidR="009F4FB3" w:rsidRPr="00EF028E">
        <w:rPr>
          <w:lang w:val="en-GB"/>
        </w:rPr>
        <w:fldChar w:fldCharType="end"/>
      </w:r>
      <w:bookmarkEnd w:id="0"/>
      <w:bookmarkEnd w:id="1"/>
      <w:r w:rsidR="001F740F">
        <w:rPr>
          <w:lang w:val="en-GB"/>
        </w:rPr>
        <w:t xml:space="preserve"> </w:t>
      </w:r>
      <w:r w:rsidR="00D86AC7">
        <w:rPr>
          <w:lang w:val="en-GB"/>
        </w:rPr>
        <w:t xml:space="preserve">In addition, Zimmerman et al., concluded that in horses with combined back and sacroiliac pain with or without hind limb lameness or sacroiliac pain with hind limb lameness significantly more severe radiographic abnormalities </w:t>
      </w:r>
      <w:r w:rsidR="00D86AC7">
        <w:rPr>
          <w:lang w:val="en-GB"/>
        </w:rPr>
        <w:t>were found compared to</w:t>
      </w:r>
      <w:r w:rsidR="00D86AC7">
        <w:rPr>
          <w:lang w:val="en-GB"/>
        </w:rPr>
        <w:t xml:space="preserve"> horses with primary back pain</w:t>
      </w:r>
      <w:r w:rsidR="00D86AC7">
        <w:rPr>
          <w:lang w:val="en-GB"/>
        </w:rPr>
        <w:t xml:space="preserve">, </w:t>
      </w:r>
      <w:r w:rsidR="00D86AC7">
        <w:rPr>
          <w:lang w:val="en-GB"/>
        </w:rPr>
        <w:t xml:space="preserve">front limb lameness </w:t>
      </w:r>
      <w:r w:rsidR="00D86AC7">
        <w:rPr>
          <w:lang w:val="en-GB"/>
        </w:rPr>
        <w:t>and</w:t>
      </w:r>
      <w:r w:rsidR="00D86AC7">
        <w:rPr>
          <w:lang w:val="en-GB"/>
        </w:rPr>
        <w:t xml:space="preserve"> clinical normal horses.</w:t>
      </w:r>
      <w:r w:rsidR="00D86AC7">
        <w:rPr>
          <w:lang w:val="en-GB"/>
        </w:rPr>
        <w:t xml:space="preserve"> </w:t>
      </w:r>
      <w:r w:rsidR="00D83B59">
        <w:rPr>
          <w:lang w:val="en-GB"/>
        </w:rPr>
        <w:t xml:space="preserve">Horses with primary back pain </w:t>
      </w:r>
      <w:r w:rsidR="00D86AC7">
        <w:rPr>
          <w:lang w:val="en-GB"/>
        </w:rPr>
        <w:t>only</w:t>
      </w:r>
      <w:r w:rsidR="000237BB">
        <w:rPr>
          <w:lang w:val="en-GB"/>
        </w:rPr>
        <w:t xml:space="preserve"> </w:t>
      </w:r>
      <w:r w:rsidR="00D83B59">
        <w:rPr>
          <w:lang w:val="en-GB"/>
        </w:rPr>
        <w:t xml:space="preserve">did not show significant </w:t>
      </w:r>
      <w:r w:rsidR="000237BB">
        <w:rPr>
          <w:lang w:val="en-GB"/>
        </w:rPr>
        <w:t xml:space="preserve">differences in </w:t>
      </w:r>
      <w:r w:rsidR="00D83B59">
        <w:rPr>
          <w:lang w:val="en-GB"/>
        </w:rPr>
        <w:t xml:space="preserve">radiographic changes </w:t>
      </w:r>
      <w:r w:rsidR="00D86AC7">
        <w:rPr>
          <w:lang w:val="en-GB"/>
        </w:rPr>
        <w:t>compared</w:t>
      </w:r>
      <w:r w:rsidR="000237BB">
        <w:rPr>
          <w:lang w:val="en-GB"/>
        </w:rPr>
        <w:t xml:space="preserve"> </w:t>
      </w:r>
      <w:r w:rsidR="00D83B59">
        <w:rPr>
          <w:lang w:val="en-GB"/>
        </w:rPr>
        <w:t xml:space="preserve">to the other groups. </w:t>
      </w:r>
      <w:r w:rsidR="00625263">
        <w:rPr>
          <w:lang w:val="en-GB"/>
        </w:rPr>
        <w:t>In the group of clinically normal horses, 40% had medium graded abnormalities (grade III-IV).</w:t>
      </w:r>
      <w:r w:rsidR="001F740F">
        <w:rPr>
          <w:lang w:val="en-GB"/>
        </w:rPr>
        <w:t xml:space="preserve"> </w:t>
      </w:r>
      <w:r w:rsidR="001F740F">
        <w:rPr>
          <w:lang w:val="en-GB"/>
        </w:rPr>
        <w:fldChar w:fldCharType="begin" w:fldLock="1"/>
      </w:r>
      <w:r w:rsidR="008C2317">
        <w:rPr>
          <w:lang w:val="en-GB"/>
        </w:rPr>
        <w:instrText>ADDIN CSL_CITATION {"citationItems":[{"id":"ITEM-1","itemData":{"DOI":"10.1111/j.2042-3306.2011.00373.x","ISSN":"04251644","PMID":"21880062","abstract":"Reasons for performing study: There has been no objective study comparing radiological features of spinous processes (SPs) in the thoracolumbar region and/or scintigraphic findings with clinical signs. Objectives: To investigate the relationship between the presence or absence of clinical signs of back pain and: 1) radiological findings of close, impinging or overriding SPs; 2) increased radiopharmaceutical uptake (IRU) in the SPs; and 3) the combination of radiological findings and IRU. Also to determine the prevalence of concurrent osseous pathology. Methods: Five-hundred and eighty-two horses, presented for perceived back pain and poor performance, underwent comprehensive clinical investigation including diagnostic analgesia of the forelimbs, hindlimbs, back and sacroiliac joints, and radiographic and scintigraphic evaluation of the thoracolumbar spine. Radiological and scintigraphic grades were determined subjectively. Statistical analysis was performed to determine the relationships between clinical signs of back pain, radiological and scintigraphic features, age, breed, gender, discipline, height and weight. Results: Thoroughbreds (TBs) were over-represented with thoracolumbar pain compared with Warmbloods and TB cross breeds. There was a significant association between maximum and total radiological grades of the SPs and thoracolumbar pain, between maximum and total grades of IRU and thoracolumbar pain, and between a combination of radiological and scintigraphic abnormalities and thoracolumbar pain. Horses with osteoarthritis (OA) of the synovial intervertebral articulations (SIAs) were more likely to have thoracolumbar pain than horses with lesions of the SPs alone, but the presence of OA of the SIAs and lesions of the SPs was associated with the highest likelihood of thoracolumbar pain. Conclusions and potential relevance: Fore- or hindlimb lameness and/or pain associated with the sacroiliac joints could mimic primary thoracolumbar pain. A combination of radiology and scintigraphy gives the most accurate prediction of thoracolumbar pain, but diagnostic analgesia is crucial for accurate diagnosis. © 2011 EVJ Ltd.","author":[{"dropping-particle":"","family":"Zimmerman","given":"M.","non-dropping-particle":"","parse-names":false,"suffix":""},{"dropping-particle":"","family":"Dyson","given":"S.","non-dropping-particle":"","parse-names":false,"suffix":""},{"dropping-particle":"","family":"Murray","given":"R.","non-dropping-particle":"","parse-names":false,"suffix":""}],"container-title":"Equine Veterinary Journal","id":"ITEM-1","issue":"2","issued":{"date-parts":[["2012"]]},"page":"178-184","title":"Close, impinging and overriding spinous processes in the thoracolumbar spine: The relationship between radiological and scintigraphic findings and clinical signs","type":"article-journal","volume":"44"},"uris":["http://www.mendeley.com/documents/?uuid=e83bcad9-688c-4e87-b914-8856883bec82"]}],"mendeley":{"formattedCitation":"(7)","plainTextFormattedCitation":"(7)","previouslyFormattedCitation":"(7)"},"properties":{"noteIndex":0},"schema":"https://github.com/citation-style-language/schema/raw/master/csl-citation.json"}</w:instrText>
      </w:r>
      <w:r w:rsidR="001F740F">
        <w:rPr>
          <w:lang w:val="en-GB"/>
        </w:rPr>
        <w:fldChar w:fldCharType="separate"/>
      </w:r>
      <w:r w:rsidR="001F740F" w:rsidRPr="001F740F">
        <w:rPr>
          <w:noProof/>
          <w:lang w:val="en-GB"/>
        </w:rPr>
        <w:t>(7)</w:t>
      </w:r>
      <w:r w:rsidR="001F740F">
        <w:rPr>
          <w:lang w:val="en-GB"/>
        </w:rPr>
        <w:fldChar w:fldCharType="end"/>
      </w:r>
      <w:r w:rsidR="009F4FB3" w:rsidRPr="00ED6028">
        <w:rPr>
          <w:lang w:val="en-GB"/>
        </w:rPr>
        <w:t xml:space="preserve"> </w:t>
      </w:r>
      <w:r w:rsidR="004508BA" w:rsidRPr="00105869">
        <w:rPr>
          <w:lang w:val="en-GB"/>
        </w:rPr>
        <w:t xml:space="preserve">A general scientific consensus </w:t>
      </w:r>
      <w:r w:rsidR="004508BA">
        <w:rPr>
          <w:lang w:val="en-GB"/>
        </w:rPr>
        <w:t>of</w:t>
      </w:r>
      <w:r w:rsidR="004508BA" w:rsidRPr="00105869">
        <w:rPr>
          <w:lang w:val="en-GB"/>
        </w:rPr>
        <w:t xml:space="preserve"> the clinical relevance of radiographic abnormalities in SP has not been established. </w:t>
      </w:r>
    </w:p>
    <w:p w14:paraId="166DF932" w14:textId="77777777" w:rsidR="00A84F30" w:rsidRDefault="00A84F30" w:rsidP="00105869">
      <w:pPr>
        <w:spacing w:line="480" w:lineRule="auto"/>
        <w:rPr>
          <w:lang w:val="en-GB"/>
        </w:rPr>
      </w:pPr>
    </w:p>
    <w:p w14:paraId="65A86CFE" w14:textId="08DFFA53" w:rsidR="00341C39" w:rsidRDefault="00C13D2F" w:rsidP="00105869">
      <w:pPr>
        <w:spacing w:line="480" w:lineRule="auto"/>
        <w:rPr>
          <w:lang w:val="en-GB"/>
        </w:rPr>
      </w:pPr>
      <w:r>
        <w:rPr>
          <w:lang w:val="en-GB"/>
        </w:rPr>
        <w:t>Furthermore, there are s</w:t>
      </w:r>
      <w:r w:rsidR="00A84F30">
        <w:rPr>
          <w:lang w:val="en-GB"/>
        </w:rPr>
        <w:t xml:space="preserve">everal </w:t>
      </w:r>
      <w:r w:rsidR="004E75B7">
        <w:rPr>
          <w:lang w:val="en-GB"/>
        </w:rPr>
        <w:t>externally depend</w:t>
      </w:r>
      <w:r w:rsidR="005A235F">
        <w:rPr>
          <w:lang w:val="en-GB"/>
        </w:rPr>
        <w:t>e</w:t>
      </w:r>
      <w:r w:rsidR="004E75B7">
        <w:rPr>
          <w:lang w:val="en-GB"/>
        </w:rPr>
        <w:t xml:space="preserve">nt </w:t>
      </w:r>
      <w:r w:rsidR="00A84F30">
        <w:rPr>
          <w:lang w:val="en-GB"/>
        </w:rPr>
        <w:t xml:space="preserve">factors </w:t>
      </w:r>
      <w:r w:rsidR="006F49A0">
        <w:rPr>
          <w:lang w:val="en-GB"/>
        </w:rPr>
        <w:t xml:space="preserve">may </w:t>
      </w:r>
      <w:r>
        <w:rPr>
          <w:lang w:val="en-GB"/>
        </w:rPr>
        <w:t xml:space="preserve">which </w:t>
      </w:r>
      <w:r w:rsidR="00A84F30">
        <w:rPr>
          <w:lang w:val="en-GB"/>
        </w:rPr>
        <w:t>influence image interpretation of the equine thoracolumbar spine</w:t>
      </w:r>
      <w:r w:rsidR="004E75B7">
        <w:rPr>
          <w:lang w:val="en-GB"/>
        </w:rPr>
        <w:t>.</w:t>
      </w:r>
      <w:r w:rsidR="00A84F30">
        <w:rPr>
          <w:lang w:val="en-GB"/>
        </w:rPr>
        <w:t xml:space="preserve"> </w:t>
      </w:r>
      <w:r w:rsidR="004E75B7">
        <w:rPr>
          <w:lang w:val="en-GB"/>
        </w:rPr>
        <w:t>M</w:t>
      </w:r>
      <w:r w:rsidR="006F49A0" w:rsidRPr="00105869">
        <w:rPr>
          <w:lang w:val="en-GB"/>
        </w:rPr>
        <w:t>ajor differences in horse conformation</w:t>
      </w:r>
      <w:r w:rsidR="004E75B7">
        <w:rPr>
          <w:lang w:val="en-GB"/>
        </w:rPr>
        <w:t xml:space="preserve">, </w:t>
      </w:r>
      <w:r w:rsidR="00A84F30">
        <w:rPr>
          <w:lang w:val="en-GB"/>
        </w:rPr>
        <w:t>l</w:t>
      </w:r>
      <w:r w:rsidR="0081118B" w:rsidRPr="00105869">
        <w:rPr>
          <w:lang w:val="en-GB"/>
        </w:rPr>
        <w:t>imitations in radiographic technique</w:t>
      </w:r>
      <w:r w:rsidR="00A84F30">
        <w:rPr>
          <w:lang w:val="en-GB"/>
        </w:rPr>
        <w:t xml:space="preserve"> such as current exposure limits, the infeasibility for orthogonal views</w:t>
      </w:r>
      <w:r w:rsidR="006F49A0">
        <w:rPr>
          <w:lang w:val="en-GB"/>
        </w:rPr>
        <w:t xml:space="preserve"> and</w:t>
      </w:r>
      <w:r w:rsidR="0033144E">
        <w:rPr>
          <w:lang w:val="en-GB"/>
        </w:rPr>
        <w:t xml:space="preserve"> magnification due to increased film-object distance</w:t>
      </w:r>
      <w:r w:rsidR="00A84F30">
        <w:rPr>
          <w:lang w:val="en-GB"/>
        </w:rPr>
        <w:t xml:space="preserve"> </w:t>
      </w:r>
      <w:r w:rsidR="0033144E">
        <w:rPr>
          <w:lang w:val="en-GB"/>
        </w:rPr>
        <w:t>result in</w:t>
      </w:r>
      <w:r w:rsidR="00A84F30">
        <w:rPr>
          <w:lang w:val="en-GB"/>
        </w:rPr>
        <w:t xml:space="preserve"> </w:t>
      </w:r>
      <w:r w:rsidR="0033144E">
        <w:rPr>
          <w:lang w:val="en-GB"/>
        </w:rPr>
        <w:t xml:space="preserve">a variable quality of radiographs. </w:t>
      </w:r>
      <w:r w:rsidR="006F49A0">
        <w:rPr>
          <w:lang w:val="en-GB"/>
        </w:rPr>
        <w:t>One study showed that d</w:t>
      </w:r>
      <w:r w:rsidR="0033144E">
        <w:rPr>
          <w:lang w:val="en-GB"/>
        </w:rPr>
        <w:t>ifferent h</w:t>
      </w:r>
      <w:r w:rsidR="00BC68CE" w:rsidRPr="00105869">
        <w:rPr>
          <w:lang w:val="en-GB"/>
        </w:rPr>
        <w:t>ead and neck positioning</w:t>
      </w:r>
      <w:r w:rsidR="0033144E">
        <w:rPr>
          <w:lang w:val="en-GB"/>
        </w:rPr>
        <w:t xml:space="preserve"> resulted in </w:t>
      </w:r>
      <w:r w:rsidR="006F49A0">
        <w:rPr>
          <w:lang w:val="en-GB"/>
        </w:rPr>
        <w:t>inconsistent</w:t>
      </w:r>
      <w:r w:rsidR="0033144E">
        <w:rPr>
          <w:lang w:val="en-GB"/>
        </w:rPr>
        <w:t xml:space="preserve"> measurements of the interspinous space width (ISW) with lower positions </w:t>
      </w:r>
      <w:r>
        <w:rPr>
          <w:lang w:val="en-GB"/>
        </w:rPr>
        <w:t xml:space="preserve">leading to </w:t>
      </w:r>
      <w:r w:rsidR="0033144E">
        <w:rPr>
          <w:lang w:val="en-GB"/>
        </w:rPr>
        <w:t>increasing intervertebral distance</w:t>
      </w:r>
      <w:r>
        <w:rPr>
          <w:lang w:val="en-GB"/>
        </w:rPr>
        <w:t>s</w:t>
      </w:r>
      <w:r w:rsidR="0033144E">
        <w:rPr>
          <w:lang w:val="en-GB"/>
        </w:rPr>
        <w:t>.</w:t>
      </w:r>
      <w:r w:rsidR="00222991" w:rsidRPr="00105869">
        <w:rPr>
          <w:lang w:val="en-GB"/>
        </w:rPr>
        <w:t xml:space="preserve"> </w:t>
      </w:r>
      <w:r w:rsidR="000C01E9" w:rsidRPr="00105869">
        <w:rPr>
          <w:lang w:val="en-GB"/>
        </w:rPr>
        <w:fldChar w:fldCharType="begin" w:fldLock="1"/>
      </w:r>
      <w:r w:rsidR="00B56CA6">
        <w:rPr>
          <w:lang w:val="en-GB"/>
        </w:rPr>
        <w:instrText>ADDIN CSL_CITATION {"citationItems":[{"id":"ITEM-1","itemData":{"DOI":"10.1111/j.2042-3306.2012.00678.x","ISSN":"04251644","abstract":"Reasons for performing study: Reductions in distances between dorsal spinous processes on radiographs are used as criteria for the diagnosis of impingement of the thoracic dorsal spinous processes in horses but are potentially altered by spine motion and different head and neck positions. Objectives: To determine the influence of head and neck positions on intervertebral distances between dorsal spinous processes on radiographs of thoracic spines of clinically sound horses. Methods: Lateral-lateral radiographs were obtained from 23 horses in 3 head and neck positions. The width of the thoracic dorsal spinous processes and intervertebral distances between adjacent thoracic dorsal spinous processes were measured at points perpendicular to a tangent between the dorsal spinous processes and the caudal extremity of the thoracic vertebrae. Results: A low head and neck position increased intervertebral distances between adjacent thoracic dorsal spinous processes from the 8th to 15th dorsal spinous processes whereas a high head and neck position had the opposite effect (P&lt;0.05). Overall, intervertebral distances between adjacent thoracic dorsal spinous processes decreased from cranial to caudal in intermediate head and neck positions (P&lt;0.01). The 12th thoracic dorsal spinous process was readily identifiable due to its significant difference to the narrower cranial and broader caudal dorsal spinous process (P&lt;0.05). Conclusions: The head and neck position influences the distances between the dorsal spinous processes of the vertebrae of equine thoracic spine on radiography. Potential relevance: The measuring system reported here offers potential to improve and standardise radiographic evaluation of thoracic dorsal spinous processes. © 2012 EVJ Ltd.","author":[{"dropping-particle":"","family":"Berner","given":"D.","non-dropping-particle":"","parse-names":false,"suffix":""},{"dropping-particle":"","family":"Winter","given":"K.","non-dropping-particle":"","parse-names":false,"suffix":""},{"dropping-particle":"","family":"Brehm","given":"W.","non-dropping-particle":"","parse-names":false,"suffix":""},{"dropping-particle":"","family":"Gerlach","given":"K.","non-dropping-particle":"","parse-names":false,"suffix":""}],"container-title":"Equine Veterinary Journal","id":"ITEM-1","issue":"SUPPL. 43","issued":{"date-parts":[["2012"]]},"page":"21-26","title":"Influence of head and neck position on radiographic measurement of intervertebral distances between thoracic dorsal spinous processes in clinically sound horses","type":"article-journal","volume":"44"},"uris":["http://www.mendeley.com/documents/?uuid=0e2b4247-7200-4cef-8f21-c2eb94b5ce61"]}],"mendeley":{"formattedCitation":"(11)","plainTextFormattedCitation":"(11)","previouslyFormattedCitation":"(11)"},"properties":{"noteIndex":0},"schema":"https://github.com/citation-style-language/schema/raw/master/csl-citation.json"}</w:instrText>
      </w:r>
      <w:r w:rsidR="000C01E9" w:rsidRPr="00105869">
        <w:rPr>
          <w:lang w:val="en-GB"/>
        </w:rPr>
        <w:fldChar w:fldCharType="separate"/>
      </w:r>
      <w:r w:rsidR="009F0CC5" w:rsidRPr="009F0CC5">
        <w:rPr>
          <w:noProof/>
          <w:lang w:val="en-GB"/>
        </w:rPr>
        <w:t>(11)</w:t>
      </w:r>
      <w:r w:rsidR="000C01E9" w:rsidRPr="00105869">
        <w:rPr>
          <w:lang w:val="en-GB"/>
        </w:rPr>
        <w:fldChar w:fldCharType="end"/>
      </w:r>
      <w:r w:rsidR="00BC3275" w:rsidRPr="00105869">
        <w:rPr>
          <w:lang w:val="en-GB"/>
        </w:rPr>
        <w:t xml:space="preserve"> </w:t>
      </w:r>
      <w:r w:rsidR="006F49A0">
        <w:rPr>
          <w:lang w:val="en-GB"/>
        </w:rPr>
        <w:t>In addition, m</w:t>
      </w:r>
      <w:r w:rsidR="0033144E">
        <w:rPr>
          <w:lang w:val="en-GB"/>
        </w:rPr>
        <w:t>easuring</w:t>
      </w:r>
      <w:r>
        <w:rPr>
          <w:lang w:val="en-GB"/>
        </w:rPr>
        <w:t xml:space="preserve"> the ISW </w:t>
      </w:r>
      <w:r w:rsidR="006F49A0">
        <w:rPr>
          <w:lang w:val="en-GB"/>
        </w:rPr>
        <w:t>o</w:t>
      </w:r>
      <w:r>
        <w:rPr>
          <w:lang w:val="en-GB"/>
        </w:rPr>
        <w:t xml:space="preserve">n </w:t>
      </w:r>
      <w:r>
        <w:rPr>
          <w:lang w:val="en-GB"/>
        </w:rPr>
        <w:lastRenderedPageBreak/>
        <w:t xml:space="preserve">radiographs </w:t>
      </w:r>
      <w:r w:rsidR="006F49A0">
        <w:rPr>
          <w:lang w:val="en-GB"/>
        </w:rPr>
        <w:t xml:space="preserve">in comparison to computed tomographic sagittal reconstructions </w:t>
      </w:r>
      <w:r>
        <w:rPr>
          <w:lang w:val="en-GB"/>
        </w:rPr>
        <w:t xml:space="preserve">resulted in an effect likely associated with geometric distortion because of </w:t>
      </w:r>
      <w:r w:rsidR="0033144E">
        <w:rPr>
          <w:lang w:val="en-GB"/>
        </w:rPr>
        <w:t>x</w:t>
      </w:r>
      <w:r w:rsidR="00BC68CE" w:rsidRPr="00105869">
        <w:rPr>
          <w:lang w:val="en-GB"/>
        </w:rPr>
        <w:t xml:space="preserve">-ray beam </w:t>
      </w:r>
      <w:r>
        <w:rPr>
          <w:lang w:val="en-GB"/>
        </w:rPr>
        <w:t>angulation a</w:t>
      </w:r>
      <w:r w:rsidR="0033144E" w:rsidRPr="00105869">
        <w:rPr>
          <w:lang w:val="en-GB"/>
        </w:rPr>
        <w:t xml:space="preserve">nd </w:t>
      </w:r>
      <w:r w:rsidR="006F49A0">
        <w:rPr>
          <w:lang w:val="en-GB"/>
        </w:rPr>
        <w:t>led to</w:t>
      </w:r>
      <w:r>
        <w:rPr>
          <w:lang w:val="en-GB"/>
        </w:rPr>
        <w:t xml:space="preserve"> misinterpretation of </w:t>
      </w:r>
      <w:r w:rsidR="006F49A0">
        <w:rPr>
          <w:lang w:val="en-GB"/>
        </w:rPr>
        <w:t>interspinous space</w:t>
      </w:r>
      <w:r w:rsidR="00BC68CE" w:rsidRPr="00105869">
        <w:rPr>
          <w:lang w:val="en-GB"/>
        </w:rPr>
        <w:t xml:space="preserve"> </w:t>
      </w:r>
      <w:r w:rsidR="000C01E9" w:rsidRPr="00105869">
        <w:rPr>
          <w:lang w:val="en-GB"/>
        </w:rPr>
        <w:fldChar w:fldCharType="begin" w:fldLock="1"/>
      </w:r>
      <w:r w:rsidR="00B56CA6">
        <w:rPr>
          <w:lang w:val="en-GB"/>
        </w:rPr>
        <w:instrText>ADDIN CSL_CITATION {"citationItems":[{"id":"ITEM-1","itemData":{"DOI":"10.1111/vru.12466","ISSN":"17408261","abstract":"The widths of spaces between the thoracolumbar processi spinosi (interspinous spaces) are frequently assessed using radiography in sports horses; however effects of varying X-ray beam angles and geometric distortion have not been previously described. The aim of this prospective, observational study was to determine whether X-ray beam angle has an effect on apparent widths of interspinous spaces. Thoracolumbar spine specimens were collected from six equine cadavers and left-right lateral radiographs and sagittal and dorsal reconstructed computed tomographic (CT) images were acquired. Sequential radiographs were acquired with each interspinous space in focus. Measurements were performed for each interspinous space in the focus position and up to eight angled positions as the interspinous space moved away from focus (±). Focus position measurements were compared to matching sagittal CT measurements. Effect of geometric distortion was evaluated by comparing the interspinous space in radiographs with sagittal and dorsal reconstructed CT images. A total of 49 interspinous spaces were sampled, yielding 274 measurements. X-ray beam angle significantly affected measured width of interspinous spaces in position +3 (P = 0.038). Changes in width did not follow a consistent pattern. Interspinous space widths in focus position were significantly smaller in radiographs compared to matching reconstructed CT images for backs diagnosed with kissing spine syndrome (P &lt; 0.001). Geometric distortion markedly affected appearance of interspinous space width between planes. In conclusion, X-ray beam angle and geometric distortion influence radiographically measured widths of interspinous spaces in the equine thoracolumbar spine, and this should be taken into consideration when evaluating sport horses.","author":[{"dropping-particle":"","family":"Djernæs","given":"Julie D.","non-dropping-particle":"","parse-names":false,"suffix":""},{"dropping-particle":"V.","family":"Nielsen","given":"Jon","non-dropping-particle":"","parse-names":false,"suffix":""},{"dropping-particle":"","family":"Berg","given":"Lise C.","non-dropping-particle":"","parse-names":false,"suffix":""}],"container-title":"Veterinary Radiology and Ultrasound","id":"ITEM-1","issue":"2","issued":{"date-parts":[["2017"]]},"page":"169-175","title":"Effects of X-Ray Beam Angle and Geometric Distortion on Width of Equine Thoracolumbar Interspinous Spaces Using Radiography and Computed Tomography—a Cadaveric Study","type":"article-journal","volume":"58"},"uris":["http://www.mendeley.com/documents/?uuid=542c9cde-4687-4be1-9f52-8a633c41dd09"]}],"mendeley":{"formattedCitation":"(12)","plainTextFormattedCitation":"(12)","previouslyFormattedCitation":"(12)"},"properties":{"noteIndex":0},"schema":"https://github.com/citation-style-language/schema/raw/master/csl-citation.json"}</w:instrText>
      </w:r>
      <w:r w:rsidR="000C01E9" w:rsidRPr="00105869">
        <w:rPr>
          <w:lang w:val="en-GB"/>
        </w:rPr>
        <w:fldChar w:fldCharType="separate"/>
      </w:r>
      <w:r w:rsidR="009F0CC5" w:rsidRPr="009F0CC5">
        <w:rPr>
          <w:noProof/>
          <w:lang w:val="en-GB"/>
        </w:rPr>
        <w:t>(12)</w:t>
      </w:r>
      <w:r w:rsidR="000C01E9" w:rsidRPr="00105869">
        <w:rPr>
          <w:lang w:val="en-GB"/>
        </w:rPr>
        <w:fldChar w:fldCharType="end"/>
      </w:r>
      <w:r w:rsidR="000A1C04" w:rsidRPr="00105869">
        <w:rPr>
          <w:lang w:val="en-GB"/>
        </w:rPr>
        <w:t xml:space="preserve">. </w:t>
      </w:r>
      <w:r w:rsidR="00121F83" w:rsidRPr="00105869">
        <w:rPr>
          <w:lang w:val="en-GB"/>
        </w:rPr>
        <w:t>All of t</w:t>
      </w:r>
      <w:r w:rsidR="00AB4414" w:rsidRPr="00105869">
        <w:rPr>
          <w:lang w:val="en-GB"/>
        </w:rPr>
        <w:t>hese factors can contribute to the variability of radiographic grading</w:t>
      </w:r>
      <w:r w:rsidR="00121F83" w:rsidRPr="00105869">
        <w:rPr>
          <w:lang w:val="en-GB"/>
        </w:rPr>
        <w:t>.</w:t>
      </w:r>
      <w:r w:rsidR="00AB4414" w:rsidRPr="00105869">
        <w:rPr>
          <w:lang w:val="en-GB"/>
        </w:rPr>
        <w:t xml:space="preserve"> </w:t>
      </w:r>
    </w:p>
    <w:p w14:paraId="17A36781" w14:textId="77777777" w:rsidR="005E2D2D" w:rsidRPr="00105869" w:rsidRDefault="005E2D2D" w:rsidP="00105869">
      <w:pPr>
        <w:spacing w:line="480" w:lineRule="auto"/>
        <w:rPr>
          <w:lang w:val="en-GB"/>
        </w:rPr>
      </w:pPr>
    </w:p>
    <w:p w14:paraId="310AFDFE" w14:textId="10EF8C3C" w:rsidR="00A91AE3" w:rsidRPr="00105869" w:rsidRDefault="00380B5C">
      <w:pPr>
        <w:spacing w:line="480" w:lineRule="auto"/>
        <w:rPr>
          <w:lang w:val="en-GB"/>
        </w:rPr>
      </w:pPr>
      <w:r w:rsidRPr="00105869">
        <w:rPr>
          <w:lang w:val="en-GB"/>
        </w:rPr>
        <w:t>O</w:t>
      </w:r>
      <w:r w:rsidR="00735579" w:rsidRPr="00105869">
        <w:rPr>
          <w:lang w:val="en-GB"/>
        </w:rPr>
        <w:t xml:space="preserve">nly few studies have investigated </w:t>
      </w:r>
      <w:r w:rsidR="00F0274D" w:rsidRPr="00105869">
        <w:rPr>
          <w:lang w:val="en-GB"/>
        </w:rPr>
        <w:t xml:space="preserve">radiographic alterations of the thoracolumbar spine </w:t>
      </w:r>
      <w:r w:rsidR="00735579" w:rsidRPr="00105869">
        <w:rPr>
          <w:lang w:val="en-GB"/>
        </w:rPr>
        <w:t>in</w:t>
      </w:r>
      <w:r w:rsidR="00F0274D" w:rsidRPr="00105869">
        <w:rPr>
          <w:lang w:val="en-GB"/>
        </w:rPr>
        <w:t xml:space="preserve"> </w:t>
      </w:r>
      <w:r w:rsidRPr="00105869">
        <w:rPr>
          <w:lang w:val="en-GB"/>
        </w:rPr>
        <w:t xml:space="preserve">horses without clinical signs of back pain during </w:t>
      </w:r>
      <w:r w:rsidR="00E46901" w:rsidRPr="00105869">
        <w:rPr>
          <w:lang w:val="en-GB"/>
        </w:rPr>
        <w:t>PPE</w:t>
      </w:r>
      <w:r w:rsidR="00951F74" w:rsidRPr="00105869">
        <w:rPr>
          <w:lang w:val="en-GB"/>
        </w:rPr>
        <w:t xml:space="preserve">, </w:t>
      </w:r>
      <w:r w:rsidR="00735579" w:rsidRPr="00105869">
        <w:rPr>
          <w:lang w:val="en-GB"/>
        </w:rPr>
        <w:t>all</w:t>
      </w:r>
      <w:r w:rsidR="00951F74" w:rsidRPr="00105869">
        <w:rPr>
          <w:lang w:val="en-GB"/>
        </w:rPr>
        <w:t xml:space="preserve"> using different grading scales</w:t>
      </w:r>
      <w:r w:rsidR="001A15BB" w:rsidRPr="00105869">
        <w:rPr>
          <w:lang w:val="en-GB"/>
        </w:rPr>
        <w:t>.</w:t>
      </w:r>
      <w:r w:rsidR="000C01E9" w:rsidRPr="00105869">
        <w:rPr>
          <w:lang w:val="en-GB"/>
        </w:rPr>
        <w:fldChar w:fldCharType="begin" w:fldLock="1"/>
      </w:r>
      <w:r w:rsidR="00B56CA6">
        <w:rPr>
          <w:lang w:val="en-GB"/>
        </w:rPr>
        <w:instrText>ADDIN CSL_CITATION {"citationItems":[{"id":"ITEM-1","itemData":{"author":[{"dropping-particle":"","family":"Holmer","given":"Matilda","non-dropping-particle":"","parse-names":false,"suffix":""}],"id":"ITEM-1","issued":{"date-parts":[["2005"]]},"title":"Röntgenbefunde an den Dornfortsätzen klinisch rückengesunder Warmblutpferde","type":"article-journal"},"uris":["http://www.mendeley.com/documents/?uuid=08db9cc2-7995-4de8-ac78-499e062effa5"]},{"id":"ITEM-2","itemData":{"DOI":"10.21836/PEM20150505","ISSN":"01777726","abstract":"A retrospective study of 220 horses was performed to investigate the association between the clinical signs and the radiological findings of impinging dorsal spinous processes (DSPs) in warmblood sporthorses. For this purpose radiographic records were assessed to identify all horses that had undergone radiographic examination of the back as part of a pre-purchase examination between January 2009 and December 2012. The dorsal spinous processes of 239 horses were assessed and each dorsal spinous process was individually graded (0-3) using a modified 4-group grading system appropriate for routine grading of dorsal spinous processes as part of a pre-purchase examination. Fifty-five percent (n = 121) had no radiological abnormalities of the DSPs (grade 0). However, 26, 4% had at least one DSP with grade 1 impingement, 11, 8% had at least one DSP with grade 2 and 6, 8% had at least one DSP with grade 3. Follow-up information was obtained by telephone responses from owners or trainers. The horses were assessed at a mean follow up time after pre-purchase examination of 25, 19 ±12,52 months. Based on the clinical signs included in the questionnaire answers horses were divided into two groups; i) thoracolumbar back pain and ii) no thoracolumbar back pain. Only 11, 5% (N = 23) of the 220 horses had shown thoracolumbar back pain. There was no significant association between gender, age or discipline and clinical signs of thoracolumbar back pain. High maximum DSP grade is associated with an increased risk of clinical signs. The specificity of a grade 3 DSP on radiographic screening at pre purchase examinations is high, however the sensitivity is low. This suggests that there is a high risk of clinical signs in horses with grade 3 DSPs and no warranty can be offered for absence of clinical signs for grade 0, 1,2.","author":[{"dropping-particle":"","family":"Graaf","given":"Kim","non-dropping-particle":"De","parse-names":false,"suffix":""},{"dropping-particle":"","family":"Enzerink","given":"Edwin","non-dropping-particle":"","parse-names":false,"suffix":""},{"dropping-particle":"","family":"Oijen","given":"Peter","non-dropping-particle":"Van","parse-names":false,"suffix":""},{"dropping-particle":"","family":"Smeenk","given":"Allard","non-dropping-particle":"","parse-names":false,"suffix":""},{"dropping-particle":"","family":"Dik","given":"Kees J.","non-dropping-particle":"","parse-names":false,"suffix":""}],"container-title":"Pferdeheilkunde","id":"ITEM-2","issue":"5","issued":{"date-parts":[["2015"]]},"page":"461-468","title":"The radiographic frequency of impingement of the dorsal spinous processes at purchase examination and its clinical significance in 220 warmblood sporthorses","type":"article-journal","volume":"31"},"uris":["http://www.mendeley.com/documents/?uuid=f64c9255-885d-4f67-b6da-cb3cce508a09"]}],"mendeley":{"formattedCitation":"(13,14)","plainTextFormattedCitation":"(13,14)","previouslyFormattedCitation":"(13,14)"},"properties":{"noteIndex":0},"schema":"https://github.com/citation-style-language/schema/raw/master/csl-citation.json"}</w:instrText>
      </w:r>
      <w:r w:rsidR="000C01E9" w:rsidRPr="00105869">
        <w:rPr>
          <w:lang w:val="en-GB"/>
        </w:rPr>
        <w:fldChar w:fldCharType="separate"/>
      </w:r>
      <w:r w:rsidR="009F0CC5" w:rsidRPr="009F0CC5">
        <w:rPr>
          <w:noProof/>
          <w:lang w:val="en-GB"/>
        </w:rPr>
        <w:t>(13,14)</w:t>
      </w:r>
      <w:r w:rsidR="000C01E9" w:rsidRPr="00105869">
        <w:rPr>
          <w:lang w:val="en-GB"/>
        </w:rPr>
        <w:fldChar w:fldCharType="end"/>
      </w:r>
      <w:r w:rsidR="00F0274D" w:rsidRPr="00105869">
        <w:rPr>
          <w:lang w:val="en-GB"/>
        </w:rPr>
        <w:t xml:space="preserve"> </w:t>
      </w:r>
      <w:r w:rsidR="006E207E" w:rsidRPr="00105869">
        <w:rPr>
          <w:lang w:val="en-GB"/>
        </w:rPr>
        <w:t xml:space="preserve">Previous </w:t>
      </w:r>
      <w:r w:rsidR="004974DA" w:rsidRPr="00105869">
        <w:rPr>
          <w:lang w:val="en-GB"/>
        </w:rPr>
        <w:t xml:space="preserve">used </w:t>
      </w:r>
      <w:r w:rsidR="006E207E" w:rsidRPr="00105869">
        <w:rPr>
          <w:lang w:val="en-GB"/>
        </w:rPr>
        <w:t xml:space="preserve">scoring systems </w:t>
      </w:r>
      <w:r w:rsidR="00ED6028">
        <w:rPr>
          <w:lang w:val="en-GB"/>
        </w:rPr>
        <w:t xml:space="preserve">all vary substantially and they </w:t>
      </w:r>
      <w:r w:rsidR="006E207E" w:rsidRPr="00105869">
        <w:rPr>
          <w:lang w:val="en-GB"/>
        </w:rPr>
        <w:t xml:space="preserve">have </w:t>
      </w:r>
      <w:r w:rsidR="0032755F" w:rsidRPr="00105869">
        <w:rPr>
          <w:lang w:val="en-GB"/>
        </w:rPr>
        <w:t xml:space="preserve">not fully </w:t>
      </w:r>
      <w:r w:rsidR="006E207E" w:rsidRPr="00105869">
        <w:rPr>
          <w:lang w:val="en-GB"/>
        </w:rPr>
        <w:t>describe</w:t>
      </w:r>
      <w:r w:rsidR="0032755F" w:rsidRPr="00105869">
        <w:rPr>
          <w:lang w:val="en-GB"/>
        </w:rPr>
        <w:t>d</w:t>
      </w:r>
      <w:r w:rsidR="006E207E" w:rsidRPr="00105869">
        <w:rPr>
          <w:lang w:val="en-GB"/>
        </w:rPr>
        <w:t xml:space="preserve"> all </w:t>
      </w:r>
      <w:r w:rsidR="007F0227" w:rsidRPr="00105869">
        <w:rPr>
          <w:lang w:val="en-GB"/>
        </w:rPr>
        <w:t xml:space="preserve">possible </w:t>
      </w:r>
      <w:r w:rsidR="006E207E" w:rsidRPr="00105869">
        <w:rPr>
          <w:lang w:val="en-GB"/>
        </w:rPr>
        <w:t xml:space="preserve">radiographic abnormalities per </w:t>
      </w:r>
      <w:r w:rsidR="00735579" w:rsidRPr="00105869">
        <w:rPr>
          <w:lang w:val="en-GB"/>
        </w:rPr>
        <w:t>SP;</w:t>
      </w:r>
      <w:r w:rsidR="00121F83" w:rsidRPr="00105869">
        <w:rPr>
          <w:lang w:val="en-GB"/>
        </w:rPr>
        <w:t xml:space="preserve"> </w:t>
      </w:r>
      <w:r w:rsidR="00EF028E">
        <w:rPr>
          <w:lang w:val="en-GB"/>
        </w:rPr>
        <w:t>r</w:t>
      </w:r>
      <w:r w:rsidR="00A91AE3" w:rsidRPr="00105869">
        <w:rPr>
          <w:lang w:val="en-GB"/>
        </w:rPr>
        <w:t>esults were generalized and</w:t>
      </w:r>
      <w:r w:rsidR="006E207E" w:rsidRPr="00105869">
        <w:rPr>
          <w:lang w:val="en-GB"/>
        </w:rPr>
        <w:t xml:space="preserve"> </w:t>
      </w:r>
      <w:r w:rsidR="00735579" w:rsidRPr="00105869">
        <w:rPr>
          <w:lang w:val="en-GB"/>
        </w:rPr>
        <w:t xml:space="preserve">rather </w:t>
      </w:r>
      <w:r w:rsidR="006E207E" w:rsidRPr="00105869">
        <w:rPr>
          <w:lang w:val="en-GB"/>
        </w:rPr>
        <w:t xml:space="preserve">focussed on the </w:t>
      </w:r>
      <w:r w:rsidR="00735579" w:rsidRPr="00105869">
        <w:rPr>
          <w:lang w:val="en-GB"/>
        </w:rPr>
        <w:t xml:space="preserve">sum of all </w:t>
      </w:r>
      <w:r w:rsidR="00121F83" w:rsidRPr="00105869">
        <w:rPr>
          <w:lang w:val="en-GB"/>
        </w:rPr>
        <w:t>abnormalities in the thoracolumbar spine</w:t>
      </w:r>
      <w:r w:rsidR="001A15BB" w:rsidRPr="00105869">
        <w:rPr>
          <w:lang w:val="en-GB"/>
        </w:rPr>
        <w:t>.</w:t>
      </w:r>
      <w:r w:rsidR="000C01E9" w:rsidRPr="00105869">
        <w:rPr>
          <w:lang w:val="en-GB"/>
        </w:rPr>
        <w:fldChar w:fldCharType="begin" w:fldLock="1"/>
      </w:r>
      <w:r w:rsidR="00B56CA6">
        <w:rPr>
          <w:lang w:val="en-GB"/>
        </w:rPr>
        <w:instrText>ADDIN CSL_CITATION {"citationItems":[{"id":"ITEM-1","itemData":{"author":[{"dropping-particle":"","family":"Pettersson, H., B. Strömberg","given":"and I. Myrin","non-dropping-particle":"","parse-names":false,"suffix":""}],"container-title":"Pferdeheilkunde","id":"ITEM-1","issued":{"date-parts":[["1987"]]},"page":"313-319","title":"Das thorkolumbale, interspinale Syndrom (TLI) des Reitpferdes-Retriospektiver Vergleich konservativ und chirurgisch behandelter Fälle","type":"article-journal","volume":"3"},"uris":["http://www.mendeley.com/documents/?uuid=38038fc3-d28c-49d5-87be-c5933b3d96cd"]},{"id":"ITEM-2","itemData":{"author":[{"dropping-particle":"","family":"Sager","given":"Jörg","non-dropping-particle":"","parse-names":false,"suffix":""}],"id":"ITEM-2","issued":{"date-parts":[["1997"]]},"title":"Die Erkrankungen der Processus spinosi der Brust-und Lendenwirbelsäule des Pferdes: eine klinische und röntgenologische Studie","type":"article-journal"},"uris":["http://www.mendeley.com/documents/?uuid=1606a288-e897-4545-b279-05d3411df08f"]},{"id":"ITEM-3","itemData":{"DOI":"https://doi.org/10.1016/C2009-0-50774-X","author":[{"dropping-particle":"","family":"Denoix, Jean-Marie M., Dyson","given":"Sue J. \"Thoracolumbar spine\" Diagnosis and Management of","non-dropping-particle":"","parse-names":false,"suffix":""}],"chapter-number":"52","container-title":"Diagnosis and Management of Lameness in the Horse","edition":"2nd","editor":[{"dropping-particle":"","family":"Ross","given":"Michael W.","non-dropping-particle":"","parse-names":false,"suffix":""},{"dropping-particle":"","family":"Dyson","given":"Sue J.","non-dropping-particle":"","parse-names":false,"suffix":""}],"id":"ITEM-3","issued":{"date-parts":[["2011"]]},"page":"592-605","publisher":"WB Saunders","title":"Thoracolumbar spine","type":"chapter"},"uris":["http://www.mendeley.com/documents/?uuid=9b679b65-4738-4415-840f-b3c6d3f9fc76"]},{"id":"ITEM-4","itemData":{"author":[{"dropping-particle":"","family":"Gerhards, H., Hertsch, B., Jahn, P., &amp; Brunken","given":"G.","non-dropping-particle":"","parse-names":false,"suffix":""}],"container-title":"Deutsch Tierarzteblatt","id":"ITEM-4","issued":{"date-parts":[["2007"]]},"page":"292-303","title":"Leitfaden für die röntgenologische Beurteilung bei der Kaufuntersuchung des Pferdes (RoLF07)","type":"article-journal","volume":"57"},"uris":["http://www.mendeley.com/documents/?uuid=9e0d92fa-f2b2-4e86-aed6-98dbdc1243fe"]},{"id":"ITEM-5","itemData":{"DOI":"10.21836/PEM20150505","ISSN":"01777726","abstract":"A retrospective study of 220 horses was performed to investigate the association between the clinical signs and the radiological findings of impinging dorsal spinous processes (DSPs) in warmblood sporthorses. For this purpose radiographic records were assessed to identify all horses that had undergone radiographic examination of the back as part of a pre-purchase examination between January 2009 and December 2012. The dorsal spinous processes of 239 horses were assessed and each dorsal spinous process was individually graded (0-3) using a modified 4-group grading system appropriate for routine grading of dorsal spinous processes as part of a pre-purchase examination. Fifty-five percent (n = 121) had no radiological abnormalities of the DSPs (grade 0). However, 26, 4% had at least one DSP with grade 1 impingement, 11, 8% had at least one DSP with grade 2 and 6, 8% had at least one DSP with grade 3. Follow-up information was obtained by telephone responses from owners or trainers. The horses were assessed at a mean follow up time after pre-purchase examination of 25, 19 ±12,52 months. Based on the clinical signs included in the questionnaire answers horses were divided into two groups; i) thoracolumbar back pain and ii) no thoracolumbar back pain. Only 11, 5% (N = 23) of the 220 horses had shown thoracolumbar back pain. There was no significant association between gender, age or discipline and clinical signs of thoracolumbar back pain. High maximum DSP grade is associated with an increased risk of clinical signs. The specificity of a grade 3 DSP on radiographic screening at pre purchase examinations is high, however the sensitivity is low. This suggests that there is a high risk of clinical signs in horses with grade 3 DSPs and no warranty can be offered for absence of clinical signs for grade 0, 1,2.","author":[{"dropping-particle":"","family":"Graaf","given":"Kim","non-dropping-particle":"De","parse-names":false,"suffix":""},{"dropping-particle":"","family":"Enzerink","given":"Edwin","non-dropping-particle":"","parse-names":false,"suffix":""},{"dropping-particle":"","family":"Oijen","given":"Peter","non-dropping-particle":"Van","parse-names":false,"suffix":""},{"dropping-particle":"","family":"Smeenk","given":"Allard","non-dropping-particle":"","parse-names":false,"suffix":""},{"dropping-particle":"","family":"Dik","given":"Kees J.","non-dropping-particle":"","parse-names":false,"suffix":""}],"container-title":"Pferdeheilkunde","id":"ITEM-5","issue":"5","issued":{"date-parts":[["2015"]]},"page":"461-468","title":"The radiographic frequency of impingement of the dorsal spinous processes at purchase examination and its clinical significance in 220 warmblood sporthorses","type":"article-journal","volume":"31"},"uris":["http://www.mendeley.com/documents/?uuid=f64c9255-885d-4f67-b6da-cb3cce508a09"]}],"mendeley":{"formattedCitation":"(14–18)","plainTextFormattedCitation":"(14–18)","previouslyFormattedCitation":"(14–18)"},"properties":{"noteIndex":0},"schema":"https://github.com/citation-style-language/schema/raw/master/csl-citation.json"}</w:instrText>
      </w:r>
      <w:r w:rsidR="000C01E9" w:rsidRPr="00105869">
        <w:rPr>
          <w:lang w:val="en-GB"/>
        </w:rPr>
        <w:fldChar w:fldCharType="separate"/>
      </w:r>
      <w:r w:rsidR="009F0CC5" w:rsidRPr="009F0CC5">
        <w:rPr>
          <w:noProof/>
          <w:lang w:val="en-GB"/>
        </w:rPr>
        <w:t>(14–18)</w:t>
      </w:r>
      <w:r w:rsidR="000C01E9" w:rsidRPr="00105869">
        <w:rPr>
          <w:lang w:val="en-GB"/>
        </w:rPr>
        <w:fldChar w:fldCharType="end"/>
      </w:r>
      <w:r w:rsidR="006E207E" w:rsidRPr="00105869">
        <w:rPr>
          <w:lang w:val="en-GB"/>
        </w:rPr>
        <w:t xml:space="preserve"> </w:t>
      </w:r>
      <w:r w:rsidR="00A24347" w:rsidRPr="00105869">
        <w:rPr>
          <w:lang w:val="en-GB"/>
        </w:rPr>
        <w:t>A limited amount of studies</w:t>
      </w:r>
      <w:r w:rsidR="003C0C8D" w:rsidRPr="00105869">
        <w:rPr>
          <w:lang w:val="en-GB"/>
        </w:rPr>
        <w:t xml:space="preserve"> </w:t>
      </w:r>
      <w:r w:rsidR="00C2419D" w:rsidRPr="00105869">
        <w:rPr>
          <w:lang w:val="en-GB"/>
        </w:rPr>
        <w:t xml:space="preserve">described a grading scale originating from a sum of grades per </w:t>
      </w:r>
      <w:r w:rsidR="00EF028E">
        <w:rPr>
          <w:lang w:val="en-GB"/>
        </w:rPr>
        <w:t>SP</w:t>
      </w:r>
      <w:r w:rsidR="001A15BB" w:rsidRPr="00105869">
        <w:rPr>
          <w:lang w:val="en-GB"/>
        </w:rPr>
        <w:t>.</w:t>
      </w:r>
      <w:r w:rsidR="002F6D1A" w:rsidRPr="00105869">
        <w:rPr>
          <w:lang w:val="en-GB"/>
        </w:rPr>
        <w:fldChar w:fldCharType="begin" w:fldLock="1"/>
      </w:r>
      <w:r w:rsidR="00B56CA6">
        <w:rPr>
          <w:lang w:val="en-GB"/>
        </w:rPr>
        <w:instrText>ADDIN CSL_CITATION {"citationItems":[{"id":"ITEM-1","itemData":{"DOI":"10.1111/j.1740-8261.2011.01845.x","ISSN":"10588183","PMID":"21699620","abstract":"Back pain is common in horses, but there has been no large-scale in-depth study describing radiographic changes of the spinous processes, the relationship between radiographic and scintigraphic findings, and the effect of size, age, breed, or discipline. The objectives were to investigate the frequency of occurrence in horses with perceived back pain of: (1) radiographic alteration of the spinous process structure; (2) increased radiopharmaceutical uptake (IRU) in the spinous processes; and (3) to compare radiographic and scintigraphic findings; and to determine if there was breed, gender, age, bodyweight, height, or work discipline predisposition for close, impinging, or overriding spinous processes. Radiographic and scintigraphic images of the thoracolumbar spine of 604 horses were graded. A radiographic grade for each spinous process (T8-L6) was assigned (0-7). The maximum radiographic grade for each horse was defined as the highest grade assigned to any spinous process; the total radiographic grade was the sum of all grades for each horse. A scintigraphic grade for each spinous process was determined (0-3). The maximum scintigraphic grade for each horse was defined as the highest grade assigned to any spinous process; the total scintigraphic grade was the sum of all grades for each horse. Associations between radiology and scintigraphy and age, gender, breed, height, weight, and discipline were analyzed statistically. The severity of radiographic lesions of the spinous processes was associated with the severity of scintigraphic abnormalities. The caudal thoracic spine (T14-T17) was most frequently affected. There was a significant breed and age effect, with Thoroughbreds and older horses having higher total and maximum radiographic grades. The severity of the lesions of the spinous processes was significantly associated with the presence of osteoarthritis of the articular process joints. It was concluded that there is a wide range of radiographic abnormalities of the spinous processes seen in horses with or without back pain. There is an association between radiographic and scintigraphic grades of the spinous processes.© 2011 Veterinary Radiology &amp; Ultrasound.","author":[{"dropping-particle":"","family":"Zimmerman","given":"Marieke","non-dropping-particle":"","parse-names":false,"suffix":""},{"dropping-particle":"","family":"Dyson","given":"Sue","non-dropping-particle":"","parse-names":false,"suffix":""},{"dropping-particle":"","family":"Murray","given":"Rachel","non-dropping-particle":"","parse-names":false,"suffix":""}],"container-title":"Veterinary Radiology and Ultrasound","id":"ITEM-1","issue":"6","issued":{"date-parts":[["2011"]]},"page":"661-671","title":"Comparison of radiographic and scintigraphic findings of the spinous processes in the equine thoracolumbar region","type":"article-journal","volume":"52"},"uris":["http://www.mendeley.com/documents/?uuid=df182bfb-1ee6-4cbd-bfa0-ac43814e4ba0"]},{"id":"ITEM-2","itemData":{"DOI":"10.2746/0425164044877341","ISSN":"04251644","PMID":"15460068","abstract":"Reasons for performing study: Radiography and scintigraphy are used to aid diagnosis of the cause of back pain, but a large variation in appearance and radiopharmaceutical uptake in fully functioning horses make diagnosis difficult. Objectives: To describe the range of and compare scintigraphic and radiographic findings in the spinous processes of horses without clinical signs of back problems. Methods: Thirty-three apparently normal riding horses underwent scintigraphic and radiographic examinations of the spinous processes in the thoracolumbar spine. Scintigraphic images were evaluated in a continuous blue, green and red colour scale, and the level of radiopharmaceutical uptake in the spinous processes from T10-L2 was graded into none, mild, moderate or severe increased radiopharmaceutical uptake. Structural changes along the borders of the spinous processes and the width of the interspinous spaces from T10-L2 were recorded. Results: Only 7 horses had no scintigraphic or radiographic findings. Nine horses had no increased radiopharmaceutical uptake, 17 had no sclerosis, 21 had no radiolucencies and 11 had normal spacing of the spinous processes (&gt;4 mm wide). The majority of findings in 26 horses were located from T13-18 and were mild. Conclusions: The findings of a wide spectrum of scintigraphic and radiographic changes leads to the conclusion that changes within this range found in affected horses cannot be interpreted as clinically significant. Potential relevance: To determine whether scintigraphy and/or radiography can be used to separate horses with back pain from horses without clinical signs, the results from this study should be compared to the scintigraphic and radiographic findings in horses with clinical signs.","author":[{"dropping-particle":"","family":"Erichsen","given":"C.","non-dropping-particle":"","parse-names":false,"suffix":""},{"dropping-particle":"","family":"Eksell","given":"P.","non-dropping-particle":"","parse-names":false,"suffix":""},{"dropping-particle":"","family":"Roethlisberger Holm","given":"K.","non-dropping-particle":"","parse-names":false,"suffix":""},{"dropping-particle":"","family":"Lord","given":"P.","non-dropping-particle":"","parse-names":false,"suffix":""},{"dropping-particle":"","family":"Johnston","given":"C.","non-dropping-particle":"","parse-names":false,"suffix":""}],"container-title":"Equine Veterinary Journal","id":"ITEM-2","issue":"6","issued":{"date-parts":[["2004"]]},"page":"458-465","title":"Relationship between scintigraphic and radiographic evaluations of spinous processes in the thoracolumbar spine in riding horses without clinical signs of back problems","type":"article-journal","volume":"36"},"uris":["http://www.mendeley.com/documents/?uuid=5c233ecf-5ab9-4864-9434-7194183c41fe"]}],"mendeley":{"formattedCitation":"(4,19)","plainTextFormattedCitation":"(4,19)","previouslyFormattedCitation":"(4,19)"},"properties":{"noteIndex":0},"schema":"https://github.com/citation-style-language/schema/raw/master/csl-citation.json"}</w:instrText>
      </w:r>
      <w:r w:rsidR="002F6D1A" w:rsidRPr="00105869">
        <w:rPr>
          <w:lang w:val="en-GB"/>
        </w:rPr>
        <w:fldChar w:fldCharType="separate"/>
      </w:r>
      <w:r w:rsidR="009F0CC5" w:rsidRPr="009F0CC5">
        <w:rPr>
          <w:noProof/>
          <w:lang w:val="en-GB"/>
        </w:rPr>
        <w:t>(4,19)</w:t>
      </w:r>
      <w:r w:rsidR="002F6D1A" w:rsidRPr="00105869">
        <w:rPr>
          <w:lang w:val="en-GB"/>
        </w:rPr>
        <w:fldChar w:fldCharType="end"/>
      </w:r>
      <w:r w:rsidR="00C2419D" w:rsidRPr="00105869">
        <w:rPr>
          <w:lang w:val="en-GB"/>
        </w:rPr>
        <w:t xml:space="preserve"> </w:t>
      </w:r>
      <w:r w:rsidR="000A1C04" w:rsidRPr="00105869">
        <w:rPr>
          <w:lang w:val="en-GB"/>
        </w:rPr>
        <w:t>Although</w:t>
      </w:r>
      <w:r w:rsidR="00C2419D" w:rsidRPr="00105869">
        <w:rPr>
          <w:lang w:val="en-GB"/>
        </w:rPr>
        <w:t>, t</w:t>
      </w:r>
      <w:r w:rsidR="00EC107A" w:rsidRPr="00105869">
        <w:rPr>
          <w:lang w:val="en-GB"/>
        </w:rPr>
        <w:t xml:space="preserve">hese studies </w:t>
      </w:r>
      <w:r w:rsidR="002436B5" w:rsidRPr="00105869">
        <w:rPr>
          <w:lang w:val="en-GB"/>
        </w:rPr>
        <w:t xml:space="preserve">have described </w:t>
      </w:r>
      <w:r w:rsidR="00C2419D" w:rsidRPr="00105869">
        <w:rPr>
          <w:lang w:val="en-GB"/>
        </w:rPr>
        <w:t xml:space="preserve">prevalence and </w:t>
      </w:r>
      <w:r w:rsidR="002436B5" w:rsidRPr="00105869">
        <w:rPr>
          <w:lang w:val="en-GB"/>
        </w:rPr>
        <w:t xml:space="preserve">common anatomical locations of radiographic </w:t>
      </w:r>
      <w:r w:rsidR="00A96FCB" w:rsidRPr="00105869">
        <w:rPr>
          <w:lang w:val="en-GB"/>
        </w:rPr>
        <w:t>alterations,</w:t>
      </w:r>
      <w:r w:rsidR="002436B5" w:rsidRPr="00105869">
        <w:rPr>
          <w:lang w:val="en-GB"/>
        </w:rPr>
        <w:t xml:space="preserve"> </w:t>
      </w:r>
      <w:r w:rsidR="00C2419D" w:rsidRPr="00105869">
        <w:rPr>
          <w:lang w:val="en-GB"/>
        </w:rPr>
        <w:t xml:space="preserve">none of them </w:t>
      </w:r>
      <w:r w:rsidR="00735579" w:rsidRPr="00105869">
        <w:rPr>
          <w:lang w:val="en-GB"/>
        </w:rPr>
        <w:t>investigated agreement</w:t>
      </w:r>
      <w:r w:rsidR="007F0227" w:rsidRPr="00105869">
        <w:rPr>
          <w:lang w:val="en-GB"/>
        </w:rPr>
        <w:t xml:space="preserve"> among </w:t>
      </w:r>
      <w:r w:rsidR="004811F8">
        <w:rPr>
          <w:lang w:val="en-GB"/>
        </w:rPr>
        <w:t xml:space="preserve">different </w:t>
      </w:r>
      <w:r w:rsidR="007F0227" w:rsidRPr="00105869">
        <w:rPr>
          <w:lang w:val="en-GB"/>
        </w:rPr>
        <w:t>observers</w:t>
      </w:r>
      <w:r w:rsidR="002A0E96" w:rsidRPr="00105869">
        <w:rPr>
          <w:lang w:val="en-GB"/>
        </w:rPr>
        <w:t>. Pre-purchase examinations are performed by equine clinicians all over the world with different degrees of experience</w:t>
      </w:r>
      <w:r w:rsidR="005E2D2D">
        <w:rPr>
          <w:lang w:val="en-GB"/>
        </w:rPr>
        <w:t>. Therefore,</w:t>
      </w:r>
      <w:r w:rsidR="00A16908" w:rsidRPr="00105869">
        <w:rPr>
          <w:lang w:val="en-GB"/>
        </w:rPr>
        <w:t xml:space="preserve"> </w:t>
      </w:r>
      <w:r w:rsidR="002A0E96" w:rsidRPr="00105869">
        <w:rPr>
          <w:lang w:val="en-GB"/>
        </w:rPr>
        <w:t>a need for a single reliable and repeatable scoring system is of high priority</w:t>
      </w:r>
      <w:r w:rsidR="00A16908" w:rsidRPr="00105869">
        <w:rPr>
          <w:lang w:val="en-GB"/>
        </w:rPr>
        <w:t xml:space="preserve">. </w:t>
      </w:r>
      <w:r w:rsidR="00F93877">
        <w:rPr>
          <w:lang w:val="en-GB"/>
        </w:rPr>
        <w:t xml:space="preserve">A </w:t>
      </w:r>
      <w:r w:rsidR="00A16908" w:rsidRPr="00105869">
        <w:rPr>
          <w:lang w:val="en-GB"/>
        </w:rPr>
        <w:t>consensus of different parties involved in a pre-purchase examination</w:t>
      </w:r>
      <w:r w:rsidR="00F93877">
        <w:rPr>
          <w:lang w:val="en-GB"/>
        </w:rPr>
        <w:t xml:space="preserve"> as well as reproducible a</w:t>
      </w:r>
      <w:r w:rsidR="00F93877" w:rsidRPr="00105869">
        <w:rPr>
          <w:lang w:val="en-GB"/>
        </w:rPr>
        <w:t xml:space="preserve">vailability of comparison of follow-up of radiographic alterations </w:t>
      </w:r>
      <w:r w:rsidR="00A16908" w:rsidRPr="00105869">
        <w:rPr>
          <w:lang w:val="en-GB"/>
        </w:rPr>
        <w:t>is importan</w:t>
      </w:r>
      <w:r w:rsidR="005445A5">
        <w:rPr>
          <w:lang w:val="en-GB"/>
        </w:rPr>
        <w:t>t</w:t>
      </w:r>
      <w:r w:rsidR="002A0E96" w:rsidRPr="00105869">
        <w:rPr>
          <w:lang w:val="en-GB"/>
        </w:rPr>
        <w:t xml:space="preserve">. </w:t>
      </w:r>
      <w:r w:rsidR="002436B5" w:rsidRPr="00105869">
        <w:rPr>
          <w:lang w:val="en-GB"/>
        </w:rPr>
        <w:t xml:space="preserve">Due to </w:t>
      </w:r>
      <w:r w:rsidR="00C2419D" w:rsidRPr="00105869">
        <w:rPr>
          <w:lang w:val="en-GB"/>
        </w:rPr>
        <w:t>the previous</w:t>
      </w:r>
      <w:r w:rsidR="008320A9" w:rsidRPr="00105869">
        <w:rPr>
          <w:lang w:val="en-GB"/>
        </w:rPr>
        <w:t>ly</w:t>
      </w:r>
      <w:r w:rsidR="00C2419D" w:rsidRPr="00105869">
        <w:rPr>
          <w:lang w:val="en-GB"/>
        </w:rPr>
        <w:t xml:space="preserve"> described </w:t>
      </w:r>
      <w:r w:rsidR="002436B5" w:rsidRPr="00105869">
        <w:rPr>
          <w:lang w:val="en-GB"/>
        </w:rPr>
        <w:t>limitations using</w:t>
      </w:r>
      <w:r w:rsidR="00EC107A" w:rsidRPr="00105869">
        <w:rPr>
          <w:lang w:val="en-GB"/>
        </w:rPr>
        <w:t xml:space="preserve"> such </w:t>
      </w:r>
      <w:r w:rsidR="00A16908" w:rsidRPr="00105869">
        <w:rPr>
          <w:lang w:val="en-GB"/>
        </w:rPr>
        <w:t xml:space="preserve">different </w:t>
      </w:r>
      <w:r w:rsidR="00EC107A" w:rsidRPr="00105869">
        <w:rPr>
          <w:lang w:val="en-GB"/>
        </w:rPr>
        <w:t>scoring system</w:t>
      </w:r>
      <w:r w:rsidR="00C2419D" w:rsidRPr="00105869">
        <w:rPr>
          <w:lang w:val="en-GB"/>
        </w:rPr>
        <w:t>s</w:t>
      </w:r>
      <w:r w:rsidR="00EC107A" w:rsidRPr="00105869">
        <w:rPr>
          <w:lang w:val="en-GB"/>
        </w:rPr>
        <w:t xml:space="preserve"> on </w:t>
      </w:r>
      <w:r w:rsidR="00E46901" w:rsidRPr="00105869">
        <w:rPr>
          <w:lang w:val="en-GB"/>
        </w:rPr>
        <w:t>PPE</w:t>
      </w:r>
      <w:r w:rsidR="00496E91" w:rsidRPr="00105869">
        <w:rPr>
          <w:lang w:val="en-GB"/>
        </w:rPr>
        <w:t>, interpretation</w:t>
      </w:r>
      <w:r w:rsidR="00E46901" w:rsidRPr="00105869">
        <w:rPr>
          <w:lang w:val="en-GB"/>
        </w:rPr>
        <w:t xml:space="preserve"> </w:t>
      </w:r>
      <w:r w:rsidR="00735579" w:rsidRPr="00105869">
        <w:rPr>
          <w:lang w:val="en-GB"/>
        </w:rPr>
        <w:t>might be</w:t>
      </w:r>
      <w:r w:rsidR="00C2419D" w:rsidRPr="00105869">
        <w:rPr>
          <w:lang w:val="en-GB"/>
        </w:rPr>
        <w:t xml:space="preserve"> </w:t>
      </w:r>
      <w:r w:rsidR="00496E91" w:rsidRPr="00105869">
        <w:rPr>
          <w:lang w:val="en-GB"/>
        </w:rPr>
        <w:t xml:space="preserve">variable, </w:t>
      </w:r>
      <w:r w:rsidR="00C2419D" w:rsidRPr="00105869">
        <w:rPr>
          <w:lang w:val="en-GB"/>
        </w:rPr>
        <w:t xml:space="preserve">non-repeatable </w:t>
      </w:r>
      <w:r w:rsidR="00472825" w:rsidRPr="00105869">
        <w:rPr>
          <w:lang w:val="en-GB"/>
        </w:rPr>
        <w:t>and</w:t>
      </w:r>
      <w:r w:rsidR="00C2419D" w:rsidRPr="00105869">
        <w:rPr>
          <w:lang w:val="en-GB"/>
        </w:rPr>
        <w:t xml:space="preserve"> </w:t>
      </w:r>
      <w:r w:rsidR="00EC107A" w:rsidRPr="00105869">
        <w:rPr>
          <w:lang w:val="en-GB"/>
        </w:rPr>
        <w:t xml:space="preserve">therefore </w:t>
      </w:r>
      <w:r w:rsidR="00951F74" w:rsidRPr="00105869">
        <w:rPr>
          <w:lang w:val="en-GB"/>
        </w:rPr>
        <w:t xml:space="preserve">at the risk of being </w:t>
      </w:r>
      <w:r w:rsidR="00EC107A" w:rsidRPr="00105869">
        <w:rPr>
          <w:lang w:val="en-GB"/>
        </w:rPr>
        <w:t xml:space="preserve">unreliable. </w:t>
      </w:r>
      <w:r w:rsidR="00A24347" w:rsidRPr="00105869">
        <w:rPr>
          <w:lang w:val="en-GB"/>
        </w:rPr>
        <w:t xml:space="preserve">This is </w:t>
      </w:r>
      <w:r w:rsidR="00A16908" w:rsidRPr="00105869">
        <w:rPr>
          <w:lang w:val="en-GB"/>
        </w:rPr>
        <w:t xml:space="preserve">shown to be </w:t>
      </w:r>
      <w:r w:rsidR="00A24347" w:rsidRPr="00105869">
        <w:rPr>
          <w:lang w:val="en-GB"/>
        </w:rPr>
        <w:t xml:space="preserve">similar to what </w:t>
      </w:r>
      <w:r w:rsidR="00EF028E">
        <w:rPr>
          <w:lang w:val="en-GB"/>
        </w:rPr>
        <w:t>was</w:t>
      </w:r>
      <w:r w:rsidR="00EF028E" w:rsidRPr="00105869">
        <w:rPr>
          <w:lang w:val="en-GB"/>
        </w:rPr>
        <w:t xml:space="preserve"> </w:t>
      </w:r>
      <w:r w:rsidR="00A16908" w:rsidRPr="00105869">
        <w:rPr>
          <w:lang w:val="en-GB"/>
        </w:rPr>
        <w:t xml:space="preserve">found </w:t>
      </w:r>
      <w:r w:rsidR="00EF028E">
        <w:rPr>
          <w:lang w:val="en-GB"/>
        </w:rPr>
        <w:t>for agreement</w:t>
      </w:r>
      <w:r w:rsidR="00A24347" w:rsidRPr="00105869">
        <w:rPr>
          <w:lang w:val="en-GB"/>
        </w:rPr>
        <w:t xml:space="preserve"> of radiographic abnormalities </w:t>
      </w:r>
      <w:r w:rsidR="00EF028E">
        <w:rPr>
          <w:lang w:val="en-GB"/>
        </w:rPr>
        <w:t xml:space="preserve">of other areas </w:t>
      </w:r>
      <w:r w:rsidR="004974DA" w:rsidRPr="00105869">
        <w:rPr>
          <w:lang w:val="en-GB"/>
        </w:rPr>
        <w:t xml:space="preserve">in </w:t>
      </w:r>
      <w:r w:rsidR="00E46901" w:rsidRPr="00105869">
        <w:rPr>
          <w:lang w:val="en-GB"/>
        </w:rPr>
        <w:t>PPE</w:t>
      </w:r>
      <w:r w:rsidR="001A15BB" w:rsidRPr="00105869">
        <w:rPr>
          <w:lang w:val="en-GB"/>
        </w:rPr>
        <w:t>.</w:t>
      </w:r>
      <w:r w:rsidR="00A24347" w:rsidRPr="00105869">
        <w:rPr>
          <w:lang w:val="en-GB"/>
        </w:rPr>
        <w:fldChar w:fldCharType="begin" w:fldLock="1"/>
      </w:r>
      <w:r w:rsidR="00B56CA6">
        <w:rPr>
          <w:lang w:val="en-GB"/>
        </w:rPr>
        <w:instrText>ADDIN CSL_CITATION {"citationItems":[{"id":"ITEM-1","itemData":{"ISSN":"0177-7726","abstract":"For many years, radiography has formed an integral part of the equine pre-purchase examination. In Germany, the radiological guidelines \"Röntgenleitfaden 2007 (RöLF07)\" are widely used by equine veterinarians to assist with the interpretation of radiographic findings of riding horses. The radiological guidelines include over 200 radiographic findings, which are registered, and each finding has an individual number and a corresponding class. The radiological findings are divided into four radiological classes (I-IV) and three intermediate classes (I-II, II-III and III-IV), which were developed as an assessment criterion of the horse for the owner, the vendor and the purchaser. Normal anatomical variations are classified as class I, whereas severe radiographic findings were classified as class III-IV or IV The highest radiological class of a single finding is the final class of the horse for the radiological examination. Due to the forensic situation, the veterinarian has to classify every radiographic finding correctly. As there are variable interpretations of radiographic findings of different observers' litigations are quite common. The aim of the study was to characterise the inter-observer agreement of several experienced observers in orthopaedic findings observed on radiographs using the German radiological guidelines \"Röntgenleitfaden 07\". The 50 sets of radiographs were interpreted once by 41 experienced equine veterinarians. One of the authors visited every observer to make sure that the technical equipment and circumstances of the examinations were similar. The observers were asked to examine the radiographic sets as they would have been examined at a pre-purchase examination. A set of 50 orthopaedic radiographs (fore feet: lateromedial and dorsoproximal-palmarodistal oblique view, hind feet: lateromedial view, tarsi: dorsomedial-plantarolateral oblique (DMPLO), dorsolateral-plantaromedial oblique (DLPMO) and dorsoplantar views, stifles: lateromedial and caudo-cranial view, thoracolumbar spine: latero-lateral view of the spinous processes) were examined using the \"Röntgenleitfaden 07\" to characterise and classify the findings. Two of the authors selected the orthopaedic radiographs from the archive of the Clinic for Horses of the University of Veterinary Medicine in Hannover. The number of observers to identify each finding, per radiograph, was calculated and reported. A representative selection of radiographs of every location (feet, tarsi, sti…","author":[{"dropping-particle":"","family":"Buschkamp","given":"L","non-dropping-particle":"","parse-names":false,"suffix":""},{"dropping-particle":"","family":"Hellige","given":"M","non-dropping-particle":"","parse-names":false,"suffix":""},{"dropping-particle":"","family":"Rohn","given":"K","non-dropping-particle":"","parse-names":false,"suffix":""},{"dropping-particle":"","family":"Stadler","given":"P","non-dropping-particle":"","parse-names":false,"suffix":""}],"container-title":"Pferdeheilkunde","id":"ITEM-1","issue":"3","issued":{"date-parts":[["2018"]]},"language":"German","note":"Author Affiliation: Tierklinik Hochmoor, Gescher-Hochmoor, Germany.\n\nAuthor Email: maren.hellige@tiho-hannover.de","page":"212-222","publisher":"Hippiatrika Verlag GmbH","publisher-place":"Baden-Baden","title":"Interobserver agreement in interpreting radiographs of horses using the German Radiology-Guidelines 2007 (\"Röntgenleitfaden 2007\").","type":"article-journal","volume":"34"},"uris":["http://www.mendeley.com/documents/?uuid=6af1d687-07eb-406e-931e-cb56d398b3e7"]}],"mendeley":{"formattedCitation":"(20)","plainTextFormattedCitation":"(20)","previouslyFormattedCitation":"(20)"},"properties":{"noteIndex":0},"schema":"https://github.com/citation-style-language/schema/raw/master/csl-citation.json"}</w:instrText>
      </w:r>
      <w:r w:rsidR="00A24347" w:rsidRPr="00105869">
        <w:rPr>
          <w:lang w:val="en-GB"/>
        </w:rPr>
        <w:fldChar w:fldCharType="separate"/>
      </w:r>
      <w:r w:rsidR="009F0CC5" w:rsidRPr="009F0CC5">
        <w:rPr>
          <w:noProof/>
          <w:lang w:val="en-GB"/>
        </w:rPr>
        <w:t>(20)</w:t>
      </w:r>
      <w:r w:rsidR="00A24347" w:rsidRPr="00105869">
        <w:rPr>
          <w:lang w:val="en-GB"/>
        </w:rPr>
        <w:fldChar w:fldCharType="end"/>
      </w:r>
    </w:p>
    <w:p w14:paraId="6AB90818" w14:textId="77777777" w:rsidR="00A91AE3" w:rsidRPr="00105869" w:rsidRDefault="00A91AE3">
      <w:pPr>
        <w:spacing w:line="480" w:lineRule="auto"/>
        <w:rPr>
          <w:lang w:val="en-GB"/>
        </w:rPr>
      </w:pPr>
    </w:p>
    <w:p w14:paraId="6BA89087" w14:textId="1525F2D7" w:rsidR="0076407A" w:rsidRPr="00105869" w:rsidRDefault="004F52B4" w:rsidP="00BB07B7">
      <w:pPr>
        <w:spacing w:line="480" w:lineRule="auto"/>
        <w:rPr>
          <w:lang w:val="en-GB"/>
        </w:rPr>
      </w:pPr>
      <w:r w:rsidRPr="00105869">
        <w:rPr>
          <w:lang w:val="en-GB"/>
        </w:rPr>
        <w:t>Therefore, the aim of this study was to investigate</w:t>
      </w:r>
      <w:r w:rsidR="00E01C6C" w:rsidRPr="00105869">
        <w:rPr>
          <w:lang w:val="en-GB"/>
        </w:rPr>
        <w:t xml:space="preserve"> the </w:t>
      </w:r>
      <w:r w:rsidR="00825F97" w:rsidRPr="00105869">
        <w:rPr>
          <w:lang w:val="en-GB"/>
        </w:rPr>
        <w:t xml:space="preserve">inter- and intra-observer </w:t>
      </w:r>
      <w:r w:rsidR="00E01C6C" w:rsidRPr="00105869">
        <w:rPr>
          <w:lang w:val="en-GB"/>
        </w:rPr>
        <w:t xml:space="preserve">agreement of grading radiographs of thoracolumbar </w:t>
      </w:r>
      <w:r w:rsidR="0041261C" w:rsidRPr="00105869">
        <w:rPr>
          <w:lang w:val="en-GB"/>
        </w:rPr>
        <w:t>SP</w:t>
      </w:r>
      <w:r w:rsidR="00E01C6C" w:rsidRPr="00105869">
        <w:rPr>
          <w:lang w:val="en-GB"/>
        </w:rPr>
        <w:t xml:space="preserve"> </w:t>
      </w:r>
      <w:r w:rsidR="00037498" w:rsidRPr="00105869">
        <w:rPr>
          <w:lang w:val="en-GB"/>
        </w:rPr>
        <w:t xml:space="preserve">from </w:t>
      </w:r>
      <w:r w:rsidR="00F12FF8">
        <w:rPr>
          <w:lang w:val="en-GB"/>
        </w:rPr>
        <w:t xml:space="preserve">horses without clinical symptoms of back pain on </w:t>
      </w:r>
      <w:r w:rsidR="00037498" w:rsidRPr="00105869">
        <w:rPr>
          <w:lang w:val="en-GB"/>
        </w:rPr>
        <w:t>PPE</w:t>
      </w:r>
      <w:r w:rsidR="002436B5" w:rsidRPr="00105869">
        <w:rPr>
          <w:lang w:val="en-GB"/>
        </w:rPr>
        <w:t>.</w:t>
      </w:r>
      <w:r w:rsidR="008412D3" w:rsidRPr="00105869">
        <w:rPr>
          <w:lang w:val="en-GB"/>
        </w:rPr>
        <w:t xml:space="preserve"> </w:t>
      </w:r>
      <w:r w:rsidRPr="00105869">
        <w:rPr>
          <w:lang w:val="en-GB"/>
        </w:rPr>
        <w:t xml:space="preserve">The </w:t>
      </w:r>
      <w:r w:rsidR="008412D3" w:rsidRPr="00105869">
        <w:rPr>
          <w:lang w:val="en-GB"/>
        </w:rPr>
        <w:t xml:space="preserve">hypothesis </w:t>
      </w:r>
      <w:r w:rsidRPr="00105869">
        <w:rPr>
          <w:lang w:val="en-GB"/>
        </w:rPr>
        <w:t>was</w:t>
      </w:r>
      <w:r w:rsidR="008412D3" w:rsidRPr="00105869">
        <w:rPr>
          <w:lang w:val="en-GB"/>
        </w:rPr>
        <w:t xml:space="preserve"> that there is </w:t>
      </w:r>
      <w:r w:rsidR="00A16908" w:rsidRPr="00105869">
        <w:rPr>
          <w:lang w:val="en-GB"/>
        </w:rPr>
        <w:t>variable</w:t>
      </w:r>
      <w:r w:rsidR="008412D3" w:rsidRPr="00105869">
        <w:rPr>
          <w:lang w:val="en-GB"/>
        </w:rPr>
        <w:t xml:space="preserve"> agreement between </w:t>
      </w:r>
      <w:r w:rsidR="002A279E" w:rsidRPr="00105869">
        <w:rPr>
          <w:lang w:val="en-GB"/>
        </w:rPr>
        <w:t xml:space="preserve">grading </w:t>
      </w:r>
      <w:r w:rsidR="008412D3" w:rsidRPr="00105869">
        <w:rPr>
          <w:lang w:val="en-GB"/>
        </w:rPr>
        <w:t xml:space="preserve">different </w:t>
      </w:r>
      <w:r w:rsidR="00A16908" w:rsidRPr="00105869">
        <w:rPr>
          <w:lang w:val="en-GB"/>
        </w:rPr>
        <w:t xml:space="preserve">single </w:t>
      </w:r>
      <w:r w:rsidR="002A279E" w:rsidRPr="00105869">
        <w:rPr>
          <w:lang w:val="en-GB"/>
        </w:rPr>
        <w:lastRenderedPageBreak/>
        <w:t xml:space="preserve">radiographic </w:t>
      </w:r>
      <w:r w:rsidR="008412D3" w:rsidRPr="00105869">
        <w:rPr>
          <w:lang w:val="en-GB"/>
        </w:rPr>
        <w:t>variables</w:t>
      </w:r>
      <w:r w:rsidR="00D31825">
        <w:rPr>
          <w:lang w:val="en-GB"/>
        </w:rPr>
        <w:t xml:space="preserve"> and </w:t>
      </w:r>
      <w:r w:rsidR="00825F97" w:rsidRPr="00105869">
        <w:rPr>
          <w:lang w:val="en-GB"/>
        </w:rPr>
        <w:t xml:space="preserve">agreement </w:t>
      </w:r>
      <w:r w:rsidR="00234F05">
        <w:rPr>
          <w:lang w:val="en-GB"/>
        </w:rPr>
        <w:t>might improve</w:t>
      </w:r>
      <w:r w:rsidR="00234F05" w:rsidRPr="00105869">
        <w:rPr>
          <w:lang w:val="en-GB"/>
        </w:rPr>
        <w:t xml:space="preserve"> </w:t>
      </w:r>
      <w:r w:rsidR="00EF028E">
        <w:rPr>
          <w:lang w:val="en-GB"/>
        </w:rPr>
        <w:t>for</w:t>
      </w:r>
      <w:r w:rsidR="00EF028E" w:rsidRPr="00105869">
        <w:rPr>
          <w:lang w:val="en-GB"/>
        </w:rPr>
        <w:t xml:space="preserve"> </w:t>
      </w:r>
      <w:r w:rsidR="00A16908" w:rsidRPr="00105869">
        <w:rPr>
          <w:lang w:val="en-GB"/>
        </w:rPr>
        <w:t>combinations of radiographic alterations</w:t>
      </w:r>
      <w:r w:rsidR="00234F05">
        <w:rPr>
          <w:lang w:val="en-GB"/>
        </w:rPr>
        <w:t>.</w:t>
      </w:r>
      <w:r w:rsidR="0076407A" w:rsidRPr="00105869">
        <w:rPr>
          <w:lang w:val="en-GB"/>
        </w:rPr>
        <w:t xml:space="preserve"> </w:t>
      </w:r>
    </w:p>
    <w:p w14:paraId="0F6E742A" w14:textId="799BF776" w:rsidR="00341C39" w:rsidRPr="00105869" w:rsidRDefault="00341C39" w:rsidP="008C3151">
      <w:pPr>
        <w:spacing w:line="480" w:lineRule="auto"/>
        <w:rPr>
          <w:lang w:val="en-GB"/>
        </w:rPr>
      </w:pPr>
    </w:p>
    <w:p w14:paraId="4179B82E" w14:textId="1392FB8D" w:rsidR="002732F1" w:rsidRDefault="005B4A5A" w:rsidP="00994588">
      <w:pPr>
        <w:spacing w:line="480" w:lineRule="auto"/>
        <w:rPr>
          <w:b/>
          <w:bCs/>
          <w:lang w:val="en-GB"/>
        </w:rPr>
      </w:pPr>
      <w:r>
        <w:rPr>
          <w:b/>
          <w:bCs/>
          <w:lang w:val="en-GB"/>
        </w:rPr>
        <w:t>MATERIAL AND METHODS</w:t>
      </w:r>
    </w:p>
    <w:p w14:paraId="4CF5CAC6" w14:textId="217C515C" w:rsidR="00981331" w:rsidRDefault="00981331" w:rsidP="00994588">
      <w:pPr>
        <w:spacing w:line="480" w:lineRule="auto"/>
        <w:rPr>
          <w:b/>
          <w:bCs/>
          <w:lang w:val="en-GB"/>
        </w:rPr>
      </w:pPr>
      <w:r w:rsidRPr="00EF028E">
        <w:rPr>
          <w:b/>
          <w:bCs/>
          <w:lang w:val="en-GB"/>
        </w:rPr>
        <w:t>Study population</w:t>
      </w:r>
    </w:p>
    <w:p w14:paraId="5E4D8AC8" w14:textId="08C908F2" w:rsidR="00EB515C" w:rsidRPr="00105869" w:rsidRDefault="00FD7049">
      <w:pPr>
        <w:spacing w:line="480" w:lineRule="auto"/>
        <w:rPr>
          <w:lang w:val="en-GB"/>
        </w:rPr>
      </w:pPr>
      <w:r>
        <w:rPr>
          <w:lang w:val="en-GB"/>
        </w:rPr>
        <w:t xml:space="preserve">This study was approved by the Social Science Research Ethical Review Board </w:t>
      </w:r>
      <w:r w:rsidR="005A235F">
        <w:rPr>
          <w:lang w:val="en-GB"/>
        </w:rPr>
        <w:t>of</w:t>
      </w:r>
      <w:r>
        <w:rPr>
          <w:lang w:val="en-GB"/>
        </w:rPr>
        <w:t xml:space="preserve"> the Royal Veterinary College (URN SR2020-0015). </w:t>
      </w:r>
      <w:r w:rsidR="00981331" w:rsidRPr="00105869">
        <w:rPr>
          <w:lang w:val="en-GB"/>
        </w:rPr>
        <w:t>Radiographs of</w:t>
      </w:r>
      <w:r w:rsidR="008320A9" w:rsidRPr="00105869">
        <w:rPr>
          <w:lang w:val="en-GB"/>
        </w:rPr>
        <w:t xml:space="preserve"> one</w:t>
      </w:r>
      <w:r w:rsidR="00981331" w:rsidRPr="00105869">
        <w:rPr>
          <w:lang w:val="en-GB"/>
        </w:rPr>
        <w:t xml:space="preserve"> </w:t>
      </w:r>
      <w:r w:rsidR="000020D5" w:rsidRPr="00105869">
        <w:rPr>
          <w:lang w:val="en-GB"/>
        </w:rPr>
        <w:t>hundred</w:t>
      </w:r>
      <w:r w:rsidR="00981331" w:rsidRPr="00105869">
        <w:rPr>
          <w:lang w:val="en-GB"/>
        </w:rPr>
        <w:t xml:space="preserve"> horses presented </w:t>
      </w:r>
      <w:r w:rsidR="000020D5" w:rsidRPr="00105869">
        <w:rPr>
          <w:lang w:val="en-GB"/>
        </w:rPr>
        <w:t xml:space="preserve">between July 2019 and December 2019 </w:t>
      </w:r>
      <w:r w:rsidR="00981331" w:rsidRPr="00105869">
        <w:rPr>
          <w:lang w:val="en-GB"/>
        </w:rPr>
        <w:t xml:space="preserve">for </w:t>
      </w:r>
      <w:r w:rsidR="00E46901" w:rsidRPr="00105869">
        <w:rPr>
          <w:lang w:val="en-GB"/>
        </w:rPr>
        <w:t xml:space="preserve">PPE </w:t>
      </w:r>
      <w:r w:rsidR="000020D5" w:rsidRPr="00105869">
        <w:rPr>
          <w:lang w:val="en-GB"/>
        </w:rPr>
        <w:t xml:space="preserve">at </w:t>
      </w:r>
      <w:proofErr w:type="spellStart"/>
      <w:r w:rsidR="000020D5" w:rsidRPr="00105869">
        <w:rPr>
          <w:lang w:val="en-GB"/>
        </w:rPr>
        <w:t>Veterinair</w:t>
      </w:r>
      <w:proofErr w:type="spellEnd"/>
      <w:r w:rsidR="000020D5" w:rsidRPr="00105869">
        <w:rPr>
          <w:lang w:val="en-GB"/>
        </w:rPr>
        <w:t xml:space="preserve"> Centrum </w:t>
      </w:r>
      <w:proofErr w:type="spellStart"/>
      <w:r w:rsidR="000020D5" w:rsidRPr="00105869">
        <w:rPr>
          <w:lang w:val="en-GB"/>
        </w:rPr>
        <w:t>Honselersdijk</w:t>
      </w:r>
      <w:proofErr w:type="spellEnd"/>
      <w:r w:rsidR="000020D5" w:rsidRPr="00105869">
        <w:rPr>
          <w:lang w:val="en-GB"/>
        </w:rPr>
        <w:t xml:space="preserve"> </w:t>
      </w:r>
      <w:r w:rsidR="00981331" w:rsidRPr="00105869">
        <w:rPr>
          <w:lang w:val="en-GB"/>
        </w:rPr>
        <w:t xml:space="preserve">were </w:t>
      </w:r>
      <w:r w:rsidR="008C44B9">
        <w:rPr>
          <w:lang w:val="en-GB"/>
        </w:rPr>
        <w:t xml:space="preserve">retrospectively and </w:t>
      </w:r>
      <w:r w:rsidR="00732FB9" w:rsidRPr="00105869">
        <w:rPr>
          <w:lang w:val="en-GB"/>
        </w:rPr>
        <w:t xml:space="preserve">randomly </w:t>
      </w:r>
      <w:r w:rsidR="00981331" w:rsidRPr="00105869">
        <w:rPr>
          <w:lang w:val="en-GB"/>
        </w:rPr>
        <w:t>selected.</w:t>
      </w:r>
      <w:r w:rsidR="000020D5" w:rsidRPr="00105869">
        <w:rPr>
          <w:lang w:val="en-GB"/>
        </w:rPr>
        <w:t xml:space="preserve"> </w:t>
      </w:r>
      <w:r w:rsidR="00825F97" w:rsidRPr="00105869">
        <w:rPr>
          <w:lang w:val="en-GB"/>
        </w:rPr>
        <w:t>I</w:t>
      </w:r>
      <w:r w:rsidR="0097304E" w:rsidRPr="00105869">
        <w:rPr>
          <w:lang w:val="en-GB"/>
        </w:rPr>
        <w:t xml:space="preserve">nformation </w:t>
      </w:r>
      <w:r w:rsidR="004974DA" w:rsidRPr="00105869">
        <w:rPr>
          <w:lang w:val="en-GB"/>
        </w:rPr>
        <w:t>of</w:t>
      </w:r>
      <w:r w:rsidR="0097304E" w:rsidRPr="00105869">
        <w:rPr>
          <w:lang w:val="en-GB"/>
        </w:rPr>
        <w:t xml:space="preserve"> animal</w:t>
      </w:r>
      <w:r w:rsidR="004974DA" w:rsidRPr="00105869">
        <w:rPr>
          <w:lang w:val="en-GB"/>
        </w:rPr>
        <w:t>s</w:t>
      </w:r>
      <w:r w:rsidR="0097304E" w:rsidRPr="00105869">
        <w:rPr>
          <w:lang w:val="en-GB"/>
        </w:rPr>
        <w:t xml:space="preserve"> included age, sex, breed, purpose of use, level of training and height.</w:t>
      </w:r>
      <w:r w:rsidR="00825F97" w:rsidRPr="00105869" w:rsidDel="00825F97">
        <w:rPr>
          <w:lang w:val="en-GB"/>
        </w:rPr>
        <w:t xml:space="preserve"> </w:t>
      </w:r>
      <w:r w:rsidR="00EB515C" w:rsidRPr="00105869">
        <w:rPr>
          <w:lang w:val="en-GB"/>
        </w:rPr>
        <w:t xml:space="preserve">A </w:t>
      </w:r>
      <w:r w:rsidR="00732FB9" w:rsidRPr="00105869">
        <w:rPr>
          <w:lang w:val="en-GB"/>
        </w:rPr>
        <w:t xml:space="preserve">thorough </w:t>
      </w:r>
      <w:r w:rsidR="00EB515C" w:rsidRPr="00105869">
        <w:rPr>
          <w:lang w:val="en-GB"/>
        </w:rPr>
        <w:t xml:space="preserve">clinical </w:t>
      </w:r>
      <w:r w:rsidR="00732FB9" w:rsidRPr="00105869">
        <w:rPr>
          <w:lang w:val="en-GB"/>
        </w:rPr>
        <w:t xml:space="preserve">and orthopaedic </w:t>
      </w:r>
      <w:r w:rsidR="00EB515C" w:rsidRPr="00105869">
        <w:rPr>
          <w:lang w:val="en-GB"/>
        </w:rPr>
        <w:t>examination was performed</w:t>
      </w:r>
      <w:r w:rsidR="002A4B4D" w:rsidRPr="00105869">
        <w:rPr>
          <w:lang w:val="en-GB"/>
        </w:rPr>
        <w:t xml:space="preserve"> </w:t>
      </w:r>
      <w:r w:rsidR="004974DA" w:rsidRPr="00105869">
        <w:rPr>
          <w:lang w:val="en-GB"/>
        </w:rPr>
        <w:t xml:space="preserve">in </w:t>
      </w:r>
      <w:r w:rsidR="002A4B4D" w:rsidRPr="00105869">
        <w:rPr>
          <w:lang w:val="en-GB"/>
        </w:rPr>
        <w:t>all selected horse</w:t>
      </w:r>
      <w:r w:rsidR="008320A9" w:rsidRPr="00105869">
        <w:rPr>
          <w:lang w:val="en-GB"/>
        </w:rPr>
        <w:t>s</w:t>
      </w:r>
      <w:r w:rsidR="002A4B4D" w:rsidRPr="00105869">
        <w:rPr>
          <w:lang w:val="en-GB"/>
        </w:rPr>
        <w:t xml:space="preserve"> by</w:t>
      </w:r>
      <w:r w:rsidR="00F813CD" w:rsidRPr="00105869">
        <w:rPr>
          <w:lang w:val="en-GB"/>
        </w:rPr>
        <w:t xml:space="preserve"> </w:t>
      </w:r>
      <w:r w:rsidR="002A4B4D" w:rsidRPr="00105869">
        <w:rPr>
          <w:lang w:val="en-GB"/>
        </w:rPr>
        <w:t>two experienced clinicians (M.L., J.M.)</w:t>
      </w:r>
      <w:r w:rsidR="00F813CD" w:rsidRPr="00105869">
        <w:rPr>
          <w:lang w:val="en-GB"/>
        </w:rPr>
        <w:t>, with one having a clinical experience for more than 30 years</w:t>
      </w:r>
      <w:r w:rsidR="00985524">
        <w:rPr>
          <w:lang w:val="en-GB"/>
        </w:rPr>
        <w:t xml:space="preserve"> and the other more than </w:t>
      </w:r>
      <w:r w:rsidR="00427620">
        <w:rPr>
          <w:lang w:val="en-GB"/>
        </w:rPr>
        <w:t>five</w:t>
      </w:r>
      <w:r w:rsidR="00985524">
        <w:rPr>
          <w:lang w:val="en-GB"/>
        </w:rPr>
        <w:t xml:space="preserve"> years</w:t>
      </w:r>
      <w:r w:rsidR="002A4B4D" w:rsidRPr="00105869">
        <w:rPr>
          <w:lang w:val="en-GB"/>
        </w:rPr>
        <w:t xml:space="preserve">. </w:t>
      </w:r>
      <w:r w:rsidR="004974DA" w:rsidRPr="00105869">
        <w:rPr>
          <w:lang w:val="en-GB"/>
        </w:rPr>
        <w:t>E</w:t>
      </w:r>
      <w:r w:rsidR="002A4B4D" w:rsidRPr="00105869">
        <w:rPr>
          <w:lang w:val="en-GB"/>
        </w:rPr>
        <w:t xml:space="preserve">xamination </w:t>
      </w:r>
      <w:r w:rsidR="004974DA" w:rsidRPr="00105869">
        <w:rPr>
          <w:lang w:val="en-GB"/>
        </w:rPr>
        <w:t xml:space="preserve">of the thoracolumbar region </w:t>
      </w:r>
      <w:r w:rsidR="002A4B4D" w:rsidRPr="00105869">
        <w:rPr>
          <w:lang w:val="en-GB"/>
        </w:rPr>
        <w:t>at rest involved palpation and observation of</w:t>
      </w:r>
      <w:r w:rsidR="009F1E66" w:rsidRPr="00105869">
        <w:rPr>
          <w:lang w:val="en-GB"/>
        </w:rPr>
        <w:t xml:space="preserve"> </w:t>
      </w:r>
      <w:r w:rsidR="002A4B4D" w:rsidRPr="00105869">
        <w:rPr>
          <w:lang w:val="en-GB"/>
        </w:rPr>
        <w:t>muscle tension or wastage</w:t>
      </w:r>
      <w:r w:rsidR="00496E91" w:rsidRPr="00105869">
        <w:rPr>
          <w:lang w:val="en-GB"/>
        </w:rPr>
        <w:t>,</w:t>
      </w:r>
      <w:r w:rsidR="002A4B4D" w:rsidRPr="00105869">
        <w:rPr>
          <w:lang w:val="en-GB"/>
        </w:rPr>
        <w:t xml:space="preserve"> </w:t>
      </w:r>
      <w:r w:rsidR="009F1E66" w:rsidRPr="00105869">
        <w:rPr>
          <w:lang w:val="en-GB"/>
        </w:rPr>
        <w:t>evidence of kyphosis, lordosis, pain response</w:t>
      </w:r>
      <w:r w:rsidR="00F93877">
        <w:rPr>
          <w:lang w:val="en-GB"/>
        </w:rPr>
        <w:t xml:space="preserve"> to palpation</w:t>
      </w:r>
      <w:r w:rsidR="009F1E66" w:rsidRPr="00105869">
        <w:rPr>
          <w:lang w:val="en-GB"/>
        </w:rPr>
        <w:t xml:space="preserve">, reflexes and movement of the thoracolumbar spine with manipulative tests. </w:t>
      </w:r>
      <w:r w:rsidR="00037498" w:rsidRPr="00105869">
        <w:rPr>
          <w:lang w:val="en-GB"/>
        </w:rPr>
        <w:t>Horse</w:t>
      </w:r>
      <w:r w:rsidR="003E34A6" w:rsidRPr="00105869">
        <w:rPr>
          <w:lang w:val="en-GB"/>
        </w:rPr>
        <w:t>s</w:t>
      </w:r>
      <w:r w:rsidR="00037498" w:rsidRPr="00105869">
        <w:rPr>
          <w:lang w:val="en-GB"/>
        </w:rPr>
        <w:t xml:space="preserve"> were excluded if there were orthopaedic</w:t>
      </w:r>
      <w:r w:rsidR="003E34A6" w:rsidRPr="00105869">
        <w:rPr>
          <w:lang w:val="en-GB"/>
        </w:rPr>
        <w:t>-related</w:t>
      </w:r>
      <w:r w:rsidR="00037498" w:rsidRPr="00105869">
        <w:rPr>
          <w:lang w:val="en-GB"/>
        </w:rPr>
        <w:t xml:space="preserve"> remarks after the clinical part of the pre-purchase examination</w:t>
      </w:r>
      <w:r>
        <w:rPr>
          <w:lang w:val="en-GB"/>
        </w:rPr>
        <w:t xml:space="preserve"> </w:t>
      </w:r>
      <w:r w:rsidR="00183CA3">
        <w:rPr>
          <w:lang w:val="en-GB"/>
        </w:rPr>
        <w:t>such as</w:t>
      </w:r>
      <w:r>
        <w:rPr>
          <w:lang w:val="en-GB"/>
        </w:rPr>
        <w:t xml:space="preserve"> lameness</w:t>
      </w:r>
      <w:r w:rsidR="00183CA3">
        <w:rPr>
          <w:lang w:val="en-GB"/>
        </w:rPr>
        <w:t xml:space="preserve"> or</w:t>
      </w:r>
      <w:r>
        <w:rPr>
          <w:lang w:val="en-GB"/>
        </w:rPr>
        <w:t xml:space="preserve"> </w:t>
      </w:r>
      <w:r w:rsidR="00183CA3">
        <w:rPr>
          <w:lang w:val="en-GB"/>
        </w:rPr>
        <w:t>positive flexion tests</w:t>
      </w:r>
      <w:r w:rsidR="00037498" w:rsidRPr="00105869">
        <w:rPr>
          <w:lang w:val="en-GB"/>
        </w:rPr>
        <w:t>.</w:t>
      </w:r>
    </w:p>
    <w:p w14:paraId="6A357160" w14:textId="77777777" w:rsidR="009F1E66" w:rsidRPr="00105869" w:rsidRDefault="009F1E66" w:rsidP="00105869">
      <w:pPr>
        <w:spacing w:line="480" w:lineRule="auto"/>
        <w:rPr>
          <w:lang w:val="en-GB"/>
        </w:rPr>
      </w:pPr>
    </w:p>
    <w:p w14:paraId="561BB366" w14:textId="0C318FC4" w:rsidR="00732FB9" w:rsidRPr="00105869" w:rsidRDefault="00F73484" w:rsidP="00105869">
      <w:pPr>
        <w:spacing w:line="480" w:lineRule="auto"/>
        <w:rPr>
          <w:lang w:val="en-GB"/>
        </w:rPr>
      </w:pPr>
      <w:r w:rsidRPr="00105869">
        <w:rPr>
          <w:lang w:val="en-GB"/>
        </w:rPr>
        <w:t xml:space="preserve">Horses were sedated with a combination of </w:t>
      </w:r>
      <w:proofErr w:type="spellStart"/>
      <w:r w:rsidRPr="00105869">
        <w:rPr>
          <w:lang w:val="en-GB"/>
        </w:rPr>
        <w:t>detom</w:t>
      </w:r>
      <w:r w:rsidR="00AF7167">
        <w:rPr>
          <w:lang w:val="en-GB"/>
        </w:rPr>
        <w:t>i</w:t>
      </w:r>
      <w:r w:rsidRPr="00105869">
        <w:rPr>
          <w:lang w:val="en-GB"/>
        </w:rPr>
        <w:t>dine</w:t>
      </w:r>
      <w:proofErr w:type="spellEnd"/>
      <w:r w:rsidRPr="00105869">
        <w:rPr>
          <w:lang w:val="en-GB"/>
        </w:rPr>
        <w:t xml:space="preserve"> (10</w:t>
      </w:r>
      <w:r w:rsidR="000E0605" w:rsidRPr="00105869">
        <w:rPr>
          <w:lang w:val="en-GB"/>
        </w:rPr>
        <w:t xml:space="preserve"> µg/kg</w:t>
      </w:r>
      <w:r w:rsidR="005B4A5A">
        <w:rPr>
          <w:lang w:val="en-GB"/>
        </w:rPr>
        <w:t xml:space="preserve"> BW </w:t>
      </w:r>
      <w:proofErr w:type="spellStart"/>
      <w:r w:rsidR="005B4A5A">
        <w:rPr>
          <w:lang w:val="en-GB"/>
        </w:rPr>
        <w:t>i.v.</w:t>
      </w:r>
      <w:proofErr w:type="spellEnd"/>
      <w:r w:rsidR="000E0605" w:rsidRPr="00105869">
        <w:rPr>
          <w:lang w:val="en-GB"/>
        </w:rPr>
        <w:t xml:space="preserve">, </w:t>
      </w:r>
      <w:proofErr w:type="spellStart"/>
      <w:r w:rsidR="000E0605" w:rsidRPr="00105869">
        <w:rPr>
          <w:lang w:val="en-GB"/>
        </w:rPr>
        <w:t>Detogesic</w:t>
      </w:r>
      <w:r w:rsidR="005B4A5A" w:rsidRPr="00015974">
        <w:rPr>
          <w:vertAlign w:val="superscript"/>
          <w:lang w:val="en-GB"/>
        </w:rPr>
        <w:t>a</w:t>
      </w:r>
      <w:proofErr w:type="spellEnd"/>
      <w:r w:rsidR="000E0605" w:rsidRPr="00105869">
        <w:rPr>
          <w:lang w:val="en-GB"/>
        </w:rPr>
        <w:t>) and</w:t>
      </w:r>
      <w:r w:rsidR="002E7A06" w:rsidRPr="00105869">
        <w:rPr>
          <w:lang w:val="en-GB"/>
        </w:rPr>
        <w:t xml:space="preserve"> </w:t>
      </w:r>
      <w:r w:rsidR="000E0605" w:rsidRPr="00105869">
        <w:rPr>
          <w:lang w:val="en-GB"/>
        </w:rPr>
        <w:t>butorphanol (10 µg/kg</w:t>
      </w:r>
      <w:r w:rsidR="005B4A5A">
        <w:rPr>
          <w:lang w:val="en-GB"/>
        </w:rPr>
        <w:t xml:space="preserve"> BW </w:t>
      </w:r>
      <w:proofErr w:type="spellStart"/>
      <w:r w:rsidR="005B4A5A">
        <w:rPr>
          <w:lang w:val="en-GB"/>
        </w:rPr>
        <w:t>i.v.</w:t>
      </w:r>
      <w:proofErr w:type="spellEnd"/>
      <w:r w:rsidR="000E0605" w:rsidRPr="00105869">
        <w:rPr>
          <w:lang w:val="en-GB"/>
        </w:rPr>
        <w:t xml:space="preserve">, </w:t>
      </w:r>
      <w:proofErr w:type="spellStart"/>
      <w:r w:rsidR="000E0605" w:rsidRPr="00105869">
        <w:rPr>
          <w:lang w:val="en-GB"/>
        </w:rPr>
        <w:t>Torbogesic</w:t>
      </w:r>
      <w:r w:rsidR="005B4A5A">
        <w:rPr>
          <w:vertAlign w:val="superscript"/>
          <w:lang w:val="en-GB"/>
        </w:rPr>
        <w:t>a</w:t>
      </w:r>
      <w:bookmarkStart w:id="2" w:name="OLE_LINK7"/>
      <w:bookmarkStart w:id="3" w:name="OLE_LINK8"/>
      <w:proofErr w:type="spellEnd"/>
      <w:r w:rsidR="000E0605" w:rsidRPr="00105869">
        <w:rPr>
          <w:lang w:val="en-GB"/>
        </w:rPr>
        <w:t>).</w:t>
      </w:r>
      <w:r w:rsidRPr="00105869">
        <w:rPr>
          <w:lang w:val="en-GB"/>
        </w:rPr>
        <w:t xml:space="preserve"> </w:t>
      </w:r>
      <w:r w:rsidR="004F52B4" w:rsidRPr="00105869">
        <w:rPr>
          <w:lang w:val="en-GB"/>
        </w:rPr>
        <w:t>Left later</w:t>
      </w:r>
      <w:r w:rsidR="00735579" w:rsidRPr="00105869">
        <w:rPr>
          <w:lang w:val="en-GB"/>
        </w:rPr>
        <w:t>al</w:t>
      </w:r>
      <w:r w:rsidR="004F52B4" w:rsidRPr="00105869">
        <w:rPr>
          <w:lang w:val="en-GB"/>
        </w:rPr>
        <w:t>-right lateral radiographs</w:t>
      </w:r>
      <w:r w:rsidR="004F52B4" w:rsidRPr="00105869" w:rsidDel="004F52B4">
        <w:rPr>
          <w:lang w:val="en-GB"/>
        </w:rPr>
        <w:t xml:space="preserve"> </w:t>
      </w:r>
      <w:r w:rsidR="00341C39" w:rsidRPr="00105869">
        <w:rPr>
          <w:lang w:val="en-GB"/>
        </w:rPr>
        <w:t xml:space="preserve">were </w:t>
      </w:r>
      <w:r w:rsidR="004974DA" w:rsidRPr="00105869">
        <w:rPr>
          <w:lang w:val="en-GB"/>
        </w:rPr>
        <w:t xml:space="preserve">acquired </w:t>
      </w:r>
      <w:r w:rsidR="00341C39" w:rsidRPr="00105869">
        <w:rPr>
          <w:lang w:val="en-GB"/>
        </w:rPr>
        <w:t>with the same radiographic equipment (APR VET SHF-535</w:t>
      </w:r>
      <w:r w:rsidR="00A554AB" w:rsidRPr="00105869">
        <w:rPr>
          <w:lang w:val="en-GB"/>
        </w:rPr>
        <w:t xml:space="preserve"> x-ray </w:t>
      </w:r>
      <w:proofErr w:type="spellStart"/>
      <w:r w:rsidR="00A554AB" w:rsidRPr="00105869">
        <w:rPr>
          <w:lang w:val="en-GB"/>
        </w:rPr>
        <w:t>generator</w:t>
      </w:r>
      <w:r w:rsidR="005B4A5A" w:rsidRPr="00015974">
        <w:rPr>
          <w:vertAlign w:val="superscript"/>
          <w:lang w:val="en-GB"/>
        </w:rPr>
        <w:t>b</w:t>
      </w:r>
      <w:proofErr w:type="spellEnd"/>
      <w:r w:rsidR="00341C39" w:rsidRPr="00105869">
        <w:rPr>
          <w:lang w:val="en-GB"/>
        </w:rPr>
        <w:t xml:space="preserve">) and computer software (XDR3 and XDR 5 veterinary DR x-ray </w:t>
      </w:r>
      <w:proofErr w:type="spellStart"/>
      <w:r w:rsidR="00341C39" w:rsidRPr="00105869">
        <w:rPr>
          <w:lang w:val="en-GB"/>
        </w:rPr>
        <w:t>system</w:t>
      </w:r>
      <w:r w:rsidR="005B4A5A" w:rsidRPr="00015974">
        <w:rPr>
          <w:vertAlign w:val="superscript"/>
          <w:lang w:val="en-GB"/>
        </w:rPr>
        <w:t>c</w:t>
      </w:r>
      <w:proofErr w:type="spellEnd"/>
      <w:r w:rsidR="00A554AB" w:rsidRPr="00105869">
        <w:rPr>
          <w:lang w:val="en-GB"/>
        </w:rPr>
        <w:t>)</w:t>
      </w:r>
      <w:r w:rsidR="00341C39" w:rsidRPr="00105869">
        <w:rPr>
          <w:lang w:val="en-GB"/>
        </w:rPr>
        <w:t xml:space="preserve"> using a </w:t>
      </w:r>
      <w:r w:rsidR="00183CA3">
        <w:rPr>
          <w:lang w:val="en-GB"/>
        </w:rPr>
        <w:t>digital radiograph</w:t>
      </w:r>
      <w:r w:rsidR="001140BE">
        <w:rPr>
          <w:lang w:val="en-GB"/>
        </w:rPr>
        <w:t>y</w:t>
      </w:r>
      <w:r w:rsidR="00183CA3">
        <w:rPr>
          <w:lang w:val="en-GB"/>
        </w:rPr>
        <w:t xml:space="preserve"> (DR)</w:t>
      </w:r>
      <w:r w:rsidR="00A554AB" w:rsidRPr="00105869">
        <w:rPr>
          <w:lang w:val="en-GB"/>
        </w:rPr>
        <w:t xml:space="preserve"> flat panel detector plate (</w:t>
      </w:r>
      <w:proofErr w:type="spellStart"/>
      <w:r w:rsidR="00036557" w:rsidRPr="00105869">
        <w:rPr>
          <w:lang w:val="en-GB"/>
        </w:rPr>
        <w:t>C</w:t>
      </w:r>
      <w:r w:rsidR="00341C39" w:rsidRPr="00105869">
        <w:rPr>
          <w:lang w:val="en-GB"/>
        </w:rPr>
        <w:t>uattro</w:t>
      </w:r>
      <w:proofErr w:type="spellEnd"/>
      <w:r w:rsidR="00341C39" w:rsidRPr="00105869">
        <w:rPr>
          <w:lang w:val="en-GB"/>
        </w:rPr>
        <w:t xml:space="preserve"> 1417 HD</w:t>
      </w:r>
      <w:r w:rsidR="00E32A30" w:rsidRPr="00105869">
        <w:rPr>
          <w:lang w:val="en-GB"/>
        </w:rPr>
        <w:t xml:space="preserve"> </w:t>
      </w:r>
      <w:r w:rsidR="00341C39" w:rsidRPr="00105869">
        <w:rPr>
          <w:lang w:val="en-GB"/>
        </w:rPr>
        <w:t>384mmx460mm</w:t>
      </w:r>
      <w:r w:rsidR="005B4A5A" w:rsidRPr="00015974">
        <w:rPr>
          <w:vertAlign w:val="superscript"/>
          <w:lang w:val="en-GB"/>
        </w:rPr>
        <w:t>c</w:t>
      </w:r>
      <w:r w:rsidR="00A554AB" w:rsidRPr="00105869">
        <w:rPr>
          <w:lang w:val="en-GB"/>
        </w:rPr>
        <w:t xml:space="preserve">). </w:t>
      </w:r>
      <w:bookmarkEnd w:id="2"/>
      <w:bookmarkEnd w:id="3"/>
      <w:r w:rsidR="00A554AB" w:rsidRPr="00105869">
        <w:rPr>
          <w:lang w:val="en-GB"/>
        </w:rPr>
        <w:t>Radiographs were obtained from the withers to the lumbar region with a</w:t>
      </w:r>
      <w:r w:rsidR="00341C39" w:rsidRPr="00105869">
        <w:rPr>
          <w:lang w:val="en-GB"/>
        </w:rPr>
        <w:t xml:space="preserve"> minimum of at least one </w:t>
      </w:r>
      <w:r w:rsidR="00732FB9" w:rsidRPr="00105869">
        <w:rPr>
          <w:lang w:val="en-GB"/>
        </w:rPr>
        <w:t>SP</w:t>
      </w:r>
      <w:r w:rsidR="00341C39" w:rsidRPr="00105869">
        <w:rPr>
          <w:lang w:val="en-GB"/>
        </w:rPr>
        <w:t xml:space="preserve"> overlapping in between consecutive images, </w:t>
      </w:r>
      <w:r w:rsidR="004F52B4" w:rsidRPr="00105869">
        <w:rPr>
          <w:lang w:val="en-GB"/>
        </w:rPr>
        <w:t>resulting</w:t>
      </w:r>
      <w:r w:rsidR="00A554AB" w:rsidRPr="00105869">
        <w:rPr>
          <w:lang w:val="en-GB"/>
        </w:rPr>
        <w:t xml:space="preserve"> in</w:t>
      </w:r>
      <w:r w:rsidR="00341C39" w:rsidRPr="00105869">
        <w:rPr>
          <w:lang w:val="en-GB"/>
        </w:rPr>
        <w:t xml:space="preserve"> at least </w:t>
      </w:r>
      <w:r w:rsidR="00A554AB" w:rsidRPr="00105869">
        <w:rPr>
          <w:lang w:val="en-GB"/>
        </w:rPr>
        <w:t xml:space="preserve">three views per </w:t>
      </w:r>
      <w:r w:rsidR="00A554AB" w:rsidRPr="00105869">
        <w:rPr>
          <w:lang w:val="en-GB"/>
        </w:rPr>
        <w:lastRenderedPageBreak/>
        <w:t>thoracolumbar spine</w:t>
      </w:r>
      <w:r w:rsidR="00341C39" w:rsidRPr="00105869">
        <w:rPr>
          <w:lang w:val="en-GB"/>
        </w:rPr>
        <w:t>.</w:t>
      </w:r>
      <w:r w:rsidR="001B0DDF" w:rsidRPr="00105869">
        <w:rPr>
          <w:lang w:val="en-GB"/>
        </w:rPr>
        <w:t xml:space="preserve"> </w:t>
      </w:r>
      <w:r w:rsidR="004F52B4" w:rsidRPr="00105869">
        <w:rPr>
          <w:lang w:val="en-GB"/>
        </w:rPr>
        <w:t>H</w:t>
      </w:r>
      <w:r w:rsidR="001B0DDF" w:rsidRPr="00105869">
        <w:rPr>
          <w:lang w:val="en-GB"/>
        </w:rPr>
        <w:t>orse</w:t>
      </w:r>
      <w:r w:rsidR="004F52B4" w:rsidRPr="00105869">
        <w:rPr>
          <w:lang w:val="en-GB"/>
        </w:rPr>
        <w:t>s</w:t>
      </w:r>
      <w:r w:rsidR="001B0DDF" w:rsidRPr="00105869">
        <w:rPr>
          <w:lang w:val="en-GB"/>
        </w:rPr>
        <w:t xml:space="preserve"> </w:t>
      </w:r>
      <w:r w:rsidR="004F52B4" w:rsidRPr="00105869">
        <w:rPr>
          <w:lang w:val="en-GB"/>
        </w:rPr>
        <w:t xml:space="preserve">were </w:t>
      </w:r>
      <w:r w:rsidR="001B0DDF" w:rsidRPr="00105869">
        <w:rPr>
          <w:lang w:val="en-GB"/>
        </w:rPr>
        <w:t xml:space="preserve">standing squarely on all four limbs </w:t>
      </w:r>
      <w:r w:rsidR="004F52B4" w:rsidRPr="00105869">
        <w:rPr>
          <w:lang w:val="en-GB"/>
        </w:rPr>
        <w:t>with a neutral</w:t>
      </w:r>
      <w:r w:rsidR="001B0DDF" w:rsidRPr="00105869">
        <w:rPr>
          <w:lang w:val="en-GB"/>
        </w:rPr>
        <w:t xml:space="preserve"> head position.</w:t>
      </w:r>
      <w:r w:rsidR="00341C39" w:rsidRPr="00105869">
        <w:rPr>
          <w:lang w:val="en-GB"/>
        </w:rPr>
        <w:t xml:space="preserve"> </w:t>
      </w:r>
      <w:r w:rsidR="001B0DDF" w:rsidRPr="00105869">
        <w:rPr>
          <w:lang w:val="en-GB"/>
        </w:rPr>
        <w:t>The detector plate was positioned touching the horse and a film-focus distance of 1</w:t>
      </w:r>
      <w:r w:rsidR="00F93877">
        <w:rPr>
          <w:lang w:val="en-GB"/>
        </w:rPr>
        <w:t>0</w:t>
      </w:r>
      <w:r w:rsidR="001B0DDF" w:rsidRPr="00105869">
        <w:rPr>
          <w:lang w:val="en-GB"/>
        </w:rPr>
        <w:t xml:space="preserve">0 </w:t>
      </w:r>
      <w:r w:rsidR="00264DB8" w:rsidRPr="00105869">
        <w:rPr>
          <w:lang w:val="en-GB"/>
        </w:rPr>
        <w:t xml:space="preserve">cm </w:t>
      </w:r>
      <w:r w:rsidR="001B0DDF" w:rsidRPr="00105869">
        <w:rPr>
          <w:lang w:val="en-GB"/>
        </w:rPr>
        <w:t xml:space="preserve">was maintained. </w:t>
      </w:r>
      <w:r w:rsidR="00341C39" w:rsidRPr="00105869">
        <w:rPr>
          <w:lang w:val="en-GB"/>
        </w:rPr>
        <w:t xml:space="preserve">Exposures varied </w:t>
      </w:r>
      <w:r w:rsidR="00264DB8" w:rsidRPr="00105869">
        <w:rPr>
          <w:lang w:val="en-GB"/>
        </w:rPr>
        <w:t xml:space="preserve">depending on </w:t>
      </w:r>
      <w:r w:rsidR="00341C39" w:rsidRPr="00105869">
        <w:rPr>
          <w:lang w:val="en-GB"/>
        </w:rPr>
        <w:t xml:space="preserve">the </w:t>
      </w:r>
      <w:r w:rsidR="00264DB8" w:rsidRPr="00105869">
        <w:rPr>
          <w:lang w:val="en-GB"/>
        </w:rPr>
        <w:t>location,</w:t>
      </w:r>
      <w:r w:rsidR="002E7A06" w:rsidRPr="00105869">
        <w:rPr>
          <w:lang w:val="en-GB"/>
        </w:rPr>
        <w:t xml:space="preserve"> </w:t>
      </w:r>
      <w:r w:rsidR="00341C39" w:rsidRPr="00105869">
        <w:rPr>
          <w:lang w:val="en-GB"/>
        </w:rPr>
        <w:t>size and weight of horse</w:t>
      </w:r>
      <w:r w:rsidR="00264DB8" w:rsidRPr="00105869">
        <w:rPr>
          <w:lang w:val="en-GB"/>
        </w:rPr>
        <w:t>s</w:t>
      </w:r>
      <w:r w:rsidR="00341C39" w:rsidRPr="00105869">
        <w:rPr>
          <w:lang w:val="en-GB"/>
        </w:rPr>
        <w:t xml:space="preserve"> </w:t>
      </w:r>
      <w:r w:rsidR="00732FB9" w:rsidRPr="00105869">
        <w:rPr>
          <w:lang w:val="en-GB"/>
        </w:rPr>
        <w:t xml:space="preserve">(range: 10 – 100 kV, 25 – 40 </w:t>
      </w:r>
      <w:proofErr w:type="spellStart"/>
      <w:r w:rsidR="00732FB9" w:rsidRPr="00105869">
        <w:rPr>
          <w:lang w:val="en-GB"/>
        </w:rPr>
        <w:t>mAs</w:t>
      </w:r>
      <w:proofErr w:type="spellEnd"/>
      <w:r w:rsidR="00732FB9" w:rsidRPr="00105869">
        <w:rPr>
          <w:lang w:val="en-GB"/>
        </w:rPr>
        <w:t>).</w:t>
      </w:r>
    </w:p>
    <w:p w14:paraId="5E535149" w14:textId="69F2315C" w:rsidR="00341C39" w:rsidRPr="00105869" w:rsidRDefault="00341C39" w:rsidP="00105869">
      <w:pPr>
        <w:widowControl w:val="0"/>
        <w:autoSpaceDE w:val="0"/>
        <w:autoSpaceDN w:val="0"/>
        <w:adjustRightInd w:val="0"/>
        <w:spacing w:line="480" w:lineRule="auto"/>
        <w:ind w:left="640" w:hanging="640"/>
        <w:rPr>
          <w:lang w:val="en-GB"/>
        </w:rPr>
      </w:pPr>
    </w:p>
    <w:p w14:paraId="0B5C840C" w14:textId="75184A56" w:rsidR="00EB515C" w:rsidRPr="00015974" w:rsidRDefault="00EB515C">
      <w:pPr>
        <w:spacing w:line="480" w:lineRule="auto"/>
        <w:rPr>
          <w:b/>
          <w:bCs/>
          <w:lang w:val="en-GB"/>
        </w:rPr>
      </w:pPr>
      <w:r w:rsidRPr="00015974">
        <w:rPr>
          <w:b/>
          <w:bCs/>
          <w:lang w:val="en-GB"/>
        </w:rPr>
        <w:t>Radiographic grading</w:t>
      </w:r>
    </w:p>
    <w:p w14:paraId="441176A3" w14:textId="6BE1EF94" w:rsidR="00B30CFA" w:rsidRPr="00105869" w:rsidRDefault="005F5A1A">
      <w:pPr>
        <w:widowControl w:val="0"/>
        <w:autoSpaceDE w:val="0"/>
        <w:autoSpaceDN w:val="0"/>
        <w:adjustRightInd w:val="0"/>
        <w:spacing w:after="240" w:line="480" w:lineRule="auto"/>
        <w:rPr>
          <w:vertAlign w:val="superscript"/>
          <w:lang w:val="en-GB"/>
        </w:rPr>
      </w:pPr>
      <w:r w:rsidRPr="00105869">
        <w:rPr>
          <w:lang w:val="en-GB"/>
        </w:rPr>
        <w:t xml:space="preserve">All images were anonymised, randomized and </w:t>
      </w:r>
      <w:r w:rsidR="007F1427" w:rsidRPr="00105869">
        <w:rPr>
          <w:lang w:val="en-GB"/>
        </w:rPr>
        <w:t>at least one SP per radiograph was numbered using established anatomical landmarks</w:t>
      </w:r>
      <w:r w:rsidR="001A15BB" w:rsidRPr="00105869">
        <w:rPr>
          <w:lang w:val="en-GB"/>
        </w:rPr>
        <w:t>.</w:t>
      </w:r>
      <w:r w:rsidR="0041261C" w:rsidRPr="00105869">
        <w:rPr>
          <w:lang w:val="en-GB"/>
        </w:rPr>
        <w:fldChar w:fldCharType="begin" w:fldLock="1"/>
      </w:r>
      <w:r w:rsidR="00B56CA6">
        <w:rPr>
          <w:lang w:val="en-GB"/>
        </w:rPr>
        <w:instrText>ADDIN CSL_CITATION {"citationItems":[{"id":"ITEM-1","itemData":{"DOI":"10.1002/9780470690390","author":[{"dropping-particle":"","family":"Butler","given":"Janet A.","non-dropping-particle":"","parse-names":false,"suffix":""},{"dropping-particle":"","family":"Colles","given":"Christopher M.","non-dropping-particle":"","parse-names":false,"suffix":""},{"dropping-particle":"","family":"Dyson","given":"Sue J.","non-dropping-particle":"","parse-names":false,"suffix":""},{"dropping-particle":"","family":"Kold","given":"Svend E.","non-dropping-particle":"","parse-names":false,"suffix":""},{"dropping-particle":"","family":"Poulos","given":"Paul. W","non-dropping-particle":"","parse-names":false,"suffix":""}],"chapter-number":"12","container-title":"Clinical radiology of the horse","edition":"4th","id":"ITEM-1","issued":{"date-parts":[["2016"]]},"page":"691-601","publisher":"Blackwell Scientific Publications Ltd","title":"The vertebral column","type":"chapter"},"uris":["http://www.mendeley.com/documents/?uuid=93c1e13a-23de-49e8-b712-8063f5ddbfa4"]}],"mendeley":{"formattedCitation":"(21)","plainTextFormattedCitation":"(21)","previouslyFormattedCitation":"(21)"},"properties":{"noteIndex":0},"schema":"https://github.com/citation-style-language/schema/raw/master/csl-citation.json"}</w:instrText>
      </w:r>
      <w:r w:rsidR="0041261C" w:rsidRPr="00105869">
        <w:rPr>
          <w:lang w:val="en-GB"/>
        </w:rPr>
        <w:fldChar w:fldCharType="separate"/>
      </w:r>
      <w:r w:rsidR="009F0CC5" w:rsidRPr="009F0CC5">
        <w:rPr>
          <w:noProof/>
          <w:lang w:val="en-GB"/>
        </w:rPr>
        <w:t>(21)</w:t>
      </w:r>
      <w:r w:rsidR="0041261C" w:rsidRPr="00105869">
        <w:rPr>
          <w:lang w:val="en-GB"/>
        </w:rPr>
        <w:fldChar w:fldCharType="end"/>
      </w:r>
      <w:r w:rsidR="0041261C" w:rsidRPr="00105869">
        <w:rPr>
          <w:lang w:val="en-GB"/>
        </w:rPr>
        <w:t xml:space="preserve"> </w:t>
      </w:r>
      <w:r w:rsidR="00264DB8" w:rsidRPr="00105869">
        <w:rPr>
          <w:lang w:val="en-GB"/>
        </w:rPr>
        <w:t xml:space="preserve">Three </w:t>
      </w:r>
      <w:r w:rsidR="004974DA" w:rsidRPr="00105869">
        <w:rPr>
          <w:lang w:val="en-GB"/>
        </w:rPr>
        <w:t>observers, one</w:t>
      </w:r>
      <w:r w:rsidR="00264DB8" w:rsidRPr="00105869">
        <w:rPr>
          <w:lang w:val="en-GB"/>
        </w:rPr>
        <w:t xml:space="preserve"> diplomate </w:t>
      </w:r>
      <w:r w:rsidR="00F93877">
        <w:rPr>
          <w:lang w:val="en-GB"/>
        </w:rPr>
        <w:t xml:space="preserve">(D.B.) </w:t>
      </w:r>
      <w:r w:rsidR="00264DB8" w:rsidRPr="00105869">
        <w:rPr>
          <w:lang w:val="en-GB"/>
        </w:rPr>
        <w:t>and one resident</w:t>
      </w:r>
      <w:r w:rsidR="00F813CD" w:rsidRPr="00105869">
        <w:rPr>
          <w:lang w:val="en-GB"/>
        </w:rPr>
        <w:t xml:space="preserve"> </w:t>
      </w:r>
      <w:r w:rsidR="00264DB8" w:rsidRPr="00105869">
        <w:rPr>
          <w:lang w:val="en-GB"/>
        </w:rPr>
        <w:t xml:space="preserve">in large animal diagnostic imaging </w:t>
      </w:r>
      <w:r w:rsidR="0076407A" w:rsidRPr="00105869">
        <w:rPr>
          <w:lang w:val="en-GB"/>
        </w:rPr>
        <w:t xml:space="preserve">(with more than 7 years of clinical experience) </w:t>
      </w:r>
      <w:r w:rsidR="00F93877">
        <w:rPr>
          <w:lang w:val="en-GB"/>
        </w:rPr>
        <w:t xml:space="preserve">(M.L.) </w:t>
      </w:r>
      <w:r w:rsidR="00264DB8" w:rsidRPr="00105869">
        <w:rPr>
          <w:lang w:val="en-GB"/>
        </w:rPr>
        <w:t>and one recently graduated intern working in an equine referral hospital</w:t>
      </w:r>
      <w:r w:rsidR="00264DB8" w:rsidRPr="00105869" w:rsidDel="00264DB8">
        <w:rPr>
          <w:lang w:val="en-GB"/>
        </w:rPr>
        <w:t xml:space="preserve"> </w:t>
      </w:r>
      <w:r w:rsidR="00F93877">
        <w:rPr>
          <w:lang w:val="en-GB"/>
        </w:rPr>
        <w:t>(K.H</w:t>
      </w:r>
      <w:r w:rsidR="006A3D18">
        <w:rPr>
          <w:lang w:val="en-GB"/>
        </w:rPr>
        <w:t>.</w:t>
      </w:r>
      <w:r w:rsidR="00F93877">
        <w:rPr>
          <w:lang w:val="en-GB"/>
        </w:rPr>
        <w:t xml:space="preserve">) </w:t>
      </w:r>
      <w:r w:rsidR="007F1427" w:rsidRPr="00105869">
        <w:rPr>
          <w:lang w:val="en-GB"/>
        </w:rPr>
        <w:t xml:space="preserve">graded </w:t>
      </w:r>
      <w:r w:rsidR="00264DB8" w:rsidRPr="00105869">
        <w:rPr>
          <w:lang w:val="en-GB"/>
        </w:rPr>
        <w:t xml:space="preserve">images independently </w:t>
      </w:r>
      <w:r w:rsidRPr="00105869">
        <w:rPr>
          <w:lang w:val="en-GB"/>
        </w:rPr>
        <w:t xml:space="preserve">once and one observer </w:t>
      </w:r>
      <w:r w:rsidR="00264DB8" w:rsidRPr="00105869">
        <w:rPr>
          <w:lang w:val="en-GB"/>
        </w:rPr>
        <w:t xml:space="preserve">twice </w:t>
      </w:r>
      <w:r w:rsidRPr="00105869">
        <w:rPr>
          <w:lang w:val="en-GB"/>
        </w:rPr>
        <w:t>(M.L</w:t>
      </w:r>
      <w:r w:rsidR="006A3D18">
        <w:rPr>
          <w:lang w:val="en-GB"/>
        </w:rPr>
        <w:t>.</w:t>
      </w:r>
      <w:r w:rsidRPr="00105869">
        <w:rPr>
          <w:lang w:val="en-GB"/>
        </w:rPr>
        <w:t>)</w:t>
      </w:r>
      <w:r w:rsidR="00F93877">
        <w:rPr>
          <w:lang w:val="en-GB"/>
        </w:rPr>
        <w:t xml:space="preserve">. </w:t>
      </w:r>
      <w:r w:rsidR="008E743D">
        <w:rPr>
          <w:lang w:val="en-GB"/>
        </w:rPr>
        <w:t>DICOM i</w:t>
      </w:r>
      <w:r w:rsidR="00F93877">
        <w:rPr>
          <w:lang w:val="en-GB"/>
        </w:rPr>
        <w:t>mages were reviewed</w:t>
      </w:r>
      <w:r w:rsidR="007F1427" w:rsidRPr="00105869">
        <w:rPr>
          <w:lang w:val="en-GB"/>
        </w:rPr>
        <w:t xml:space="preserve"> using </w:t>
      </w:r>
      <w:r w:rsidR="00341C39" w:rsidRPr="00105869">
        <w:rPr>
          <w:lang w:val="en-GB"/>
        </w:rPr>
        <w:t>image viewer software</w:t>
      </w:r>
      <w:r w:rsidR="005751EE" w:rsidRPr="00105869">
        <w:rPr>
          <w:lang w:val="en-GB"/>
        </w:rPr>
        <w:t xml:space="preserve"> (</w:t>
      </w:r>
      <w:proofErr w:type="spellStart"/>
      <w:r w:rsidR="00341C39" w:rsidRPr="00105869">
        <w:rPr>
          <w:lang w:val="en-GB"/>
        </w:rPr>
        <w:t>Osirix</w:t>
      </w:r>
      <w:r w:rsidR="005B4A5A" w:rsidRPr="00015974">
        <w:rPr>
          <w:vertAlign w:val="superscript"/>
          <w:lang w:val="en-GB"/>
        </w:rPr>
        <w:t>d</w:t>
      </w:r>
      <w:proofErr w:type="spellEnd"/>
      <w:r w:rsidR="005751EE" w:rsidRPr="00105869">
        <w:rPr>
          <w:lang w:val="en-GB"/>
        </w:rPr>
        <w:t>)</w:t>
      </w:r>
      <w:r w:rsidR="0041261C" w:rsidRPr="00105869">
        <w:rPr>
          <w:lang w:val="en-GB"/>
        </w:rPr>
        <w:t xml:space="preserve"> </w:t>
      </w:r>
      <w:r w:rsidR="001B0DDF" w:rsidRPr="00105869">
        <w:rPr>
          <w:lang w:val="en-GB"/>
        </w:rPr>
        <w:t>with cranial to the left</w:t>
      </w:r>
      <w:r w:rsidR="00341C39" w:rsidRPr="00105869">
        <w:rPr>
          <w:color w:val="000000"/>
          <w:lang w:val="en-GB"/>
        </w:rPr>
        <w:t>.</w:t>
      </w:r>
      <w:r w:rsidR="00264DB8" w:rsidRPr="00105869">
        <w:rPr>
          <w:lang w:val="en-GB"/>
        </w:rPr>
        <w:t xml:space="preserve"> </w:t>
      </w:r>
      <w:r w:rsidR="00216796" w:rsidRPr="00105869">
        <w:rPr>
          <w:lang w:val="en-GB"/>
        </w:rPr>
        <w:t>In order to keep an individual unaltered judgement no training set was created nor training sessions were performed.</w:t>
      </w:r>
    </w:p>
    <w:p w14:paraId="0BA1E633" w14:textId="22C28420" w:rsidR="005B27BF" w:rsidRPr="00105869" w:rsidRDefault="00183C82" w:rsidP="00921183">
      <w:pPr>
        <w:spacing w:line="480" w:lineRule="auto"/>
        <w:rPr>
          <w:lang w:val="en-GB"/>
        </w:rPr>
      </w:pPr>
      <w:bookmarkStart w:id="4" w:name="OLE_LINK11"/>
      <w:bookmarkStart w:id="5" w:name="OLE_LINK12"/>
      <w:r>
        <w:rPr>
          <w:lang w:val="en-GB"/>
        </w:rPr>
        <w:t xml:space="preserve">Each </w:t>
      </w:r>
      <w:r w:rsidR="001140BE">
        <w:rPr>
          <w:lang w:val="en-GB"/>
        </w:rPr>
        <w:t>single spinous process</w:t>
      </w:r>
      <w:r>
        <w:rPr>
          <w:lang w:val="en-GB"/>
        </w:rPr>
        <w:t xml:space="preserve"> </w:t>
      </w:r>
      <w:r w:rsidR="001140BE">
        <w:rPr>
          <w:lang w:val="en-GB"/>
        </w:rPr>
        <w:t xml:space="preserve">involved in the radiographic study </w:t>
      </w:r>
      <w:r>
        <w:rPr>
          <w:lang w:val="en-GB"/>
        </w:rPr>
        <w:t>in every horse was evaluated separately</w:t>
      </w:r>
      <w:r w:rsidR="00015974">
        <w:rPr>
          <w:lang w:val="en-GB"/>
        </w:rPr>
        <w:t>, with individual exceptions of those which were not included in the radiographic study</w:t>
      </w:r>
      <w:r w:rsidR="008F1FFB">
        <w:rPr>
          <w:lang w:val="en-GB"/>
        </w:rPr>
        <w:t xml:space="preserve"> and therefore not graded</w:t>
      </w:r>
      <w:bookmarkEnd w:id="4"/>
      <w:bookmarkEnd w:id="5"/>
      <w:r>
        <w:rPr>
          <w:lang w:val="en-GB"/>
        </w:rPr>
        <w:t xml:space="preserve">. </w:t>
      </w:r>
      <w:r w:rsidR="007F1427" w:rsidRPr="00105869">
        <w:rPr>
          <w:lang w:val="en-GB"/>
        </w:rPr>
        <w:t>A</w:t>
      </w:r>
      <w:r w:rsidR="00341C39" w:rsidRPr="00105869">
        <w:rPr>
          <w:lang w:val="en-GB"/>
        </w:rPr>
        <w:t xml:space="preserve"> grading scale </w:t>
      </w:r>
      <w:r w:rsidR="005445A5" w:rsidRPr="00105869">
        <w:rPr>
          <w:lang w:val="en-GB"/>
        </w:rPr>
        <w:t xml:space="preserve">was designed </w:t>
      </w:r>
      <w:r w:rsidR="005F5A1A" w:rsidRPr="00105869">
        <w:rPr>
          <w:lang w:val="en-GB"/>
        </w:rPr>
        <w:t xml:space="preserve">involving </w:t>
      </w:r>
      <w:r w:rsidR="00260EFF">
        <w:rPr>
          <w:lang w:val="en-GB"/>
        </w:rPr>
        <w:t>structural change</w:t>
      </w:r>
      <w:r w:rsidR="005445A5">
        <w:rPr>
          <w:lang w:val="en-GB"/>
        </w:rPr>
        <w:t>s</w:t>
      </w:r>
      <w:r w:rsidR="00260EFF">
        <w:rPr>
          <w:lang w:val="en-GB"/>
        </w:rPr>
        <w:t xml:space="preserve"> leading to </w:t>
      </w:r>
      <w:r w:rsidR="005F5A1A" w:rsidRPr="00105869">
        <w:rPr>
          <w:lang w:val="en-GB"/>
        </w:rPr>
        <w:t>radiographic abnormalities described in previous used scoring systems</w:t>
      </w:r>
      <w:r w:rsidR="00F12FF8">
        <w:rPr>
          <w:lang w:val="en-GB"/>
        </w:rPr>
        <w:t>.</w:t>
      </w:r>
      <w:r w:rsidR="002F6D1A" w:rsidRPr="00105869">
        <w:rPr>
          <w:lang w:val="en-GB"/>
        </w:rPr>
        <w:fldChar w:fldCharType="begin" w:fldLock="1"/>
      </w:r>
      <w:r w:rsidR="00B56CA6">
        <w:rPr>
          <w:lang w:val="en-GB"/>
        </w:rPr>
        <w:instrText>ADDIN CSL_CITATION {"citationItems":[{"id":"ITEM-1","itemData":{"author":[{"dropping-particle":"","family":"Pettersson, H., B. Strömberg","given":"and I. Myrin","non-dropping-particle":"","parse-names":false,"suffix":""}],"container-title":"Pferdeheilkunde","id":"ITEM-1","issued":{"date-parts":[["1987"]]},"page":"313-319","title":"Das thorkolumbale, interspinale Syndrom (TLI) des Reitpferdes-Retriospektiver Vergleich konservativ und chirurgisch behandelter Fälle","type":"article-journal","volume":"3"},"uris":["http://www.mendeley.com/documents/?uuid=38038fc3-d28c-49d5-87be-c5933b3d96cd"]},{"id":"ITEM-2","itemData":{"author":[{"dropping-particle":"","family":"Sager","given":"Jörg","non-dropping-particle":"","parse-names":false,"suffix":""}],"id":"ITEM-2","issued":{"date-parts":[["1997"]]},"title":"Die Erkrankungen der Processus spinosi der Brust-und Lendenwirbelsäule des Pferdes: eine klinische und röntgenologische Studie","type":"article-journal"},"uris":["http://www.mendeley.com/documents/?uuid=1606a288-e897-4545-b279-05d3411df08f"]},{"id":"ITEM-3","itemData":{"DOI":"https://doi.org/10.1016/C2009-0-50774-X","author":[{"dropping-particle":"","family":"Denoix, Jean-Marie M., Dyson","given":"Sue J. \"Thoracolumbar spine\" Diagnosis and Management of","non-dropping-particle":"","parse-names":false,"suffix":""}],"chapter-number":"52","container-title":"Diagnosis and Management of Lameness in the Horse","edition":"2nd","editor":[{"dropping-particle":"","family":"Ross","given":"Michael W.","non-dropping-particle":"","parse-names":false,"suffix":""},{"dropping-particle":"","family":"Dyson","given":"Sue J.","non-dropping-particle":"","parse-names":false,"suffix":""}],"id":"ITEM-3","issued":{"date-parts":[["2011"]]},"page":"592-605","publisher":"WB Saunders","title":"Thoracolumbar spine","type":"chapter"},"uris":["http://www.mendeley.com/documents/?uuid=9b679b65-4738-4415-840f-b3c6d3f9fc76"]},{"id":"ITEM-4","itemData":{"author":[{"dropping-particle":"","family":"Gerhards, H., Hertsch, B., Jahn, P., &amp; Brunken","given":"G.","non-dropping-particle":"","parse-names":false,"suffix":""}],"container-title":"Deutsch Tierarzteblatt","id":"ITEM-4","issued":{"date-parts":[["2007"]]},"page":"292-303","title":"Leitfaden für die röntgenologische Beurteilung bei der Kaufuntersuchung des Pferdes (RoLF07)","type":"article-journal","volume":"57"},"uris":["http://www.mendeley.com/documents/?uuid=9e0d92fa-f2b2-4e86-aed6-98dbdc1243fe"]},{"id":"ITEM-5","itemData":{"DOI":"10.1111/j.1740-8261.2011.01845.x","ISSN":"10588183","PMID":"21699620","abstract":"Back pain is common in horses, but there has been no large-scale in-depth study describing radiographic changes of the spinous processes, the relationship between radiographic and scintigraphic findings, and the effect of size, age, breed, or discipline. The objectives were to investigate the frequency of occurrence in horses with perceived back pain of: (1) radiographic alteration of the spinous process structure; (2) increased radiopharmaceutical uptake (IRU) in the spinous processes; and (3) to compare radiographic and scintigraphic findings; and to determine if there was breed, gender, age, bodyweight, height, or work discipline predisposition for close, impinging, or overriding spinous processes. Radiographic and scintigraphic images of the thoracolumbar spine of 604 horses were graded. A radiographic grade for each spinous process (T8-L6) was assigned (0-7). The maximum radiographic grade for each horse was defined as the highest grade assigned to any spinous process; the total radiographic grade was the sum of all grades for each horse. A scintigraphic grade for each spinous process was determined (0-3). The maximum scintigraphic grade for each horse was defined as the highest grade assigned to any spinous process; the total scintigraphic grade was the sum of all grades for each horse. Associations between radiology and scintigraphy and age, gender, breed, height, weight, and discipline were analyzed statistically. The severity of radiographic lesions of the spinous processes was associated with the severity of scintigraphic abnormalities. The caudal thoracic spine (T14-T17) was most frequently affected. There was a significant breed and age effect, with Thoroughbreds and older horses having higher total and maximum radiographic grades. The severity of the lesions of the spinous processes was significantly associated with the presence of osteoarthritis of the articular process joints. It was concluded that there is a wide range of radiographic abnormalities of the spinous processes seen in horses with or without back pain. There is an association between radiographic and scintigraphic grades of the spinous processes.© 2011 Veterinary Radiology &amp; Ultrasound.","author":[{"dropping-particle":"","family":"Zimmerman","given":"Marieke","non-dropping-particle":"","parse-names":false,"suffix":""},{"dropping-particle":"","family":"Dyson","given":"Sue","non-dropping-particle":"","parse-names":false,"suffix":""},{"dropping-particle":"","family":"Murray","given":"Rachel","non-dropping-particle":"","parse-names":false,"suffix":""}],"container-title":"Veterinary Radiology and Ultrasound","id":"ITEM-5","issue":"6","issued":{"date-parts":[["2011"]]},"page":"661-671","title":"Comparison of radiographic and scintigraphic findings of the spinous processes in the equine thoracolumbar region","type":"article-journal","volume":"52"},"uris":["http://www.mendeley.com/documents/?uuid=df182bfb-1ee6-4cbd-bfa0-ac43814e4ba0"]},{"id":"ITEM-6","itemData":{"DOI":"10.21836/PEM20150505","ISSN":"01777726","abstract":"A retrospective study of 220 horses was performed to investigate the association between the clinical signs and the radiological findings of impinging dorsal spinous processes (DSPs) in warmblood sporthorses. For this purpose radiographic records were assessed to identify all horses that had undergone radiographic examination of the back as part of a pre-purchase examination between January 2009 and December 2012. The dorsal spinous processes of 239 horses were assessed and each dorsal spinous process was individually graded (0-3) using a modified 4-group grading system appropriate for routine grading of dorsal spinous processes as part of a pre-purchase examination. Fifty-five percent (n = 121) had no radiological abnormalities of the DSPs (grade 0). However, 26, 4% had at least one DSP with grade 1 impingement, 11, 8% had at least one DSP with grade 2 and 6, 8% had at least one DSP with grade 3. Follow-up information was obtained by telephone responses from owners or trainers. The horses were assessed at a mean follow up time after pre-purchase examination of 25, 19 ±12,52 months. Based on the clinical signs included in the questionnaire answers horses were divided into two groups; i) thoracolumbar back pain and ii) no thoracolumbar back pain. Only 11, 5% (N = 23) of the 220 horses had shown thoracolumbar back pain. There was no significant association between gender, age or discipline and clinical signs of thoracolumbar back pain. High maximum DSP grade is associated with an increased risk of clinical signs. The specificity of a grade 3 DSP on radiographic screening at pre purchase examinations is high, however the sensitivity is low. This suggests that there is a high risk of clinical signs in horses with grade 3 DSPs and no warranty can be offered for absence of clinical signs for grade 0, 1,2.","author":[{"dropping-particle":"","family":"Graaf","given":"Kim","non-dropping-particle":"De","parse-names":false,"suffix":""},{"dropping-particle":"","family":"Enzerink","given":"Edwin","non-dropping-particle":"","parse-names":false,"suffix":""},{"dropping-particle":"","family":"Oijen","given":"Peter","non-dropping-particle":"Van","parse-names":false,"suffix":""},{"dropping-particle":"","family":"Smeenk","given":"Allard","non-dropping-particle":"","parse-names":false,"suffix":""},{"dropping-particle":"","family":"Dik","given":"Kees J.","non-dropping-particle":"","parse-names":false,"suffix":""}],"container-title":"Pferdeheilkunde","id":"ITEM-6","issue":"5","issued":{"date-parts":[["2015"]]},"page":"461-468","title":"The radiographic frequency of impingement of the dorsal spinous processes at purchase examination and its clinical significance in 220 warmblood sporthorses","type":"article-journal","volume":"31"},"uris":["http://www.mendeley.com/documents/?uuid=f64c9255-885d-4f67-b6da-cb3cce508a09"]}],"mendeley":{"formattedCitation":"(14–19)","plainTextFormattedCitation":"(14–19)","previouslyFormattedCitation":"(14–19)"},"properties":{"noteIndex":0},"schema":"https://github.com/citation-style-language/schema/raw/master/csl-citation.json"}</w:instrText>
      </w:r>
      <w:r w:rsidR="002F6D1A" w:rsidRPr="00105869">
        <w:rPr>
          <w:lang w:val="en-GB"/>
        </w:rPr>
        <w:fldChar w:fldCharType="separate"/>
      </w:r>
      <w:r w:rsidR="009F0CC5" w:rsidRPr="009F0CC5">
        <w:rPr>
          <w:noProof/>
          <w:lang w:val="en-GB"/>
        </w:rPr>
        <w:t>(14–19)</w:t>
      </w:r>
      <w:r w:rsidR="002F6D1A" w:rsidRPr="00105869">
        <w:rPr>
          <w:lang w:val="en-GB"/>
        </w:rPr>
        <w:fldChar w:fldCharType="end"/>
      </w:r>
      <w:r w:rsidR="00341C39" w:rsidRPr="00105869">
        <w:rPr>
          <w:lang w:val="en-GB"/>
        </w:rPr>
        <w:t xml:space="preserve"> </w:t>
      </w:r>
      <w:r w:rsidR="003C61C2" w:rsidRPr="00105869">
        <w:rPr>
          <w:lang w:val="en-GB"/>
        </w:rPr>
        <w:t>For e</w:t>
      </w:r>
      <w:r w:rsidR="001B0DDF" w:rsidRPr="00105869">
        <w:rPr>
          <w:lang w:val="en-GB"/>
        </w:rPr>
        <w:t xml:space="preserve">ach single </w:t>
      </w:r>
      <w:r w:rsidR="004974DA" w:rsidRPr="00105869">
        <w:rPr>
          <w:lang w:val="en-GB"/>
        </w:rPr>
        <w:t>SP</w:t>
      </w:r>
      <w:r w:rsidR="001B0DDF" w:rsidRPr="00105869">
        <w:rPr>
          <w:lang w:val="en-GB"/>
        </w:rPr>
        <w:t xml:space="preserve"> 16 different</w:t>
      </w:r>
      <w:r w:rsidR="00B30CFA" w:rsidRPr="00105869">
        <w:rPr>
          <w:lang w:val="en-GB"/>
        </w:rPr>
        <w:t xml:space="preserve"> radiographic</w:t>
      </w:r>
      <w:r w:rsidR="001B0DDF" w:rsidRPr="00105869">
        <w:rPr>
          <w:lang w:val="en-GB"/>
        </w:rPr>
        <w:t xml:space="preserve"> variables</w:t>
      </w:r>
      <w:r w:rsidR="003C61C2" w:rsidRPr="00105869">
        <w:rPr>
          <w:lang w:val="en-GB"/>
        </w:rPr>
        <w:t xml:space="preserve"> were graded</w:t>
      </w:r>
      <w:r w:rsidR="00C35C19" w:rsidRPr="00105869">
        <w:rPr>
          <w:lang w:val="en-GB"/>
        </w:rPr>
        <w:t xml:space="preserve">, this involved ISW, modelling, </w:t>
      </w:r>
      <w:proofErr w:type="spellStart"/>
      <w:r w:rsidR="00C35C19" w:rsidRPr="00105869">
        <w:rPr>
          <w:lang w:val="en-GB"/>
        </w:rPr>
        <w:t>radiolucencies</w:t>
      </w:r>
      <w:proofErr w:type="spellEnd"/>
      <w:r w:rsidR="00C35C19" w:rsidRPr="00105869">
        <w:rPr>
          <w:lang w:val="en-GB"/>
        </w:rPr>
        <w:t xml:space="preserve"> and radiopacities along its margins and isolated opacities dorsal</w:t>
      </w:r>
      <w:r w:rsidR="0076407A" w:rsidRPr="00105869">
        <w:rPr>
          <w:lang w:val="en-GB"/>
        </w:rPr>
        <w:t xml:space="preserve"> to the SP</w:t>
      </w:r>
      <w:r w:rsidR="008F1FFB">
        <w:rPr>
          <w:lang w:val="en-GB"/>
        </w:rPr>
        <w:t>.</w:t>
      </w:r>
      <w:r w:rsidR="00C35C19" w:rsidRPr="00105869">
        <w:rPr>
          <w:lang w:val="en-GB"/>
        </w:rPr>
        <w:t xml:space="preserve"> </w:t>
      </w:r>
      <w:r w:rsidR="008F1FFB">
        <w:rPr>
          <w:lang w:val="en-GB"/>
        </w:rPr>
        <w:t>These parameters were individually graded for their abnormalities which varied from 0 (normal) to I</w:t>
      </w:r>
      <w:r w:rsidR="000B39F8">
        <w:rPr>
          <w:lang w:val="en-GB"/>
        </w:rPr>
        <w:t>-</w:t>
      </w:r>
      <w:r w:rsidR="008F1FFB">
        <w:rPr>
          <w:lang w:val="en-GB"/>
        </w:rPr>
        <w:t>IV (abnormal), see T</w:t>
      </w:r>
      <w:r w:rsidR="008F1FFB" w:rsidRPr="00105869">
        <w:rPr>
          <w:lang w:val="en-GB"/>
        </w:rPr>
        <w:t xml:space="preserve">able </w:t>
      </w:r>
      <w:r w:rsidR="008F1FFB">
        <w:rPr>
          <w:lang w:val="en-GB"/>
        </w:rPr>
        <w:t xml:space="preserve">1 for the details of the used radiographic parameters. </w:t>
      </w:r>
      <w:r w:rsidR="00021951">
        <w:rPr>
          <w:lang w:val="en-GB"/>
        </w:rPr>
        <w:t xml:space="preserve">Examples of the aforementioned radiographic abnormalities of the SP is shown in Figure 1 and 2. </w:t>
      </w:r>
    </w:p>
    <w:p w14:paraId="48121165" w14:textId="77777777" w:rsidR="005B27BF" w:rsidRPr="00105869" w:rsidRDefault="005B27BF" w:rsidP="00921183">
      <w:pPr>
        <w:spacing w:line="480" w:lineRule="auto"/>
        <w:rPr>
          <w:lang w:val="en-GB"/>
        </w:rPr>
      </w:pPr>
    </w:p>
    <w:p w14:paraId="65450E4A" w14:textId="4B3F0BE6" w:rsidR="00921183" w:rsidRPr="00105869" w:rsidRDefault="005B4A5A" w:rsidP="00921183">
      <w:pPr>
        <w:spacing w:line="480" w:lineRule="auto"/>
        <w:rPr>
          <w:lang w:val="en-GB"/>
        </w:rPr>
      </w:pPr>
      <w:r w:rsidRPr="00015974">
        <w:rPr>
          <w:b/>
          <w:bCs/>
          <w:lang w:val="en-GB"/>
        </w:rPr>
        <w:lastRenderedPageBreak/>
        <w:t>TABLE 1</w:t>
      </w:r>
      <w:r w:rsidR="00921183" w:rsidRPr="00015974">
        <w:rPr>
          <w:b/>
          <w:bCs/>
          <w:lang w:val="en-GB"/>
        </w:rPr>
        <w:t>:</w:t>
      </w:r>
      <w:r w:rsidR="00921183" w:rsidRPr="00105869">
        <w:rPr>
          <w:lang w:val="en-GB"/>
        </w:rPr>
        <w:t xml:space="preserve"> Radiographic scoring system for alteration of the </w:t>
      </w:r>
      <w:r w:rsidR="00F93877">
        <w:rPr>
          <w:lang w:val="en-GB"/>
        </w:rPr>
        <w:t xml:space="preserve">thoracolumbar </w:t>
      </w:r>
      <w:r w:rsidR="00921183" w:rsidRPr="00105869">
        <w:rPr>
          <w:lang w:val="en-GB"/>
        </w:rPr>
        <w:t xml:space="preserve">spinous processes. Definitions of </w:t>
      </w:r>
      <w:r w:rsidR="00F93877">
        <w:rPr>
          <w:lang w:val="en-GB"/>
        </w:rPr>
        <w:t>single parameters</w:t>
      </w:r>
      <w:r w:rsidR="00F93877" w:rsidRPr="00105869">
        <w:rPr>
          <w:lang w:val="en-GB"/>
        </w:rPr>
        <w:t xml:space="preserve"> </w:t>
      </w:r>
      <w:r w:rsidR="00F93877">
        <w:rPr>
          <w:lang w:val="en-GB"/>
        </w:rPr>
        <w:t xml:space="preserve">used </w:t>
      </w:r>
      <w:r w:rsidR="00921183" w:rsidRPr="00105869">
        <w:rPr>
          <w:lang w:val="en-GB"/>
        </w:rPr>
        <w:t xml:space="preserve">for determining the radiographic grade. </w:t>
      </w:r>
    </w:p>
    <w:tbl>
      <w:tblPr>
        <w:tblStyle w:val="TableGrid"/>
        <w:tblW w:w="0" w:type="auto"/>
        <w:tblLook w:val="04A0" w:firstRow="1" w:lastRow="0" w:firstColumn="1" w:lastColumn="0" w:noHBand="0" w:noVBand="1"/>
      </w:tblPr>
      <w:tblGrid>
        <w:gridCol w:w="4487"/>
        <w:gridCol w:w="4569"/>
      </w:tblGrid>
      <w:tr w:rsidR="00921183" w:rsidRPr="00105869" w14:paraId="5722FD72" w14:textId="77777777" w:rsidTr="00921183">
        <w:tc>
          <w:tcPr>
            <w:tcW w:w="6998" w:type="dxa"/>
          </w:tcPr>
          <w:p w14:paraId="2542145C" w14:textId="77777777" w:rsidR="00921183" w:rsidRPr="00105869" w:rsidRDefault="00921183" w:rsidP="00921183">
            <w:pPr>
              <w:rPr>
                <w:b/>
                <w:bCs/>
                <w:lang w:val="en-GB"/>
              </w:rPr>
            </w:pPr>
            <w:r w:rsidRPr="00105869">
              <w:rPr>
                <w:b/>
                <w:bCs/>
                <w:lang w:val="en-GB"/>
              </w:rPr>
              <w:t>Interspinous space width (ISW)</w:t>
            </w:r>
          </w:p>
          <w:p w14:paraId="7313E157" w14:textId="77777777" w:rsidR="00921183" w:rsidRPr="00105869" w:rsidRDefault="00921183" w:rsidP="00921183">
            <w:pPr>
              <w:rPr>
                <w:lang w:val="en-GB"/>
              </w:rPr>
            </w:pPr>
            <w:r w:rsidRPr="00105869">
              <w:rPr>
                <w:color w:val="000000" w:themeColor="text1"/>
                <w:kern w:val="24"/>
                <w:lang w:val="en-GB"/>
              </w:rPr>
              <w:t>0 = &gt; 4 mm</w:t>
            </w:r>
          </w:p>
          <w:p w14:paraId="5CB8B13A" w14:textId="77777777" w:rsidR="00921183" w:rsidRPr="00105869" w:rsidRDefault="00921183" w:rsidP="00921183">
            <w:pPr>
              <w:rPr>
                <w:lang w:val="en-GB"/>
              </w:rPr>
            </w:pPr>
            <w:r w:rsidRPr="00105869">
              <w:rPr>
                <w:color w:val="000000" w:themeColor="text1"/>
                <w:kern w:val="24"/>
                <w:lang w:val="en-GB"/>
              </w:rPr>
              <w:t>I = 1-4 mm (narrowing)</w:t>
            </w:r>
          </w:p>
          <w:p w14:paraId="3473EA31" w14:textId="77777777" w:rsidR="00921183" w:rsidRPr="00105869" w:rsidRDefault="00921183" w:rsidP="00921183">
            <w:pPr>
              <w:rPr>
                <w:lang w:val="en-GB"/>
              </w:rPr>
            </w:pPr>
            <w:r w:rsidRPr="00105869">
              <w:rPr>
                <w:color w:val="000000" w:themeColor="text1"/>
                <w:kern w:val="24"/>
                <w:lang w:val="en-GB"/>
              </w:rPr>
              <w:t>II = 0 mm (impinging)</w:t>
            </w:r>
          </w:p>
          <w:p w14:paraId="5DEC37C2" w14:textId="77777777" w:rsidR="00921183" w:rsidRPr="00105869" w:rsidRDefault="00921183" w:rsidP="00921183">
            <w:pPr>
              <w:rPr>
                <w:color w:val="000000" w:themeColor="text1"/>
                <w:kern w:val="24"/>
                <w:lang w:val="en-GB"/>
              </w:rPr>
            </w:pPr>
            <w:r w:rsidRPr="00105869">
              <w:rPr>
                <w:color w:val="000000" w:themeColor="text1"/>
                <w:kern w:val="24"/>
                <w:lang w:val="en-GB"/>
              </w:rPr>
              <w:t>III = &lt; 0 mm (overlapping)</w:t>
            </w:r>
          </w:p>
          <w:p w14:paraId="4A240523" w14:textId="77777777" w:rsidR="00921183" w:rsidRPr="00105869" w:rsidRDefault="00921183" w:rsidP="00921183">
            <w:pPr>
              <w:rPr>
                <w:lang w:val="en-GB"/>
              </w:rPr>
            </w:pPr>
            <w:r w:rsidRPr="00105869">
              <w:rPr>
                <w:lang w:val="en-GB"/>
              </w:rPr>
              <w:t>Graded according to the narrowest point and caudally to the spinous process</w:t>
            </w:r>
          </w:p>
        </w:tc>
        <w:tc>
          <w:tcPr>
            <w:tcW w:w="6998" w:type="dxa"/>
          </w:tcPr>
          <w:p w14:paraId="62E5ECA0" w14:textId="77777777" w:rsidR="00921183" w:rsidRPr="00105869" w:rsidRDefault="00921183" w:rsidP="00921183">
            <w:pPr>
              <w:rPr>
                <w:b/>
                <w:bCs/>
                <w:lang w:val="en-GB"/>
              </w:rPr>
            </w:pPr>
            <w:r w:rsidRPr="00105869">
              <w:rPr>
                <w:b/>
                <w:bCs/>
                <w:lang w:val="en-GB"/>
              </w:rPr>
              <w:t>Isolated linear radiopacity dorsal margin (</w:t>
            </w:r>
            <w:proofErr w:type="spellStart"/>
            <w:r w:rsidRPr="00105869">
              <w:rPr>
                <w:b/>
                <w:bCs/>
                <w:lang w:val="en-GB"/>
              </w:rPr>
              <w:t>IsolDo</w:t>
            </w:r>
            <w:proofErr w:type="spellEnd"/>
            <w:r w:rsidRPr="00105869">
              <w:rPr>
                <w:b/>
                <w:bCs/>
                <w:lang w:val="en-GB"/>
              </w:rPr>
              <w:t>)</w:t>
            </w:r>
          </w:p>
          <w:p w14:paraId="29B398F5" w14:textId="77777777" w:rsidR="00921183" w:rsidRPr="00105869" w:rsidRDefault="00921183" w:rsidP="00921183">
            <w:pPr>
              <w:rPr>
                <w:lang w:val="en-GB"/>
              </w:rPr>
            </w:pPr>
            <w:r w:rsidRPr="00105869">
              <w:rPr>
                <w:lang w:val="en-GB"/>
              </w:rPr>
              <w:t>0 = no</w:t>
            </w:r>
          </w:p>
          <w:p w14:paraId="69FFB8E2" w14:textId="77777777" w:rsidR="00921183" w:rsidRPr="00105869" w:rsidRDefault="00921183" w:rsidP="00921183">
            <w:pPr>
              <w:rPr>
                <w:lang w:val="en-GB"/>
              </w:rPr>
            </w:pPr>
            <w:r w:rsidRPr="00105869">
              <w:rPr>
                <w:lang w:val="en-GB"/>
              </w:rPr>
              <w:t>I = focal (&lt;25% of the width)</w:t>
            </w:r>
          </w:p>
          <w:p w14:paraId="126493B1" w14:textId="77777777" w:rsidR="00921183" w:rsidRPr="00105869" w:rsidRDefault="00921183" w:rsidP="00921183">
            <w:pPr>
              <w:rPr>
                <w:lang w:val="en-GB"/>
              </w:rPr>
            </w:pPr>
            <w:r w:rsidRPr="00105869">
              <w:rPr>
                <w:lang w:val="en-GB"/>
              </w:rPr>
              <w:t>II = moderate (25-50% of the width)</w:t>
            </w:r>
          </w:p>
          <w:p w14:paraId="37829BC2" w14:textId="77777777" w:rsidR="00921183" w:rsidRPr="00105869" w:rsidRDefault="00921183" w:rsidP="00921183">
            <w:pPr>
              <w:rPr>
                <w:lang w:val="en-GB"/>
              </w:rPr>
            </w:pPr>
            <w:r w:rsidRPr="00105869">
              <w:rPr>
                <w:lang w:val="en-GB"/>
              </w:rPr>
              <w:t>III = marked (&gt;50% of the width)</w:t>
            </w:r>
          </w:p>
          <w:p w14:paraId="289E2CA2" w14:textId="77777777" w:rsidR="00921183" w:rsidRPr="00105869" w:rsidRDefault="00921183" w:rsidP="00921183">
            <w:pPr>
              <w:rPr>
                <w:b/>
                <w:bCs/>
                <w:lang w:val="en-GB"/>
              </w:rPr>
            </w:pPr>
          </w:p>
        </w:tc>
      </w:tr>
      <w:tr w:rsidR="00921183" w:rsidRPr="00105869" w14:paraId="2C058F64" w14:textId="77777777" w:rsidTr="00921183">
        <w:tc>
          <w:tcPr>
            <w:tcW w:w="6998" w:type="dxa"/>
          </w:tcPr>
          <w:p w14:paraId="7461D9E6" w14:textId="77777777" w:rsidR="00921183" w:rsidRPr="00105869" w:rsidRDefault="00921183" w:rsidP="00921183">
            <w:pPr>
              <w:rPr>
                <w:b/>
                <w:bCs/>
                <w:lang w:val="en-GB"/>
              </w:rPr>
            </w:pPr>
            <w:r w:rsidRPr="00105869">
              <w:rPr>
                <w:b/>
                <w:bCs/>
                <w:lang w:val="en-GB"/>
              </w:rPr>
              <w:t>Modelling dorsal margin (</w:t>
            </w:r>
            <w:proofErr w:type="spellStart"/>
            <w:r w:rsidRPr="00105869">
              <w:rPr>
                <w:b/>
                <w:bCs/>
                <w:lang w:val="en-GB"/>
              </w:rPr>
              <w:t>DoMod</w:t>
            </w:r>
            <w:proofErr w:type="spellEnd"/>
            <w:r w:rsidRPr="00105869">
              <w:rPr>
                <w:b/>
                <w:bCs/>
                <w:lang w:val="en-GB"/>
              </w:rPr>
              <w:t xml:space="preserve">) </w:t>
            </w:r>
          </w:p>
          <w:p w14:paraId="68F14470" w14:textId="77777777" w:rsidR="00921183" w:rsidRPr="00105869" w:rsidRDefault="00921183" w:rsidP="00921183">
            <w:pPr>
              <w:rPr>
                <w:lang w:val="en-GB"/>
              </w:rPr>
            </w:pPr>
            <w:r w:rsidRPr="00105869">
              <w:rPr>
                <w:lang w:val="en-GB"/>
              </w:rPr>
              <w:t>0 = normal</w:t>
            </w:r>
          </w:p>
          <w:p w14:paraId="0ADB6E82" w14:textId="77777777" w:rsidR="00921183" w:rsidRPr="00105869" w:rsidRDefault="00921183" w:rsidP="00921183">
            <w:pPr>
              <w:rPr>
                <w:lang w:val="en-GB"/>
              </w:rPr>
            </w:pPr>
            <w:r w:rsidRPr="00105869">
              <w:rPr>
                <w:lang w:val="en-GB"/>
              </w:rPr>
              <w:t xml:space="preserve">I = mild regular modelling </w:t>
            </w:r>
          </w:p>
          <w:p w14:paraId="1F2B2155" w14:textId="77777777" w:rsidR="00921183" w:rsidRPr="00105869" w:rsidRDefault="00921183" w:rsidP="00921183">
            <w:pPr>
              <w:rPr>
                <w:lang w:val="en-GB"/>
              </w:rPr>
            </w:pPr>
            <w:r w:rsidRPr="00105869">
              <w:rPr>
                <w:lang w:val="en-GB"/>
              </w:rPr>
              <w:t xml:space="preserve">II = moderate regular or mild irregular modelling </w:t>
            </w:r>
          </w:p>
          <w:p w14:paraId="54AA84E2" w14:textId="77777777" w:rsidR="00921183" w:rsidRPr="00105869" w:rsidRDefault="00921183" w:rsidP="00921183">
            <w:pPr>
              <w:rPr>
                <w:lang w:val="en-GB"/>
              </w:rPr>
            </w:pPr>
            <w:r w:rsidRPr="00105869">
              <w:rPr>
                <w:lang w:val="en-GB"/>
              </w:rPr>
              <w:t>III = marked regular or moderate irregular modelling</w:t>
            </w:r>
          </w:p>
          <w:p w14:paraId="2CB8A520" w14:textId="77777777" w:rsidR="00921183" w:rsidRPr="00105869" w:rsidRDefault="00921183" w:rsidP="00921183">
            <w:pPr>
              <w:rPr>
                <w:lang w:val="en-GB"/>
              </w:rPr>
            </w:pPr>
            <w:r w:rsidRPr="00105869">
              <w:rPr>
                <w:lang w:val="en-GB"/>
              </w:rPr>
              <w:t>IV = marked irregular modelling</w:t>
            </w:r>
          </w:p>
          <w:p w14:paraId="42A379FE" w14:textId="77777777" w:rsidR="00921183" w:rsidRPr="00105869" w:rsidRDefault="00921183" w:rsidP="00921183">
            <w:pPr>
              <w:rPr>
                <w:b/>
                <w:bCs/>
                <w:lang w:val="en-GB"/>
              </w:rPr>
            </w:pPr>
          </w:p>
        </w:tc>
        <w:tc>
          <w:tcPr>
            <w:tcW w:w="6998" w:type="dxa"/>
          </w:tcPr>
          <w:p w14:paraId="148BD60D" w14:textId="77777777" w:rsidR="00921183" w:rsidRPr="00105869" w:rsidRDefault="00921183" w:rsidP="00921183">
            <w:pPr>
              <w:rPr>
                <w:b/>
                <w:bCs/>
                <w:lang w:val="en-GB"/>
              </w:rPr>
            </w:pPr>
            <w:r w:rsidRPr="00105869">
              <w:rPr>
                <w:b/>
                <w:bCs/>
                <w:lang w:val="en-GB"/>
              </w:rPr>
              <w:t>Modelling craniodorsal margin/beak-shaped formation (</w:t>
            </w:r>
            <w:proofErr w:type="spellStart"/>
            <w:r w:rsidRPr="00105869">
              <w:rPr>
                <w:b/>
                <w:bCs/>
                <w:lang w:val="en-GB"/>
              </w:rPr>
              <w:t>DoNose</w:t>
            </w:r>
            <w:proofErr w:type="spellEnd"/>
            <w:r w:rsidRPr="00105869">
              <w:rPr>
                <w:b/>
                <w:bCs/>
                <w:lang w:val="en-GB"/>
              </w:rPr>
              <w:t>)</w:t>
            </w:r>
          </w:p>
          <w:p w14:paraId="539F5CDB" w14:textId="77777777" w:rsidR="00921183" w:rsidRPr="00105869" w:rsidRDefault="00921183" w:rsidP="00921183">
            <w:pPr>
              <w:rPr>
                <w:lang w:val="en-GB"/>
              </w:rPr>
            </w:pPr>
            <w:r w:rsidRPr="00105869">
              <w:rPr>
                <w:lang w:val="en-GB"/>
              </w:rPr>
              <w:t>0 = normal</w:t>
            </w:r>
          </w:p>
          <w:p w14:paraId="23BA16E0" w14:textId="77777777" w:rsidR="00921183" w:rsidRPr="00105869" w:rsidRDefault="00921183" w:rsidP="00921183">
            <w:pPr>
              <w:rPr>
                <w:lang w:val="en-GB"/>
              </w:rPr>
            </w:pPr>
            <w:r w:rsidRPr="00105869">
              <w:rPr>
                <w:lang w:val="en-GB"/>
              </w:rPr>
              <w:t>I = mild elongation</w:t>
            </w:r>
          </w:p>
          <w:p w14:paraId="350C56A2" w14:textId="77777777" w:rsidR="00921183" w:rsidRPr="00105869" w:rsidRDefault="00921183" w:rsidP="00921183">
            <w:pPr>
              <w:rPr>
                <w:lang w:val="en-GB"/>
              </w:rPr>
            </w:pPr>
            <w:r w:rsidRPr="00105869">
              <w:rPr>
                <w:lang w:val="en-GB"/>
              </w:rPr>
              <w:t>II = moderate elongation</w:t>
            </w:r>
          </w:p>
          <w:p w14:paraId="356454BA" w14:textId="77777777" w:rsidR="00921183" w:rsidRPr="00105869" w:rsidRDefault="00921183" w:rsidP="00921183">
            <w:pPr>
              <w:rPr>
                <w:lang w:val="en-GB"/>
              </w:rPr>
            </w:pPr>
            <w:r w:rsidRPr="00105869">
              <w:rPr>
                <w:lang w:val="en-GB"/>
              </w:rPr>
              <w:t>III = marked elongation and/or fragment</w:t>
            </w:r>
          </w:p>
          <w:p w14:paraId="65132F2C" w14:textId="77777777" w:rsidR="00921183" w:rsidRPr="00105869" w:rsidRDefault="00921183" w:rsidP="00921183">
            <w:pPr>
              <w:rPr>
                <w:b/>
                <w:bCs/>
                <w:lang w:val="en-GB"/>
              </w:rPr>
            </w:pPr>
          </w:p>
        </w:tc>
      </w:tr>
      <w:tr w:rsidR="00921183" w:rsidRPr="00105869" w14:paraId="2BC395E1" w14:textId="77777777" w:rsidTr="00921183">
        <w:tc>
          <w:tcPr>
            <w:tcW w:w="6998" w:type="dxa"/>
          </w:tcPr>
          <w:p w14:paraId="6C5AB216" w14:textId="77777777" w:rsidR="00921183" w:rsidRPr="00105869" w:rsidRDefault="00921183" w:rsidP="00921183">
            <w:pPr>
              <w:rPr>
                <w:lang w:val="en-GB"/>
              </w:rPr>
            </w:pPr>
            <w:r w:rsidRPr="00105869">
              <w:rPr>
                <w:b/>
                <w:bCs/>
                <w:lang w:val="en-GB"/>
              </w:rPr>
              <w:t>Intensity of increased opacity cranial (</w:t>
            </w:r>
            <w:proofErr w:type="spellStart"/>
            <w:r w:rsidRPr="00105869">
              <w:rPr>
                <w:b/>
                <w:bCs/>
                <w:lang w:val="en-GB"/>
              </w:rPr>
              <w:t>InOpCr</w:t>
            </w:r>
            <w:proofErr w:type="spellEnd"/>
            <w:r w:rsidRPr="00105869">
              <w:rPr>
                <w:b/>
                <w:bCs/>
                <w:lang w:val="en-GB"/>
              </w:rPr>
              <w:t>) / caudal margin (</w:t>
            </w:r>
            <w:proofErr w:type="spellStart"/>
            <w:r w:rsidRPr="00105869">
              <w:rPr>
                <w:b/>
                <w:bCs/>
                <w:lang w:val="en-GB"/>
              </w:rPr>
              <w:t>InOpCa</w:t>
            </w:r>
            <w:proofErr w:type="spellEnd"/>
            <w:r w:rsidRPr="00105869">
              <w:rPr>
                <w:b/>
                <w:bCs/>
                <w:lang w:val="en-GB"/>
              </w:rPr>
              <w:t xml:space="preserve">) </w:t>
            </w:r>
          </w:p>
          <w:p w14:paraId="6E6EF01F" w14:textId="77777777" w:rsidR="00921183" w:rsidRPr="00105869" w:rsidRDefault="00921183" w:rsidP="00921183">
            <w:pPr>
              <w:rPr>
                <w:lang w:val="en-GB"/>
              </w:rPr>
            </w:pPr>
            <w:r w:rsidRPr="00105869">
              <w:rPr>
                <w:color w:val="000000" w:themeColor="text1"/>
                <w:kern w:val="24"/>
                <w:lang w:val="en-GB"/>
              </w:rPr>
              <w:t>0 = normal, no increased opacity</w:t>
            </w:r>
          </w:p>
          <w:p w14:paraId="30FED876" w14:textId="77777777" w:rsidR="00921183" w:rsidRPr="00105869" w:rsidRDefault="00921183" w:rsidP="00921183">
            <w:pPr>
              <w:rPr>
                <w:lang w:val="en-GB"/>
              </w:rPr>
            </w:pPr>
            <w:r w:rsidRPr="00105869">
              <w:rPr>
                <w:color w:val="000000" w:themeColor="text1"/>
                <w:kern w:val="24"/>
                <w:lang w:val="en-GB"/>
              </w:rPr>
              <w:t>I = mild increased opacity</w:t>
            </w:r>
          </w:p>
          <w:p w14:paraId="3BC302CE" w14:textId="77777777" w:rsidR="00921183" w:rsidRPr="00105869" w:rsidRDefault="00921183" w:rsidP="00921183">
            <w:pPr>
              <w:rPr>
                <w:lang w:val="en-GB"/>
              </w:rPr>
            </w:pPr>
            <w:r w:rsidRPr="00105869">
              <w:rPr>
                <w:color w:val="000000" w:themeColor="text1"/>
                <w:kern w:val="24"/>
                <w:lang w:val="en-GB"/>
              </w:rPr>
              <w:t>II = moderate increased opacity</w:t>
            </w:r>
          </w:p>
          <w:p w14:paraId="434F6DCE" w14:textId="77777777" w:rsidR="00921183" w:rsidRPr="00105869" w:rsidRDefault="00921183" w:rsidP="00921183">
            <w:pPr>
              <w:rPr>
                <w:color w:val="000000" w:themeColor="text1"/>
                <w:kern w:val="24"/>
                <w:lang w:val="en-GB"/>
              </w:rPr>
            </w:pPr>
            <w:r w:rsidRPr="00105869">
              <w:rPr>
                <w:color w:val="000000" w:themeColor="text1"/>
                <w:kern w:val="24"/>
                <w:lang w:val="en-GB"/>
              </w:rPr>
              <w:t>III = marked increased opacity</w:t>
            </w:r>
          </w:p>
          <w:p w14:paraId="593450ED" w14:textId="77777777" w:rsidR="00921183" w:rsidRPr="00105869" w:rsidRDefault="00921183" w:rsidP="00921183">
            <w:pPr>
              <w:rPr>
                <w:b/>
                <w:bCs/>
                <w:lang w:val="en-GB"/>
              </w:rPr>
            </w:pPr>
            <w:r w:rsidRPr="00105869">
              <w:rPr>
                <w:lang w:val="en-GB"/>
              </w:rPr>
              <w:t>Separately recorded but similarly graded</w:t>
            </w:r>
          </w:p>
        </w:tc>
        <w:tc>
          <w:tcPr>
            <w:tcW w:w="6998" w:type="dxa"/>
          </w:tcPr>
          <w:p w14:paraId="47116CD0" w14:textId="77777777" w:rsidR="00921183" w:rsidRPr="00105869" w:rsidRDefault="00921183" w:rsidP="00921183">
            <w:pPr>
              <w:rPr>
                <w:b/>
                <w:bCs/>
                <w:lang w:val="en-GB"/>
              </w:rPr>
            </w:pPr>
            <w:r w:rsidRPr="00105869">
              <w:rPr>
                <w:b/>
                <w:bCs/>
                <w:lang w:val="en-GB"/>
              </w:rPr>
              <w:t>Width of increased opacity cranial (</w:t>
            </w:r>
            <w:proofErr w:type="spellStart"/>
            <w:r w:rsidRPr="00105869">
              <w:rPr>
                <w:b/>
                <w:bCs/>
                <w:lang w:val="en-GB"/>
              </w:rPr>
              <w:t>WidthOpCr</w:t>
            </w:r>
            <w:proofErr w:type="spellEnd"/>
            <w:r w:rsidRPr="00105869">
              <w:rPr>
                <w:b/>
                <w:bCs/>
                <w:lang w:val="en-GB"/>
              </w:rPr>
              <w:t>) / caudal margin (</w:t>
            </w:r>
            <w:proofErr w:type="spellStart"/>
            <w:r w:rsidRPr="00105869">
              <w:rPr>
                <w:b/>
                <w:bCs/>
                <w:lang w:val="en-GB"/>
              </w:rPr>
              <w:t>WidthOpCa</w:t>
            </w:r>
            <w:proofErr w:type="spellEnd"/>
            <w:r w:rsidRPr="00105869">
              <w:rPr>
                <w:b/>
                <w:bCs/>
                <w:lang w:val="en-GB"/>
              </w:rPr>
              <w:t xml:space="preserve">) </w:t>
            </w:r>
          </w:p>
          <w:p w14:paraId="028843CE" w14:textId="77777777" w:rsidR="00921183" w:rsidRPr="00105869" w:rsidRDefault="00921183" w:rsidP="00921183">
            <w:pPr>
              <w:rPr>
                <w:lang w:val="en-GB"/>
              </w:rPr>
            </w:pPr>
            <w:r w:rsidRPr="00105869">
              <w:rPr>
                <w:color w:val="000000" w:themeColor="text1"/>
                <w:kern w:val="24"/>
                <w:lang w:val="en-GB"/>
              </w:rPr>
              <w:t>0 = 0 mm</w:t>
            </w:r>
          </w:p>
          <w:p w14:paraId="409DD9F4" w14:textId="77777777" w:rsidR="00921183" w:rsidRPr="00105869" w:rsidRDefault="00921183" w:rsidP="00921183">
            <w:pPr>
              <w:rPr>
                <w:lang w:val="en-GB"/>
              </w:rPr>
            </w:pPr>
            <w:r w:rsidRPr="00105869">
              <w:rPr>
                <w:color w:val="000000" w:themeColor="text1"/>
                <w:kern w:val="24"/>
                <w:lang w:val="en-GB"/>
              </w:rPr>
              <w:t>I = less than 2 mm</w:t>
            </w:r>
          </w:p>
          <w:p w14:paraId="02BF2E41" w14:textId="77777777" w:rsidR="00921183" w:rsidRPr="00105869" w:rsidRDefault="00921183" w:rsidP="00921183">
            <w:pPr>
              <w:rPr>
                <w:lang w:val="en-GB"/>
              </w:rPr>
            </w:pPr>
            <w:r w:rsidRPr="00105869">
              <w:rPr>
                <w:color w:val="000000" w:themeColor="text1"/>
                <w:kern w:val="24"/>
                <w:lang w:val="en-GB"/>
              </w:rPr>
              <w:t>II = in between 2-4 mm</w:t>
            </w:r>
          </w:p>
          <w:p w14:paraId="7B5E181A" w14:textId="77777777" w:rsidR="00921183" w:rsidRPr="00105869" w:rsidRDefault="00921183" w:rsidP="00921183">
            <w:pPr>
              <w:rPr>
                <w:color w:val="000000" w:themeColor="text1"/>
                <w:kern w:val="24"/>
                <w:lang w:val="en-GB"/>
              </w:rPr>
            </w:pPr>
            <w:r w:rsidRPr="00105869">
              <w:rPr>
                <w:color w:val="000000" w:themeColor="text1"/>
                <w:kern w:val="24"/>
                <w:lang w:val="en-GB"/>
              </w:rPr>
              <w:t>III = more than 4 mm</w:t>
            </w:r>
          </w:p>
          <w:p w14:paraId="63CF88E5" w14:textId="77777777" w:rsidR="00921183" w:rsidRPr="00105869" w:rsidRDefault="00921183" w:rsidP="00921183">
            <w:pPr>
              <w:rPr>
                <w:b/>
                <w:bCs/>
                <w:lang w:val="en-GB"/>
              </w:rPr>
            </w:pPr>
            <w:r w:rsidRPr="00105869">
              <w:rPr>
                <w:lang w:val="en-GB"/>
              </w:rPr>
              <w:t>Separately recorded but similarly graded</w:t>
            </w:r>
          </w:p>
        </w:tc>
      </w:tr>
      <w:tr w:rsidR="00921183" w:rsidRPr="00105869" w14:paraId="2DB3C2AB" w14:textId="77777777" w:rsidTr="00921183">
        <w:tc>
          <w:tcPr>
            <w:tcW w:w="6998" w:type="dxa"/>
          </w:tcPr>
          <w:p w14:paraId="0959A6AB" w14:textId="77777777" w:rsidR="00921183" w:rsidRPr="00105869" w:rsidRDefault="00921183" w:rsidP="00921183">
            <w:pPr>
              <w:rPr>
                <w:lang w:val="en-GB"/>
              </w:rPr>
            </w:pPr>
            <w:r w:rsidRPr="00105869">
              <w:rPr>
                <w:b/>
                <w:bCs/>
                <w:lang w:val="en-GB"/>
              </w:rPr>
              <w:t>Radiolucency cranially (</w:t>
            </w:r>
            <w:proofErr w:type="spellStart"/>
            <w:r w:rsidRPr="00105869">
              <w:rPr>
                <w:b/>
                <w:bCs/>
                <w:lang w:val="en-GB"/>
              </w:rPr>
              <w:t>LucencyCr</w:t>
            </w:r>
            <w:proofErr w:type="spellEnd"/>
            <w:r w:rsidRPr="00105869">
              <w:rPr>
                <w:b/>
                <w:bCs/>
                <w:lang w:val="en-GB"/>
              </w:rPr>
              <w:t xml:space="preserve"> or </w:t>
            </w:r>
            <w:proofErr w:type="spellStart"/>
            <w:r w:rsidRPr="00105869">
              <w:rPr>
                <w:b/>
                <w:bCs/>
                <w:lang w:val="en-GB"/>
              </w:rPr>
              <w:t>OCCLCr</w:t>
            </w:r>
            <w:proofErr w:type="spellEnd"/>
            <w:r w:rsidRPr="00105869">
              <w:rPr>
                <w:b/>
                <w:bCs/>
                <w:lang w:val="en-GB"/>
              </w:rPr>
              <w:t>) / caudally (</w:t>
            </w:r>
            <w:proofErr w:type="spellStart"/>
            <w:r w:rsidRPr="00105869">
              <w:rPr>
                <w:b/>
                <w:bCs/>
                <w:lang w:val="en-GB"/>
              </w:rPr>
              <w:t>LucencyCa</w:t>
            </w:r>
            <w:proofErr w:type="spellEnd"/>
            <w:r w:rsidRPr="00105869">
              <w:rPr>
                <w:b/>
                <w:bCs/>
                <w:lang w:val="en-GB"/>
              </w:rPr>
              <w:t xml:space="preserve"> or </w:t>
            </w:r>
            <w:proofErr w:type="spellStart"/>
            <w:r w:rsidRPr="00105869">
              <w:rPr>
                <w:b/>
                <w:bCs/>
                <w:lang w:val="en-GB"/>
              </w:rPr>
              <w:t>OCCLCa</w:t>
            </w:r>
            <w:proofErr w:type="spellEnd"/>
            <w:r w:rsidRPr="00105869">
              <w:rPr>
                <w:b/>
                <w:bCs/>
                <w:lang w:val="en-GB"/>
              </w:rPr>
              <w:t>)</w:t>
            </w:r>
            <w:r w:rsidRPr="00105869">
              <w:rPr>
                <w:lang w:val="en-GB"/>
              </w:rPr>
              <w:t xml:space="preserve"> </w:t>
            </w:r>
          </w:p>
          <w:p w14:paraId="4F5B9E00" w14:textId="77777777" w:rsidR="00921183" w:rsidRPr="00105869" w:rsidRDefault="00921183" w:rsidP="00921183">
            <w:pPr>
              <w:rPr>
                <w:lang w:val="en-GB"/>
              </w:rPr>
            </w:pPr>
            <w:r w:rsidRPr="00105869">
              <w:rPr>
                <w:lang w:val="en-GB"/>
              </w:rPr>
              <w:t xml:space="preserve">0 = no </w:t>
            </w:r>
            <w:proofErr w:type="spellStart"/>
            <w:r w:rsidRPr="00105869">
              <w:rPr>
                <w:lang w:val="en-GB"/>
              </w:rPr>
              <w:t>radiolucencies</w:t>
            </w:r>
            <w:proofErr w:type="spellEnd"/>
          </w:p>
          <w:p w14:paraId="08C94277" w14:textId="77777777" w:rsidR="00921183" w:rsidRPr="00105869" w:rsidRDefault="00921183" w:rsidP="00921183">
            <w:pPr>
              <w:rPr>
                <w:lang w:val="en-GB"/>
              </w:rPr>
            </w:pPr>
            <w:r w:rsidRPr="00105869">
              <w:rPr>
                <w:lang w:val="en-GB"/>
              </w:rPr>
              <w:t>I = radiolucency &lt; 5 mm in diameter</w:t>
            </w:r>
          </w:p>
          <w:p w14:paraId="2C078841" w14:textId="77777777" w:rsidR="00921183" w:rsidRPr="00105869" w:rsidRDefault="00921183" w:rsidP="00921183">
            <w:pPr>
              <w:rPr>
                <w:lang w:val="en-GB"/>
              </w:rPr>
            </w:pPr>
            <w:r w:rsidRPr="00105869">
              <w:rPr>
                <w:lang w:val="en-GB"/>
              </w:rPr>
              <w:t xml:space="preserve">II = radiolucency 5-10 mm in diameter </w:t>
            </w:r>
          </w:p>
          <w:p w14:paraId="3802E1DB" w14:textId="77777777" w:rsidR="00921183" w:rsidRPr="00105869" w:rsidRDefault="00921183" w:rsidP="00921183">
            <w:pPr>
              <w:rPr>
                <w:lang w:val="en-GB"/>
              </w:rPr>
            </w:pPr>
            <w:r w:rsidRPr="00105869">
              <w:rPr>
                <w:lang w:val="en-GB"/>
              </w:rPr>
              <w:t xml:space="preserve">III = radiolucency &gt; 10 mm in diameter </w:t>
            </w:r>
          </w:p>
          <w:p w14:paraId="619F69E5" w14:textId="77777777" w:rsidR="00921183" w:rsidRPr="00105869" w:rsidRDefault="00921183" w:rsidP="00921183">
            <w:pPr>
              <w:rPr>
                <w:lang w:val="en-GB"/>
              </w:rPr>
            </w:pPr>
            <w:r w:rsidRPr="00105869">
              <w:rPr>
                <w:lang w:val="en-GB"/>
              </w:rPr>
              <w:t xml:space="preserve">The largest abnormality is recorded. Separately recorded and graded. OCCL are </w:t>
            </w:r>
            <w:proofErr w:type="spellStart"/>
            <w:r w:rsidRPr="00105869">
              <w:rPr>
                <w:lang w:val="en-GB"/>
              </w:rPr>
              <w:t>radiolucencies</w:t>
            </w:r>
            <w:proofErr w:type="spellEnd"/>
            <w:r w:rsidRPr="00105869">
              <w:rPr>
                <w:lang w:val="en-GB"/>
              </w:rPr>
              <w:t xml:space="preserve"> with presence of a circumferential rim of radiopacity.</w:t>
            </w:r>
          </w:p>
        </w:tc>
        <w:tc>
          <w:tcPr>
            <w:tcW w:w="6998" w:type="dxa"/>
          </w:tcPr>
          <w:p w14:paraId="3BAE6024" w14:textId="77777777" w:rsidR="00921183" w:rsidRPr="00105869" w:rsidRDefault="00921183" w:rsidP="00921183">
            <w:pPr>
              <w:rPr>
                <w:b/>
                <w:bCs/>
                <w:lang w:val="en-GB"/>
              </w:rPr>
            </w:pPr>
            <w:r w:rsidRPr="00105869">
              <w:rPr>
                <w:b/>
                <w:bCs/>
                <w:lang w:val="en-GB"/>
              </w:rPr>
              <w:t>Modelling craniodorsal third (</w:t>
            </w:r>
            <w:proofErr w:type="spellStart"/>
            <w:r w:rsidRPr="00105869">
              <w:rPr>
                <w:b/>
                <w:bCs/>
                <w:lang w:val="en-GB"/>
              </w:rPr>
              <w:t>CrDMod</w:t>
            </w:r>
            <w:proofErr w:type="spellEnd"/>
            <w:r w:rsidRPr="00105869">
              <w:rPr>
                <w:b/>
                <w:bCs/>
                <w:lang w:val="en-GB"/>
              </w:rPr>
              <w:t>) / cranioventral two thirds (</w:t>
            </w:r>
            <w:proofErr w:type="spellStart"/>
            <w:r w:rsidRPr="00105869">
              <w:rPr>
                <w:b/>
                <w:bCs/>
                <w:lang w:val="en-GB"/>
              </w:rPr>
              <w:t>CrVMod</w:t>
            </w:r>
            <w:proofErr w:type="spellEnd"/>
            <w:r w:rsidRPr="00105869">
              <w:rPr>
                <w:b/>
                <w:bCs/>
                <w:lang w:val="en-GB"/>
              </w:rPr>
              <w:t xml:space="preserve">) / </w:t>
            </w:r>
            <w:proofErr w:type="spellStart"/>
            <w:r w:rsidRPr="00105869">
              <w:rPr>
                <w:b/>
                <w:bCs/>
                <w:lang w:val="en-GB"/>
              </w:rPr>
              <w:t>caudodorsal</w:t>
            </w:r>
            <w:proofErr w:type="spellEnd"/>
            <w:r w:rsidRPr="00105869">
              <w:rPr>
                <w:b/>
                <w:bCs/>
                <w:lang w:val="en-GB"/>
              </w:rPr>
              <w:t xml:space="preserve"> third (</w:t>
            </w:r>
            <w:proofErr w:type="spellStart"/>
            <w:r w:rsidRPr="00105869">
              <w:rPr>
                <w:b/>
                <w:bCs/>
                <w:lang w:val="en-GB"/>
              </w:rPr>
              <w:t>CaDMod</w:t>
            </w:r>
            <w:proofErr w:type="spellEnd"/>
            <w:r w:rsidRPr="00105869">
              <w:rPr>
                <w:b/>
                <w:bCs/>
                <w:lang w:val="en-GB"/>
              </w:rPr>
              <w:t>) / caudoventral two thirds (</w:t>
            </w:r>
            <w:proofErr w:type="spellStart"/>
            <w:r w:rsidRPr="00105869">
              <w:rPr>
                <w:b/>
                <w:bCs/>
                <w:lang w:val="en-GB"/>
              </w:rPr>
              <w:t>CaVMod</w:t>
            </w:r>
            <w:proofErr w:type="spellEnd"/>
            <w:r w:rsidRPr="00105869">
              <w:rPr>
                <w:b/>
                <w:bCs/>
                <w:lang w:val="en-GB"/>
              </w:rPr>
              <w:t xml:space="preserve">) </w:t>
            </w:r>
          </w:p>
          <w:p w14:paraId="2BAB18C6" w14:textId="77777777" w:rsidR="00921183" w:rsidRPr="00105869" w:rsidRDefault="00921183" w:rsidP="00921183">
            <w:pPr>
              <w:rPr>
                <w:lang w:val="en-GB"/>
              </w:rPr>
            </w:pPr>
            <w:r w:rsidRPr="00105869">
              <w:rPr>
                <w:lang w:val="en-GB"/>
              </w:rPr>
              <w:t>0 = normal</w:t>
            </w:r>
          </w:p>
          <w:p w14:paraId="5DE239A5" w14:textId="77777777" w:rsidR="00921183" w:rsidRPr="00105869" w:rsidRDefault="00921183" w:rsidP="00921183">
            <w:pPr>
              <w:rPr>
                <w:lang w:val="en-GB"/>
              </w:rPr>
            </w:pPr>
            <w:r w:rsidRPr="00105869">
              <w:rPr>
                <w:lang w:val="en-GB"/>
              </w:rPr>
              <w:t>I = mild regular modelling</w:t>
            </w:r>
          </w:p>
          <w:p w14:paraId="4ACA675A" w14:textId="77777777" w:rsidR="00921183" w:rsidRPr="00105869" w:rsidRDefault="00921183" w:rsidP="00921183">
            <w:pPr>
              <w:rPr>
                <w:lang w:val="en-GB"/>
              </w:rPr>
            </w:pPr>
            <w:r w:rsidRPr="00105869">
              <w:rPr>
                <w:lang w:val="en-GB"/>
              </w:rPr>
              <w:t>II = moderate regular or mild irregular modelling</w:t>
            </w:r>
          </w:p>
          <w:p w14:paraId="51EBBD90" w14:textId="77777777" w:rsidR="00921183" w:rsidRPr="00105869" w:rsidRDefault="00921183" w:rsidP="00921183">
            <w:pPr>
              <w:rPr>
                <w:lang w:val="en-GB"/>
              </w:rPr>
            </w:pPr>
            <w:r w:rsidRPr="00105869">
              <w:rPr>
                <w:lang w:val="en-GB"/>
              </w:rPr>
              <w:t>III = marked regular (misshapen) or moderate irregular modelling</w:t>
            </w:r>
          </w:p>
          <w:p w14:paraId="5BD41D4B" w14:textId="77777777" w:rsidR="00921183" w:rsidRPr="00105869" w:rsidRDefault="00921183" w:rsidP="00921183">
            <w:pPr>
              <w:rPr>
                <w:lang w:val="en-GB"/>
              </w:rPr>
            </w:pPr>
            <w:r w:rsidRPr="00105869">
              <w:rPr>
                <w:lang w:val="en-GB"/>
              </w:rPr>
              <w:t>IV = marked irregular modelling (misshapen)</w:t>
            </w:r>
          </w:p>
          <w:p w14:paraId="7374BA3B" w14:textId="77777777" w:rsidR="00921183" w:rsidRPr="00105869" w:rsidRDefault="00921183" w:rsidP="00921183">
            <w:pPr>
              <w:rPr>
                <w:lang w:val="en-GB"/>
              </w:rPr>
            </w:pPr>
            <w:r w:rsidRPr="00105869">
              <w:rPr>
                <w:lang w:val="en-GB"/>
              </w:rPr>
              <w:t>V = fused spinous processes or congenital deformities/bony bridges</w:t>
            </w:r>
          </w:p>
          <w:p w14:paraId="60197087" w14:textId="77777777" w:rsidR="00921183" w:rsidRPr="00105869" w:rsidRDefault="00921183" w:rsidP="00921183">
            <w:pPr>
              <w:rPr>
                <w:b/>
                <w:bCs/>
                <w:lang w:val="en-GB"/>
              </w:rPr>
            </w:pPr>
            <w:r w:rsidRPr="00105869">
              <w:rPr>
                <w:lang w:val="en-GB"/>
              </w:rPr>
              <w:t>Separately recorded but similarly graded</w:t>
            </w:r>
          </w:p>
          <w:p w14:paraId="4AFED810" w14:textId="77777777" w:rsidR="00921183" w:rsidRPr="00105869" w:rsidRDefault="00921183" w:rsidP="00921183">
            <w:pPr>
              <w:rPr>
                <w:b/>
                <w:bCs/>
                <w:lang w:val="en-GB"/>
              </w:rPr>
            </w:pPr>
          </w:p>
        </w:tc>
      </w:tr>
    </w:tbl>
    <w:p w14:paraId="643FE054" w14:textId="77777777" w:rsidR="00921183" w:rsidRPr="00105869" w:rsidRDefault="00921183" w:rsidP="00921183">
      <w:pPr>
        <w:spacing w:line="480" w:lineRule="auto"/>
        <w:rPr>
          <w:b/>
          <w:bCs/>
          <w:lang w:val="en-GB"/>
        </w:rPr>
      </w:pPr>
    </w:p>
    <w:p w14:paraId="16D60625" w14:textId="77777777" w:rsidR="009A137E" w:rsidRPr="00015974" w:rsidRDefault="00EB515C">
      <w:pPr>
        <w:pStyle w:val="NoSpacing"/>
        <w:spacing w:line="480" w:lineRule="auto"/>
        <w:rPr>
          <w:b/>
          <w:bCs/>
          <w:lang w:val="en-GB"/>
        </w:rPr>
      </w:pPr>
      <w:r w:rsidRPr="00015974">
        <w:rPr>
          <w:b/>
          <w:bCs/>
          <w:lang w:val="en-GB"/>
        </w:rPr>
        <w:t>Data analysis</w:t>
      </w:r>
    </w:p>
    <w:p w14:paraId="5AD7AC17" w14:textId="5488F362" w:rsidR="00416158" w:rsidRPr="002D62C1" w:rsidRDefault="001E350C">
      <w:pPr>
        <w:pStyle w:val="NoSpacing"/>
        <w:spacing w:line="480" w:lineRule="auto"/>
        <w:rPr>
          <w:rFonts w:ascii="Times Roman" w:hAnsi="Times Roman" w:cs="Times Roman"/>
          <w:color w:val="000000"/>
          <w:lang w:val="en-GB"/>
        </w:rPr>
      </w:pPr>
      <w:r w:rsidRPr="00105869">
        <w:rPr>
          <w:lang w:val="en-GB"/>
        </w:rPr>
        <w:lastRenderedPageBreak/>
        <w:t xml:space="preserve">Data were recorded in a spreadsheet (Microsoft </w:t>
      </w:r>
      <w:r w:rsidR="00B76D4D" w:rsidRPr="00105869">
        <w:rPr>
          <w:lang w:val="en-GB"/>
        </w:rPr>
        <w:t>Excel</w:t>
      </w:r>
      <w:r w:rsidRPr="00105869">
        <w:rPr>
          <w:lang w:val="en-GB"/>
        </w:rPr>
        <w:t xml:space="preserve"> Version 1640) and </w:t>
      </w:r>
      <w:r w:rsidR="00433548" w:rsidRPr="00105869">
        <w:rPr>
          <w:lang w:val="en-GB"/>
        </w:rPr>
        <w:t xml:space="preserve">statistical analyses were performed using a statistical </w:t>
      </w:r>
      <w:r w:rsidRPr="00105869">
        <w:rPr>
          <w:lang w:val="en-GB"/>
        </w:rPr>
        <w:t>program</w:t>
      </w:r>
      <w:r w:rsidR="00433548" w:rsidRPr="00105869">
        <w:rPr>
          <w:lang w:val="en-GB"/>
        </w:rPr>
        <w:t xml:space="preserve"> (SPSS Statistics version .26, IBM). </w:t>
      </w:r>
      <w:r w:rsidR="00472825" w:rsidRPr="00105869">
        <w:rPr>
          <w:lang w:val="en-GB"/>
        </w:rPr>
        <w:t>I</w:t>
      </w:r>
      <w:r w:rsidR="00265679" w:rsidRPr="00105869">
        <w:rPr>
          <w:lang w:val="en-GB"/>
        </w:rPr>
        <w:t>nter- and intra-</w:t>
      </w:r>
      <w:r w:rsidR="00941A4A" w:rsidRPr="00105869">
        <w:rPr>
          <w:lang w:val="en-GB"/>
        </w:rPr>
        <w:t>observer</w:t>
      </w:r>
      <w:r w:rsidR="00265679" w:rsidRPr="00105869">
        <w:rPr>
          <w:lang w:val="en-GB"/>
        </w:rPr>
        <w:t xml:space="preserve"> agreement </w:t>
      </w:r>
      <w:r w:rsidR="003C61C2" w:rsidRPr="00105869">
        <w:rPr>
          <w:lang w:val="en-GB"/>
        </w:rPr>
        <w:t xml:space="preserve">between two </w:t>
      </w:r>
      <w:r w:rsidR="00A8354F" w:rsidRPr="00105869">
        <w:rPr>
          <w:lang w:val="en-GB"/>
        </w:rPr>
        <w:t xml:space="preserve">experienced </w:t>
      </w:r>
      <w:r w:rsidR="003C61C2" w:rsidRPr="00105869">
        <w:rPr>
          <w:lang w:val="en-GB"/>
        </w:rPr>
        <w:t xml:space="preserve">observers </w:t>
      </w:r>
      <w:r w:rsidR="00F93877">
        <w:rPr>
          <w:lang w:val="en-GB"/>
        </w:rPr>
        <w:t xml:space="preserve">(M.L., D.B.) </w:t>
      </w:r>
      <w:r w:rsidR="00265679" w:rsidRPr="00105869">
        <w:rPr>
          <w:lang w:val="en-GB"/>
        </w:rPr>
        <w:t xml:space="preserve">was evaluated using </w:t>
      </w:r>
      <w:r w:rsidR="008C2C65">
        <w:rPr>
          <w:lang w:val="en-GB"/>
        </w:rPr>
        <w:t>K</w:t>
      </w:r>
      <w:r w:rsidR="00941A4A" w:rsidRPr="00105869">
        <w:rPr>
          <w:lang w:val="en-GB"/>
        </w:rPr>
        <w:t xml:space="preserve">appa </w:t>
      </w:r>
      <w:r w:rsidR="00557FFD" w:rsidRPr="00105869">
        <w:rPr>
          <w:lang w:val="en-GB"/>
        </w:rPr>
        <w:t xml:space="preserve">weighted </w:t>
      </w:r>
      <w:r w:rsidR="003843F2" w:rsidRPr="00105869">
        <w:rPr>
          <w:lang w:val="en-GB"/>
        </w:rPr>
        <w:t>(</w:t>
      </w:r>
      <w:proofErr w:type="spellStart"/>
      <w:r w:rsidR="003843F2" w:rsidRPr="00105869">
        <w:rPr>
          <w:lang w:val="en-GB"/>
        </w:rPr>
        <w:t>K</w:t>
      </w:r>
      <w:r w:rsidR="003843F2" w:rsidRPr="00105869">
        <w:rPr>
          <w:vertAlign w:val="subscript"/>
          <w:lang w:val="en-GB"/>
        </w:rPr>
        <w:t>intra</w:t>
      </w:r>
      <w:proofErr w:type="spellEnd"/>
      <w:r w:rsidR="003843F2" w:rsidRPr="00105869">
        <w:rPr>
          <w:lang w:val="en-GB"/>
        </w:rPr>
        <w:t xml:space="preserve">, </w:t>
      </w:r>
      <w:proofErr w:type="spellStart"/>
      <w:r w:rsidR="003843F2" w:rsidRPr="00105869">
        <w:rPr>
          <w:lang w:val="en-GB"/>
        </w:rPr>
        <w:t>K</w:t>
      </w:r>
      <w:r w:rsidR="003843F2" w:rsidRPr="00105869">
        <w:rPr>
          <w:vertAlign w:val="subscript"/>
          <w:lang w:val="en-GB"/>
        </w:rPr>
        <w:t>inter</w:t>
      </w:r>
      <w:proofErr w:type="spellEnd"/>
      <w:r w:rsidR="003843F2" w:rsidRPr="00105869">
        <w:rPr>
          <w:lang w:val="en-GB"/>
        </w:rPr>
        <w:t xml:space="preserve">) </w:t>
      </w:r>
      <w:r w:rsidR="00557FFD" w:rsidRPr="00105869">
        <w:rPr>
          <w:lang w:val="en-GB"/>
        </w:rPr>
        <w:t>calculation</w:t>
      </w:r>
      <w:r w:rsidR="003C61C2" w:rsidRPr="00105869">
        <w:rPr>
          <w:lang w:val="en-GB"/>
        </w:rPr>
        <w:t>s</w:t>
      </w:r>
      <w:r w:rsidR="007F1427" w:rsidRPr="00105869">
        <w:rPr>
          <w:lang w:val="en-GB"/>
        </w:rPr>
        <w:t xml:space="preserve">. </w:t>
      </w:r>
      <w:r w:rsidR="004F6FDD" w:rsidRPr="00105869">
        <w:rPr>
          <w:rFonts w:ascii="Times Roman" w:hAnsi="Times Roman" w:cs="Times Roman"/>
          <w:color w:val="000000"/>
          <w:lang w:val="en-GB"/>
        </w:rPr>
        <w:t xml:space="preserve">Results </w:t>
      </w:r>
      <w:r w:rsidR="00970B52" w:rsidRPr="00105869">
        <w:rPr>
          <w:rFonts w:ascii="Times Roman" w:hAnsi="Times Roman" w:cs="Times Roman"/>
          <w:color w:val="000000"/>
          <w:lang w:val="en-GB"/>
        </w:rPr>
        <w:t xml:space="preserve">of the </w:t>
      </w:r>
      <w:r w:rsidR="00A8354F" w:rsidRPr="00105869">
        <w:rPr>
          <w:rFonts w:ascii="Times Roman" w:hAnsi="Times Roman" w:cs="Times Roman"/>
          <w:color w:val="000000"/>
          <w:lang w:val="en-GB"/>
        </w:rPr>
        <w:t xml:space="preserve">predetermined </w:t>
      </w:r>
      <w:r w:rsidR="00970B52" w:rsidRPr="00105869">
        <w:rPr>
          <w:rFonts w:ascii="Times Roman" w:hAnsi="Times Roman" w:cs="Times Roman"/>
          <w:color w:val="000000"/>
          <w:lang w:val="en-GB"/>
        </w:rPr>
        <w:t xml:space="preserve">multiple grade </w:t>
      </w:r>
      <w:r w:rsidR="004F6FDD" w:rsidRPr="00105869">
        <w:rPr>
          <w:rFonts w:ascii="Times Roman" w:hAnsi="Times Roman" w:cs="Times Roman"/>
          <w:color w:val="000000"/>
          <w:lang w:val="en-GB"/>
        </w:rPr>
        <w:t xml:space="preserve">scoring </w:t>
      </w:r>
      <w:r w:rsidR="00F91705" w:rsidRPr="00105869">
        <w:rPr>
          <w:rFonts w:ascii="Times Roman" w:hAnsi="Times Roman" w:cs="Times Roman"/>
          <w:color w:val="000000"/>
          <w:lang w:val="en-GB"/>
        </w:rPr>
        <w:t>system</w:t>
      </w:r>
      <w:r w:rsidR="00970B52" w:rsidRPr="00105869">
        <w:rPr>
          <w:rFonts w:ascii="Times Roman" w:hAnsi="Times Roman" w:cs="Times Roman"/>
          <w:color w:val="000000"/>
          <w:lang w:val="en-GB"/>
        </w:rPr>
        <w:t xml:space="preserve"> </w:t>
      </w:r>
      <w:r w:rsidR="00A8354F" w:rsidRPr="00105869">
        <w:rPr>
          <w:rFonts w:ascii="Times Roman" w:hAnsi="Times Roman" w:cs="Times Roman"/>
          <w:color w:val="000000"/>
          <w:lang w:val="en-GB"/>
        </w:rPr>
        <w:t xml:space="preserve">(Table 1) </w:t>
      </w:r>
      <w:r w:rsidR="00970B52" w:rsidRPr="00105869">
        <w:rPr>
          <w:rFonts w:ascii="Times Roman" w:hAnsi="Times Roman" w:cs="Times Roman"/>
          <w:color w:val="000000"/>
          <w:lang w:val="en-GB"/>
        </w:rPr>
        <w:t xml:space="preserve">were compared. </w:t>
      </w:r>
      <w:r w:rsidR="00A80096">
        <w:rPr>
          <w:rFonts w:ascii="Times Roman" w:hAnsi="Times Roman" w:cs="Times Roman"/>
          <w:color w:val="000000"/>
          <w:lang w:val="en-GB"/>
        </w:rPr>
        <w:t>In addition, t</w:t>
      </w:r>
      <w:r w:rsidR="006A3D18" w:rsidRPr="00105869">
        <w:rPr>
          <w:rFonts w:ascii="Times Roman" w:hAnsi="Times Roman" w:cs="Times Roman"/>
          <w:color w:val="000000"/>
          <w:lang w:val="en-GB"/>
        </w:rPr>
        <w:t xml:space="preserve">wo </w:t>
      </w:r>
      <w:r w:rsidR="006A3D18">
        <w:rPr>
          <w:rFonts w:ascii="Times Roman" w:hAnsi="Times Roman" w:cs="Times Roman"/>
          <w:color w:val="000000"/>
          <w:lang w:val="en-GB"/>
        </w:rPr>
        <w:t xml:space="preserve">different </w:t>
      </w:r>
      <w:r w:rsidR="006A3D18" w:rsidRPr="00105869">
        <w:rPr>
          <w:rFonts w:ascii="Times Roman" w:hAnsi="Times Roman" w:cs="Times Roman"/>
          <w:color w:val="000000"/>
          <w:lang w:val="en-GB"/>
        </w:rPr>
        <w:t>grad</w:t>
      </w:r>
      <w:r w:rsidR="008C2C65">
        <w:rPr>
          <w:rFonts w:ascii="Times Roman" w:hAnsi="Times Roman" w:cs="Times Roman"/>
          <w:color w:val="000000"/>
          <w:lang w:val="en-GB"/>
        </w:rPr>
        <w:t>ing</w:t>
      </w:r>
      <w:r w:rsidR="006A3D18" w:rsidRPr="00105869">
        <w:rPr>
          <w:rFonts w:ascii="Times Roman" w:hAnsi="Times Roman" w:cs="Times Roman"/>
          <w:color w:val="000000"/>
          <w:lang w:val="en-GB"/>
        </w:rPr>
        <w:t xml:space="preserve"> systems</w:t>
      </w:r>
      <w:r w:rsidR="006A3D18">
        <w:rPr>
          <w:rFonts w:ascii="Times Roman" w:hAnsi="Times Roman" w:cs="Times Roman"/>
          <w:color w:val="000000"/>
          <w:lang w:val="en-GB"/>
        </w:rPr>
        <w:t>,</w:t>
      </w:r>
      <w:r w:rsidR="006A3D18" w:rsidRPr="00105869">
        <w:rPr>
          <w:rFonts w:ascii="Times Roman" w:hAnsi="Times Roman" w:cs="Times Roman"/>
          <w:color w:val="000000"/>
          <w:lang w:val="en-GB"/>
        </w:rPr>
        <w:t xml:space="preserve"> </w:t>
      </w:r>
      <w:r w:rsidR="006A3D18">
        <w:rPr>
          <w:rFonts w:ascii="Times Roman" w:hAnsi="Times Roman" w:cs="Times Roman"/>
          <w:color w:val="000000"/>
          <w:lang w:val="en-GB"/>
        </w:rPr>
        <w:t xml:space="preserve">extrapolated from the aforementioned grading system were also used to search for agreement. </w:t>
      </w:r>
      <w:bookmarkStart w:id="6" w:name="OLE_LINK1"/>
      <w:bookmarkStart w:id="7" w:name="OLE_LINK2"/>
      <w:r w:rsidR="00970B52" w:rsidRPr="00105869">
        <w:rPr>
          <w:rFonts w:ascii="Times Roman" w:hAnsi="Times Roman" w:cs="Times Roman"/>
          <w:color w:val="000000"/>
          <w:lang w:val="en-GB"/>
        </w:rPr>
        <w:t xml:space="preserve">The </w:t>
      </w:r>
      <w:r w:rsidR="00A80096">
        <w:rPr>
          <w:rFonts w:ascii="Times Roman" w:hAnsi="Times Roman" w:cs="Times Roman"/>
          <w:color w:val="000000"/>
          <w:lang w:val="en-GB"/>
        </w:rPr>
        <w:t>first</w:t>
      </w:r>
      <w:r w:rsidR="00A80096" w:rsidRPr="00105869">
        <w:rPr>
          <w:rFonts w:ascii="Times Roman" w:hAnsi="Times Roman" w:cs="Times Roman"/>
          <w:color w:val="000000"/>
          <w:lang w:val="en-GB"/>
        </w:rPr>
        <w:t xml:space="preserve"> </w:t>
      </w:r>
      <w:r w:rsidR="00970B52" w:rsidRPr="00105869">
        <w:rPr>
          <w:rFonts w:ascii="Times Roman" w:hAnsi="Times Roman" w:cs="Times Roman"/>
          <w:color w:val="000000"/>
          <w:lang w:val="en-GB"/>
        </w:rPr>
        <w:t xml:space="preserve">included either </w:t>
      </w:r>
      <w:r w:rsidR="004F6FDD" w:rsidRPr="00105869">
        <w:rPr>
          <w:rFonts w:ascii="Times Roman" w:hAnsi="Times Roman" w:cs="Times Roman"/>
          <w:color w:val="000000"/>
          <w:lang w:val="en-GB"/>
        </w:rPr>
        <w:t>presen</w:t>
      </w:r>
      <w:r w:rsidR="003C61C2" w:rsidRPr="00105869">
        <w:rPr>
          <w:rFonts w:ascii="Times Roman" w:hAnsi="Times Roman" w:cs="Times Roman"/>
          <w:color w:val="000000"/>
          <w:lang w:val="en-GB"/>
        </w:rPr>
        <w:t>ce</w:t>
      </w:r>
      <w:r w:rsidR="004F6FDD" w:rsidRPr="00105869">
        <w:rPr>
          <w:rFonts w:ascii="Times Roman" w:hAnsi="Times Roman" w:cs="Times Roman"/>
          <w:color w:val="000000"/>
          <w:lang w:val="en-GB"/>
        </w:rPr>
        <w:t xml:space="preserve"> </w:t>
      </w:r>
      <w:r w:rsidR="006A3D18">
        <w:rPr>
          <w:rFonts w:ascii="Times Roman" w:hAnsi="Times Roman" w:cs="Times Roman"/>
          <w:color w:val="000000"/>
          <w:lang w:val="en-GB"/>
        </w:rPr>
        <w:t>or</w:t>
      </w:r>
      <w:r w:rsidR="006A3D18" w:rsidRPr="00105869">
        <w:rPr>
          <w:rFonts w:ascii="Times Roman" w:hAnsi="Times Roman" w:cs="Times Roman"/>
          <w:color w:val="000000"/>
          <w:lang w:val="en-GB"/>
        </w:rPr>
        <w:t xml:space="preserve"> </w:t>
      </w:r>
      <w:r w:rsidR="004F6FDD" w:rsidRPr="00105869">
        <w:rPr>
          <w:rFonts w:ascii="Times Roman" w:hAnsi="Times Roman" w:cs="Times Roman"/>
          <w:color w:val="000000"/>
          <w:lang w:val="en-GB"/>
        </w:rPr>
        <w:t>absen</w:t>
      </w:r>
      <w:r w:rsidR="00202B7E" w:rsidRPr="00105869">
        <w:rPr>
          <w:rFonts w:ascii="Times Roman" w:hAnsi="Times Roman" w:cs="Times Roman"/>
          <w:color w:val="000000"/>
          <w:lang w:val="en-GB"/>
        </w:rPr>
        <w:t>ce</w:t>
      </w:r>
      <w:r w:rsidR="003C61C2" w:rsidRPr="00105869">
        <w:rPr>
          <w:rFonts w:ascii="Times Roman" w:hAnsi="Times Roman" w:cs="Times Roman"/>
          <w:color w:val="000000"/>
          <w:lang w:val="en-GB"/>
        </w:rPr>
        <w:t xml:space="preserve"> of</w:t>
      </w:r>
      <w:r w:rsidR="004F6FDD" w:rsidRPr="00105869">
        <w:rPr>
          <w:rFonts w:ascii="Times Roman" w:hAnsi="Times Roman" w:cs="Times Roman"/>
          <w:color w:val="000000"/>
          <w:lang w:val="en-GB"/>
        </w:rPr>
        <w:t xml:space="preserve"> </w:t>
      </w:r>
      <w:r w:rsidR="00C30449">
        <w:rPr>
          <w:rFonts w:ascii="Times Roman" w:hAnsi="Times Roman" w:cs="Times Roman"/>
          <w:color w:val="000000"/>
          <w:lang w:val="en-GB"/>
        </w:rPr>
        <w:t>a</w:t>
      </w:r>
      <w:r w:rsidR="00A80096">
        <w:rPr>
          <w:rFonts w:ascii="Times Roman" w:hAnsi="Times Roman" w:cs="Times Roman"/>
          <w:color w:val="000000"/>
          <w:lang w:val="en-GB"/>
        </w:rPr>
        <w:t xml:space="preserve"> </w:t>
      </w:r>
      <w:r w:rsidR="00DD7179" w:rsidRPr="00105869">
        <w:rPr>
          <w:rFonts w:ascii="Times Roman" w:hAnsi="Times Roman" w:cs="Times Roman"/>
          <w:color w:val="000000"/>
          <w:lang w:val="en-GB"/>
        </w:rPr>
        <w:t>radiographic abnormalit</w:t>
      </w:r>
      <w:r w:rsidR="00A80096">
        <w:rPr>
          <w:rFonts w:ascii="Times Roman" w:hAnsi="Times Roman" w:cs="Times Roman"/>
          <w:color w:val="000000"/>
          <w:lang w:val="en-GB"/>
        </w:rPr>
        <w:t xml:space="preserve">y per </w:t>
      </w:r>
      <w:r w:rsidR="00C30449">
        <w:rPr>
          <w:rFonts w:ascii="Times Roman" w:hAnsi="Times Roman" w:cs="Times Roman"/>
          <w:color w:val="000000"/>
          <w:lang w:val="en-GB"/>
        </w:rPr>
        <w:t xml:space="preserve">parameter per </w:t>
      </w:r>
      <w:r w:rsidR="00A80096">
        <w:rPr>
          <w:rFonts w:ascii="Times Roman" w:hAnsi="Times Roman" w:cs="Times Roman"/>
          <w:color w:val="000000"/>
          <w:lang w:val="en-GB"/>
        </w:rPr>
        <w:t xml:space="preserve">SP. This meant that any abnormality found per parameter resulted in the spinous process graded as abnormal </w:t>
      </w:r>
      <w:r w:rsidR="00C30449">
        <w:rPr>
          <w:rFonts w:ascii="Times Roman" w:hAnsi="Times Roman" w:cs="Times Roman"/>
          <w:color w:val="000000"/>
          <w:lang w:val="en-GB"/>
        </w:rPr>
        <w:t xml:space="preserve">(grade I) </w:t>
      </w:r>
      <w:r w:rsidR="00A80096">
        <w:rPr>
          <w:rFonts w:ascii="Times Roman" w:hAnsi="Times Roman" w:cs="Times Roman"/>
          <w:color w:val="000000"/>
          <w:lang w:val="en-GB"/>
        </w:rPr>
        <w:t>and only those without radiographic abnormalities were found normal</w:t>
      </w:r>
      <w:r w:rsidR="00C30449">
        <w:rPr>
          <w:rFonts w:ascii="Times Roman" w:hAnsi="Times Roman" w:cs="Times Roman"/>
          <w:color w:val="000000"/>
          <w:lang w:val="en-GB"/>
        </w:rPr>
        <w:t xml:space="preserve"> (grade 0)</w:t>
      </w:r>
      <w:r w:rsidR="00A80096">
        <w:rPr>
          <w:rFonts w:ascii="Times Roman" w:hAnsi="Times Roman" w:cs="Times Roman"/>
          <w:color w:val="000000"/>
          <w:lang w:val="en-GB"/>
        </w:rPr>
        <w:t xml:space="preserve">. The latter compared </w:t>
      </w:r>
      <w:r w:rsidR="00C30449">
        <w:rPr>
          <w:rFonts w:ascii="Times Roman" w:hAnsi="Times Roman" w:cs="Times Roman"/>
          <w:color w:val="000000"/>
          <w:lang w:val="en-GB"/>
        </w:rPr>
        <w:t xml:space="preserve">radiographic abnormalities per </w:t>
      </w:r>
      <w:r w:rsidR="00A80096">
        <w:rPr>
          <w:rFonts w:ascii="Times Roman" w:hAnsi="Times Roman" w:cs="Times Roman"/>
          <w:color w:val="000000"/>
          <w:lang w:val="en-GB"/>
        </w:rPr>
        <w:t>paramete</w:t>
      </w:r>
      <w:r w:rsidR="00C30449">
        <w:rPr>
          <w:rFonts w:ascii="Times Roman" w:hAnsi="Times Roman" w:cs="Times Roman"/>
          <w:color w:val="000000"/>
          <w:lang w:val="en-GB"/>
        </w:rPr>
        <w:t>r</w:t>
      </w:r>
      <w:r w:rsidR="00A80096">
        <w:rPr>
          <w:rFonts w:ascii="Times Roman" w:hAnsi="Times Roman" w:cs="Times Roman"/>
          <w:color w:val="000000"/>
          <w:lang w:val="en-GB"/>
        </w:rPr>
        <w:t xml:space="preserve"> per SP from being graded as either </w:t>
      </w:r>
      <w:r w:rsidR="00DD7179" w:rsidRPr="00105869">
        <w:rPr>
          <w:rFonts w:ascii="Times Roman" w:hAnsi="Times Roman" w:cs="Times Roman"/>
          <w:color w:val="000000" w:themeColor="text1"/>
          <w:lang w:val="en-GB"/>
        </w:rPr>
        <w:t>normal</w:t>
      </w:r>
      <w:r w:rsidR="00C30449">
        <w:rPr>
          <w:rFonts w:ascii="Times Roman" w:hAnsi="Times Roman" w:cs="Times Roman"/>
          <w:color w:val="000000" w:themeColor="text1"/>
          <w:lang w:val="en-GB"/>
        </w:rPr>
        <w:t xml:space="preserve"> to</w:t>
      </w:r>
      <w:r w:rsidR="00DD7179" w:rsidRPr="00105869">
        <w:rPr>
          <w:rFonts w:ascii="Times Roman" w:hAnsi="Times Roman" w:cs="Times Roman"/>
          <w:color w:val="000000" w:themeColor="text1"/>
          <w:lang w:val="en-GB"/>
        </w:rPr>
        <w:t xml:space="preserve"> mild </w:t>
      </w:r>
      <w:r w:rsidR="00B2030F">
        <w:rPr>
          <w:rFonts w:ascii="Times Roman" w:hAnsi="Times Roman" w:cs="Times Roman"/>
          <w:color w:val="000000" w:themeColor="text1"/>
          <w:lang w:val="en-GB"/>
        </w:rPr>
        <w:t xml:space="preserve">abnormal </w:t>
      </w:r>
      <w:r w:rsidR="00DD7179" w:rsidRPr="00105869">
        <w:rPr>
          <w:rFonts w:ascii="Times Roman" w:hAnsi="Times Roman" w:cs="Times Roman"/>
          <w:color w:val="000000" w:themeColor="text1"/>
          <w:lang w:val="en-GB"/>
        </w:rPr>
        <w:t xml:space="preserve">(grade </w:t>
      </w:r>
      <w:r w:rsidR="00C30449">
        <w:rPr>
          <w:rFonts w:ascii="Times Roman" w:hAnsi="Times Roman" w:cs="Times Roman"/>
          <w:color w:val="000000" w:themeColor="text1"/>
          <w:lang w:val="en-GB"/>
        </w:rPr>
        <w:t>0-</w:t>
      </w:r>
      <w:r w:rsidR="00DA28BD" w:rsidRPr="00105869">
        <w:rPr>
          <w:rFonts w:ascii="Times Roman" w:hAnsi="Times Roman" w:cs="Times Roman"/>
          <w:color w:val="000000" w:themeColor="text1"/>
          <w:lang w:val="en-GB"/>
        </w:rPr>
        <w:t>I</w:t>
      </w:r>
      <w:r w:rsidR="00DD7179" w:rsidRPr="00105869">
        <w:rPr>
          <w:rFonts w:ascii="Times Roman" w:hAnsi="Times Roman" w:cs="Times Roman"/>
          <w:color w:val="000000" w:themeColor="text1"/>
          <w:lang w:val="en-GB"/>
        </w:rPr>
        <w:t xml:space="preserve">) </w:t>
      </w:r>
      <w:r w:rsidR="00C30449">
        <w:rPr>
          <w:rFonts w:ascii="Times Roman" w:hAnsi="Times Roman" w:cs="Times Roman"/>
          <w:color w:val="000000" w:themeColor="text1"/>
          <w:lang w:val="en-GB"/>
        </w:rPr>
        <w:t xml:space="preserve">as </w:t>
      </w:r>
      <w:proofErr w:type="gramStart"/>
      <w:r w:rsidR="00C30449">
        <w:rPr>
          <w:rFonts w:ascii="Times Roman" w:hAnsi="Times Roman" w:cs="Times Roman"/>
          <w:color w:val="000000" w:themeColor="text1"/>
          <w:lang w:val="en-GB"/>
        </w:rPr>
        <w:t>grade  0</w:t>
      </w:r>
      <w:proofErr w:type="gramEnd"/>
      <w:r w:rsidR="00C30449">
        <w:rPr>
          <w:rFonts w:ascii="Times Roman" w:hAnsi="Times Roman" w:cs="Times Roman"/>
          <w:color w:val="000000" w:themeColor="text1"/>
          <w:lang w:val="en-GB"/>
        </w:rPr>
        <w:t xml:space="preserve"> </w:t>
      </w:r>
      <w:r w:rsidR="008C2C65">
        <w:rPr>
          <w:rFonts w:ascii="Times Roman" w:hAnsi="Times Roman" w:cs="Times Roman"/>
          <w:color w:val="000000" w:themeColor="text1"/>
          <w:lang w:val="en-GB"/>
        </w:rPr>
        <w:t>to</w:t>
      </w:r>
      <w:r w:rsidR="00A80096">
        <w:rPr>
          <w:rFonts w:ascii="Times Roman" w:hAnsi="Times Roman" w:cs="Times Roman"/>
          <w:color w:val="000000" w:themeColor="text1"/>
          <w:lang w:val="en-GB"/>
        </w:rPr>
        <w:t xml:space="preserve"> the</w:t>
      </w:r>
      <w:r w:rsidR="00DD7179" w:rsidRPr="00105869">
        <w:rPr>
          <w:rFonts w:ascii="Times Roman" w:hAnsi="Times Roman" w:cs="Times Roman"/>
          <w:color w:val="000000" w:themeColor="text1"/>
          <w:lang w:val="en-GB"/>
        </w:rPr>
        <w:t xml:space="preserve"> moderate to severe abnormalities (grade </w:t>
      </w:r>
      <w:r w:rsidR="00DA28BD" w:rsidRPr="00105869">
        <w:rPr>
          <w:rFonts w:ascii="Times Roman" w:hAnsi="Times Roman" w:cs="Times Roman"/>
          <w:color w:val="000000" w:themeColor="text1"/>
          <w:lang w:val="en-GB"/>
        </w:rPr>
        <w:t>II</w:t>
      </w:r>
      <w:r w:rsidR="00DD7179" w:rsidRPr="00105869">
        <w:rPr>
          <w:rFonts w:ascii="Times Roman" w:hAnsi="Times Roman" w:cs="Times Roman"/>
          <w:color w:val="000000" w:themeColor="text1"/>
          <w:lang w:val="en-GB"/>
        </w:rPr>
        <w:t>-</w:t>
      </w:r>
      <w:r w:rsidR="00DA28BD" w:rsidRPr="00105869">
        <w:rPr>
          <w:rFonts w:ascii="Times Roman" w:hAnsi="Times Roman" w:cs="Times Roman"/>
          <w:color w:val="000000" w:themeColor="text1"/>
          <w:lang w:val="en-GB"/>
        </w:rPr>
        <w:t>V</w:t>
      </w:r>
      <w:r w:rsidR="00DD7179" w:rsidRPr="00105869">
        <w:rPr>
          <w:rFonts w:ascii="Times Roman" w:hAnsi="Times Roman" w:cs="Times Roman"/>
          <w:color w:val="000000" w:themeColor="text1"/>
          <w:lang w:val="en-GB"/>
        </w:rPr>
        <w:t>)</w:t>
      </w:r>
      <w:r w:rsidR="00C30449">
        <w:rPr>
          <w:rFonts w:ascii="Times Roman" w:hAnsi="Times Roman" w:cs="Times Roman"/>
          <w:color w:val="000000" w:themeColor="text1"/>
          <w:lang w:val="en-GB"/>
        </w:rPr>
        <w:t xml:space="preserve"> together as  grade I</w:t>
      </w:r>
      <w:r w:rsidR="004F6FDD" w:rsidRPr="00105869">
        <w:rPr>
          <w:rFonts w:ascii="Times Roman" w:hAnsi="Times Roman" w:cs="Times Roman"/>
          <w:color w:val="000000" w:themeColor="text1"/>
          <w:lang w:val="en-GB"/>
        </w:rPr>
        <w:t>.</w:t>
      </w:r>
      <w:r w:rsidR="00557FFD" w:rsidRPr="00105869">
        <w:rPr>
          <w:color w:val="000000" w:themeColor="text1"/>
          <w:lang w:val="en-GB"/>
        </w:rPr>
        <w:t xml:space="preserve"> </w:t>
      </w:r>
      <w:bookmarkEnd w:id="6"/>
      <w:bookmarkEnd w:id="7"/>
    </w:p>
    <w:p w14:paraId="02671FCD" w14:textId="77777777" w:rsidR="006A3D18" w:rsidRDefault="006A3D18" w:rsidP="00921183">
      <w:pPr>
        <w:pStyle w:val="NoSpacing"/>
        <w:spacing w:line="480" w:lineRule="auto"/>
        <w:rPr>
          <w:rFonts w:ascii="Times Roman" w:hAnsi="Times Roman" w:cs="Times Roman"/>
          <w:color w:val="000000" w:themeColor="text1"/>
          <w:lang w:val="en-GB"/>
        </w:rPr>
      </w:pPr>
    </w:p>
    <w:p w14:paraId="07F89DA5" w14:textId="667CBAE1" w:rsidR="00921183" w:rsidRPr="00015974" w:rsidRDefault="004F6FDD" w:rsidP="00921183">
      <w:pPr>
        <w:pStyle w:val="NoSpacing"/>
        <w:spacing w:line="480" w:lineRule="auto"/>
        <w:rPr>
          <w:rFonts w:ascii="Times Roman" w:hAnsi="Times Roman" w:cs="Times Roman"/>
          <w:color w:val="000000" w:themeColor="text1"/>
          <w:lang w:val="en-GB"/>
        </w:rPr>
      </w:pPr>
      <w:r w:rsidRPr="00105869">
        <w:rPr>
          <w:rFonts w:ascii="Times Roman" w:hAnsi="Times Roman" w:cs="Times Roman"/>
          <w:color w:val="000000" w:themeColor="text1"/>
          <w:lang w:val="en-GB"/>
        </w:rPr>
        <w:t xml:space="preserve">A Spearman's correlation </w:t>
      </w:r>
      <w:r w:rsidR="0091365B" w:rsidRPr="00105869">
        <w:rPr>
          <w:lang w:val="en-GB"/>
        </w:rPr>
        <w:t>(</w:t>
      </w:r>
      <w:proofErr w:type="spellStart"/>
      <w:r w:rsidR="0091365B" w:rsidRPr="00105869">
        <w:rPr>
          <w:lang w:val="en-GB"/>
        </w:rPr>
        <w:t>S</w:t>
      </w:r>
      <w:r w:rsidR="0091365B" w:rsidRPr="00105869">
        <w:rPr>
          <w:vertAlign w:val="subscript"/>
          <w:lang w:val="en-GB"/>
        </w:rPr>
        <w:t>intra</w:t>
      </w:r>
      <w:proofErr w:type="spellEnd"/>
      <w:r w:rsidR="0091365B" w:rsidRPr="00105869">
        <w:rPr>
          <w:lang w:val="en-GB"/>
        </w:rPr>
        <w:t>, S</w:t>
      </w:r>
      <w:r w:rsidR="0091365B" w:rsidRPr="00105869">
        <w:rPr>
          <w:vertAlign w:val="subscript"/>
          <w:lang w:val="en-GB"/>
        </w:rPr>
        <w:t>inter</w:t>
      </w:r>
      <w:r w:rsidR="0091365B" w:rsidRPr="00105869">
        <w:rPr>
          <w:lang w:val="en-GB"/>
        </w:rPr>
        <w:t xml:space="preserve">) </w:t>
      </w:r>
      <w:r w:rsidRPr="00105869">
        <w:rPr>
          <w:rFonts w:ascii="Times Roman" w:hAnsi="Times Roman" w:cs="Times Roman"/>
          <w:color w:val="000000" w:themeColor="text1"/>
          <w:lang w:val="en-GB"/>
        </w:rPr>
        <w:t>was performed for the</w:t>
      </w:r>
      <w:r w:rsidR="008E32E3">
        <w:rPr>
          <w:rFonts w:ascii="Times Roman" w:hAnsi="Times Roman" w:cs="Times Roman"/>
          <w:color w:val="000000" w:themeColor="text1"/>
          <w:lang w:val="en-GB"/>
        </w:rPr>
        <w:t xml:space="preserve"> total of radiographic abnormalities of all parameters of all SP</w:t>
      </w:r>
      <w:r w:rsidRPr="00105869">
        <w:rPr>
          <w:rFonts w:ascii="Times Roman" w:hAnsi="Times Roman" w:cs="Times Roman"/>
          <w:color w:val="000000" w:themeColor="text1"/>
          <w:lang w:val="en-GB"/>
        </w:rPr>
        <w:t xml:space="preserve"> </w:t>
      </w:r>
      <w:r w:rsidR="008C2317">
        <w:rPr>
          <w:rFonts w:ascii="Times Roman" w:hAnsi="Times Roman" w:cs="Times Roman"/>
          <w:color w:val="000000" w:themeColor="text1"/>
          <w:lang w:val="en-GB"/>
        </w:rPr>
        <w:t xml:space="preserve">per </w:t>
      </w:r>
      <w:r w:rsidR="00BF729B">
        <w:rPr>
          <w:rFonts w:ascii="Times Roman" w:hAnsi="Times Roman" w:cs="Times Roman"/>
          <w:color w:val="000000" w:themeColor="text1"/>
          <w:lang w:val="en-GB"/>
        </w:rPr>
        <w:t>horse</w:t>
      </w:r>
      <w:r w:rsidR="00E10B53">
        <w:rPr>
          <w:rFonts w:ascii="Times Roman" w:hAnsi="Times Roman" w:cs="Times Roman"/>
          <w:color w:val="000000" w:themeColor="text1"/>
          <w:lang w:val="en-GB"/>
        </w:rPr>
        <w:t xml:space="preserve"> (Total Back radiographic abnormalities)</w:t>
      </w:r>
      <w:r w:rsidR="008E32E3">
        <w:rPr>
          <w:rFonts w:ascii="Times Roman" w:hAnsi="Times Roman" w:cs="Times Roman"/>
          <w:color w:val="000000" w:themeColor="text1"/>
          <w:lang w:val="en-GB"/>
        </w:rPr>
        <w:t xml:space="preserve">. In addition, </w:t>
      </w:r>
      <w:r w:rsidR="00FF331F" w:rsidRPr="00105869">
        <w:rPr>
          <w:rFonts w:ascii="Times Roman" w:hAnsi="Times Roman" w:cs="Times Roman"/>
          <w:color w:val="000000" w:themeColor="text1"/>
          <w:lang w:val="en-GB"/>
        </w:rPr>
        <w:t>combination</w:t>
      </w:r>
      <w:r w:rsidR="008C2C65">
        <w:rPr>
          <w:rFonts w:ascii="Times Roman" w:hAnsi="Times Roman" w:cs="Times Roman"/>
          <w:color w:val="000000" w:themeColor="text1"/>
          <w:lang w:val="en-GB"/>
        </w:rPr>
        <w:t>s</w:t>
      </w:r>
      <w:r w:rsidR="00FF331F" w:rsidRPr="00105869">
        <w:rPr>
          <w:rFonts w:ascii="Times Roman" w:hAnsi="Times Roman" w:cs="Times Roman"/>
          <w:color w:val="000000" w:themeColor="text1"/>
          <w:lang w:val="en-GB"/>
        </w:rPr>
        <w:t xml:space="preserve"> of different variables</w:t>
      </w:r>
      <w:r w:rsidR="008E32E3">
        <w:rPr>
          <w:rFonts w:ascii="Times Roman" w:hAnsi="Times Roman" w:cs="Times Roman"/>
          <w:color w:val="000000" w:themeColor="text1"/>
          <w:lang w:val="en-GB"/>
        </w:rPr>
        <w:t xml:space="preserve"> were summed to seek for a corresponding correlation coefficient. The results </w:t>
      </w:r>
      <w:r w:rsidRPr="00105869">
        <w:rPr>
          <w:rFonts w:ascii="Times Roman" w:hAnsi="Times Roman" w:cs="Times Roman"/>
          <w:color w:val="000000" w:themeColor="text1"/>
          <w:lang w:val="en-GB"/>
        </w:rPr>
        <w:t xml:space="preserve">graded by </w:t>
      </w:r>
      <w:r w:rsidR="00202B7E" w:rsidRPr="00105869">
        <w:rPr>
          <w:rFonts w:ascii="Times Roman" w:hAnsi="Times Roman" w:cs="Times Roman"/>
          <w:color w:val="000000" w:themeColor="text1"/>
          <w:lang w:val="en-GB"/>
        </w:rPr>
        <w:t xml:space="preserve">the diplomate and the </w:t>
      </w:r>
      <w:r w:rsidR="00FF331F" w:rsidRPr="00105869">
        <w:rPr>
          <w:rFonts w:ascii="Times Roman" w:hAnsi="Times Roman" w:cs="Times Roman"/>
          <w:color w:val="000000" w:themeColor="text1"/>
          <w:lang w:val="en-GB"/>
        </w:rPr>
        <w:t xml:space="preserve">experienced </w:t>
      </w:r>
      <w:r w:rsidR="00202B7E" w:rsidRPr="00105869">
        <w:rPr>
          <w:rFonts w:ascii="Times Roman" w:hAnsi="Times Roman" w:cs="Times Roman"/>
          <w:color w:val="000000" w:themeColor="text1"/>
          <w:lang w:val="en-GB"/>
        </w:rPr>
        <w:t>resident</w:t>
      </w:r>
      <w:r w:rsidR="008E32E3">
        <w:rPr>
          <w:rFonts w:ascii="Times Roman" w:hAnsi="Times Roman" w:cs="Times Roman"/>
          <w:color w:val="000000" w:themeColor="text1"/>
          <w:lang w:val="en-GB"/>
        </w:rPr>
        <w:t xml:space="preserve"> were used for this and an average was calculated out of those sums and used for comparison</w:t>
      </w:r>
      <w:r w:rsidRPr="00105869">
        <w:rPr>
          <w:rFonts w:ascii="Times Roman" w:hAnsi="Times Roman" w:cs="Times Roman"/>
          <w:color w:val="000000" w:themeColor="text1"/>
          <w:lang w:val="en-GB"/>
        </w:rPr>
        <w:t>. C</w:t>
      </w:r>
      <w:r w:rsidR="00C00648">
        <w:rPr>
          <w:rFonts w:ascii="Times Roman" w:hAnsi="Times Roman" w:cs="Times Roman"/>
          <w:color w:val="000000" w:themeColor="text1"/>
          <w:lang w:val="en-GB"/>
        </w:rPr>
        <w:t>orrelation coefficients</w:t>
      </w:r>
      <w:r w:rsidRPr="00105869">
        <w:rPr>
          <w:rFonts w:ascii="Times Roman" w:hAnsi="Times Roman" w:cs="Times Roman"/>
          <w:color w:val="000000" w:themeColor="text1"/>
          <w:lang w:val="en-GB"/>
        </w:rPr>
        <w:t xml:space="preserve"> </w:t>
      </w:r>
      <w:r w:rsidR="00C00648">
        <w:rPr>
          <w:rFonts w:ascii="Times Roman" w:hAnsi="Times Roman" w:cs="Times Roman"/>
          <w:color w:val="000000" w:themeColor="text1"/>
          <w:lang w:val="en-GB"/>
        </w:rPr>
        <w:t>for</w:t>
      </w:r>
      <w:r w:rsidR="00C00648" w:rsidRPr="00105869">
        <w:rPr>
          <w:rFonts w:ascii="Times Roman" w:hAnsi="Times Roman" w:cs="Times Roman"/>
          <w:color w:val="000000" w:themeColor="text1"/>
          <w:lang w:val="en-GB"/>
        </w:rPr>
        <w:t xml:space="preserve"> </w:t>
      </w:r>
      <w:r w:rsidR="00FF331F" w:rsidRPr="00105869">
        <w:rPr>
          <w:rFonts w:ascii="Times Roman" w:hAnsi="Times Roman" w:cs="Times Roman"/>
          <w:color w:val="000000" w:themeColor="text1"/>
          <w:lang w:val="en-GB"/>
        </w:rPr>
        <w:t xml:space="preserve">combinations </w:t>
      </w:r>
      <w:r w:rsidRPr="00105869">
        <w:rPr>
          <w:rFonts w:ascii="Times Roman" w:hAnsi="Times Roman" w:cs="Times Roman"/>
          <w:color w:val="000000" w:themeColor="text1"/>
          <w:lang w:val="en-GB"/>
        </w:rPr>
        <w:t xml:space="preserve">were done </w:t>
      </w:r>
      <w:r w:rsidR="00DA28BD" w:rsidRPr="00105869">
        <w:rPr>
          <w:rFonts w:ascii="Times Roman" w:hAnsi="Times Roman" w:cs="Times Roman"/>
          <w:color w:val="000000" w:themeColor="text1"/>
          <w:lang w:val="en-GB"/>
        </w:rPr>
        <w:t>for</w:t>
      </w:r>
      <w:r w:rsidRPr="00105869">
        <w:rPr>
          <w:rFonts w:ascii="Times Roman" w:hAnsi="Times Roman" w:cs="Times Roman"/>
          <w:color w:val="000000" w:themeColor="text1"/>
          <w:lang w:val="en-GB"/>
        </w:rPr>
        <w:t xml:space="preserve"> </w:t>
      </w:r>
      <w:r w:rsidR="008C2C65">
        <w:rPr>
          <w:rFonts w:ascii="Times Roman" w:hAnsi="Times Roman" w:cs="Times Roman"/>
          <w:color w:val="000000" w:themeColor="text1"/>
          <w:lang w:val="en-GB"/>
        </w:rPr>
        <w:t>the following</w:t>
      </w:r>
      <w:r w:rsidR="005D4F5E">
        <w:rPr>
          <w:rFonts w:ascii="Times Roman" w:hAnsi="Times Roman" w:cs="Times Roman"/>
          <w:color w:val="000000" w:themeColor="text1"/>
          <w:lang w:val="en-GB"/>
        </w:rPr>
        <w:t>:</w:t>
      </w:r>
      <w:r w:rsidRPr="00105869">
        <w:rPr>
          <w:rFonts w:ascii="Times Roman" w:hAnsi="Times Roman" w:cs="Times Roman"/>
          <w:color w:val="000000" w:themeColor="text1"/>
          <w:lang w:val="en-GB"/>
        </w:rPr>
        <w:t xml:space="preserve"> </w:t>
      </w:r>
      <w:r w:rsidR="008C2C65">
        <w:rPr>
          <w:rFonts w:ascii="Times Roman" w:hAnsi="Times Roman" w:cs="Times Roman"/>
          <w:color w:val="000000" w:themeColor="text1"/>
          <w:lang w:val="en-GB"/>
        </w:rPr>
        <w:t>M</w:t>
      </w:r>
      <w:r w:rsidR="00FF331F" w:rsidRPr="00105869">
        <w:rPr>
          <w:rFonts w:ascii="Times Roman" w:hAnsi="Times Roman" w:cs="Times Roman"/>
          <w:color w:val="000000" w:themeColor="text1"/>
          <w:lang w:val="en-GB"/>
        </w:rPr>
        <w:t>odelling</w:t>
      </w:r>
      <w:r w:rsidR="008E32E3">
        <w:rPr>
          <w:rFonts w:ascii="Times Roman" w:hAnsi="Times Roman" w:cs="Times Roman"/>
          <w:color w:val="000000" w:themeColor="text1"/>
          <w:lang w:val="en-GB"/>
        </w:rPr>
        <w:t xml:space="preserve"> </w:t>
      </w:r>
      <w:r w:rsidR="00E10B53">
        <w:rPr>
          <w:rFonts w:ascii="Times Roman" w:hAnsi="Times Roman" w:cs="Times Roman"/>
          <w:color w:val="000000" w:themeColor="text1"/>
          <w:lang w:val="en-GB"/>
        </w:rPr>
        <w:t xml:space="preserve">Cranial SP, Modelling Caudal SP </w:t>
      </w:r>
      <w:r w:rsidR="008E32E3">
        <w:rPr>
          <w:rFonts w:ascii="Times Roman" w:hAnsi="Times Roman" w:cs="Times Roman"/>
          <w:color w:val="000000" w:themeColor="text1"/>
          <w:lang w:val="en-GB"/>
        </w:rPr>
        <w:t xml:space="preserve">(including the </w:t>
      </w:r>
      <w:r w:rsidR="00E10B53">
        <w:rPr>
          <w:rFonts w:ascii="Times Roman" w:hAnsi="Times Roman" w:cs="Times Roman"/>
          <w:color w:val="000000" w:themeColor="text1"/>
          <w:lang w:val="en-GB"/>
        </w:rPr>
        <w:t xml:space="preserve">cranial or caudal summed </w:t>
      </w:r>
      <w:r w:rsidR="008E32E3">
        <w:rPr>
          <w:rFonts w:ascii="Times Roman" w:hAnsi="Times Roman" w:cs="Times Roman"/>
          <w:color w:val="000000" w:themeColor="text1"/>
          <w:lang w:val="en-GB"/>
        </w:rPr>
        <w:t>dorsal and ventral margins)</w:t>
      </w:r>
      <w:r w:rsidR="00E10B53">
        <w:rPr>
          <w:rFonts w:ascii="Times Roman" w:hAnsi="Times Roman" w:cs="Times Roman"/>
          <w:color w:val="000000" w:themeColor="text1"/>
          <w:lang w:val="en-GB"/>
        </w:rPr>
        <w:t>, Modelling total SP (modelling cranial and caudal margins) and Modelling total SP including Dorsal (modelling cranial, caudal and dorsal margins)</w:t>
      </w:r>
      <w:r w:rsidR="005D4F5E">
        <w:rPr>
          <w:rFonts w:ascii="Times Roman" w:hAnsi="Times Roman" w:cs="Times Roman"/>
          <w:color w:val="000000" w:themeColor="text1"/>
          <w:lang w:val="en-GB"/>
        </w:rPr>
        <w:t xml:space="preserve">; </w:t>
      </w:r>
      <w:r w:rsidR="00015974">
        <w:rPr>
          <w:rFonts w:ascii="Times Roman" w:hAnsi="Times Roman" w:cs="Times Roman"/>
          <w:color w:val="000000" w:themeColor="text1"/>
          <w:lang w:val="en-GB"/>
        </w:rPr>
        <w:t>t</w:t>
      </w:r>
      <w:r w:rsidR="00FF331F" w:rsidRPr="00105869">
        <w:rPr>
          <w:rFonts w:ascii="Times Roman" w:hAnsi="Times Roman" w:cs="Times Roman"/>
          <w:color w:val="000000" w:themeColor="text1"/>
          <w:lang w:val="en-GB"/>
        </w:rPr>
        <w:t xml:space="preserve">he sum of </w:t>
      </w:r>
      <w:r w:rsidR="00F91705" w:rsidRPr="00105869">
        <w:rPr>
          <w:rFonts w:ascii="Times Roman" w:hAnsi="Times Roman" w:cs="Times Roman"/>
          <w:color w:val="000000" w:themeColor="text1"/>
          <w:lang w:val="en-GB"/>
        </w:rPr>
        <w:t>radiopacities</w:t>
      </w:r>
      <w:r w:rsidR="00EC4DED" w:rsidRPr="00105869">
        <w:rPr>
          <w:rFonts w:ascii="Times Roman" w:hAnsi="Times Roman" w:cs="Times Roman"/>
          <w:color w:val="000000" w:themeColor="text1"/>
          <w:lang w:val="en-GB"/>
        </w:rPr>
        <w:t xml:space="preserve"> </w:t>
      </w:r>
      <w:r w:rsidR="005D4F5E">
        <w:rPr>
          <w:rFonts w:ascii="Times Roman" w:hAnsi="Times Roman" w:cs="Times Roman"/>
          <w:color w:val="000000" w:themeColor="text1"/>
          <w:lang w:val="en-GB"/>
        </w:rPr>
        <w:t xml:space="preserve">(intensity and width) </w:t>
      </w:r>
      <w:r w:rsidR="00EC4DED" w:rsidRPr="00105869">
        <w:rPr>
          <w:rFonts w:ascii="Times Roman" w:hAnsi="Times Roman" w:cs="Times Roman"/>
          <w:color w:val="000000" w:themeColor="text1"/>
          <w:lang w:val="en-GB"/>
        </w:rPr>
        <w:t>cranially</w:t>
      </w:r>
      <w:r w:rsidR="005D4F5E">
        <w:rPr>
          <w:rFonts w:ascii="Times Roman" w:hAnsi="Times Roman" w:cs="Times Roman"/>
          <w:color w:val="000000" w:themeColor="text1"/>
          <w:lang w:val="en-GB"/>
        </w:rPr>
        <w:t xml:space="preserve">, </w:t>
      </w:r>
      <w:r w:rsidR="00EC4DED" w:rsidRPr="00105869">
        <w:rPr>
          <w:rFonts w:ascii="Times Roman" w:hAnsi="Times Roman" w:cs="Times Roman"/>
          <w:color w:val="000000" w:themeColor="text1"/>
          <w:lang w:val="en-GB"/>
        </w:rPr>
        <w:t xml:space="preserve">caudally and </w:t>
      </w:r>
      <w:r w:rsidR="005D4F5E">
        <w:rPr>
          <w:rFonts w:ascii="Times Roman" w:hAnsi="Times Roman" w:cs="Times Roman"/>
          <w:color w:val="000000" w:themeColor="text1"/>
          <w:lang w:val="en-GB"/>
        </w:rPr>
        <w:t>both combined</w:t>
      </w:r>
      <w:r w:rsidR="00E10B53">
        <w:rPr>
          <w:rFonts w:ascii="Times Roman" w:hAnsi="Times Roman" w:cs="Times Roman"/>
          <w:color w:val="000000" w:themeColor="text1"/>
          <w:lang w:val="en-GB"/>
        </w:rPr>
        <w:t xml:space="preserve"> (Radiopacity Cranial SP, Radiopacity Caudal SP and Radiopacity Total SP)</w:t>
      </w:r>
      <w:r w:rsidR="005D4F5E">
        <w:rPr>
          <w:rFonts w:ascii="Times Roman" w:hAnsi="Times Roman" w:cs="Times Roman"/>
          <w:color w:val="000000" w:themeColor="text1"/>
          <w:lang w:val="en-GB"/>
        </w:rPr>
        <w:t xml:space="preserve">; </w:t>
      </w:r>
      <w:r w:rsidR="00015974">
        <w:rPr>
          <w:rFonts w:ascii="Times Roman" w:hAnsi="Times Roman" w:cs="Times Roman"/>
          <w:color w:val="000000" w:themeColor="text1"/>
          <w:lang w:val="en-GB"/>
        </w:rPr>
        <w:t>t</w:t>
      </w:r>
      <w:r w:rsidR="00FF331F" w:rsidRPr="00105869">
        <w:rPr>
          <w:rFonts w:ascii="Times Roman" w:hAnsi="Times Roman" w:cs="Times Roman"/>
          <w:color w:val="000000" w:themeColor="text1"/>
          <w:lang w:val="en-GB"/>
        </w:rPr>
        <w:t xml:space="preserve">he sum of </w:t>
      </w:r>
      <w:r w:rsidR="00C00648">
        <w:rPr>
          <w:rFonts w:ascii="Times Roman" w:hAnsi="Times Roman" w:cs="Times Roman"/>
          <w:color w:val="000000" w:themeColor="text1"/>
          <w:lang w:val="en-GB"/>
        </w:rPr>
        <w:t xml:space="preserve">the different </w:t>
      </w:r>
      <w:r w:rsidR="005D4F5E">
        <w:rPr>
          <w:rFonts w:ascii="Times Roman" w:hAnsi="Times Roman" w:cs="Times Roman"/>
          <w:color w:val="000000" w:themeColor="text1"/>
          <w:lang w:val="en-GB"/>
        </w:rPr>
        <w:t>radiographic abnormalities</w:t>
      </w:r>
      <w:r w:rsidR="00C00648">
        <w:rPr>
          <w:rFonts w:ascii="Times Roman" w:hAnsi="Times Roman" w:cs="Times Roman"/>
          <w:color w:val="000000" w:themeColor="text1"/>
          <w:lang w:val="en-GB"/>
        </w:rPr>
        <w:t xml:space="preserve"> graded </w:t>
      </w:r>
      <w:r w:rsidR="00CD1622" w:rsidRPr="00105869">
        <w:rPr>
          <w:rFonts w:ascii="Times Roman" w:hAnsi="Times Roman" w:cs="Times Roman"/>
          <w:color w:val="000000" w:themeColor="text1"/>
          <w:lang w:val="en-GB"/>
        </w:rPr>
        <w:t>dorsal</w:t>
      </w:r>
      <w:r w:rsidR="00C00648">
        <w:rPr>
          <w:rFonts w:ascii="Times Roman" w:hAnsi="Times Roman" w:cs="Times Roman"/>
          <w:color w:val="000000" w:themeColor="text1"/>
          <w:lang w:val="en-GB"/>
        </w:rPr>
        <w:t>ly</w:t>
      </w:r>
      <w:r w:rsidR="00A81588" w:rsidRPr="00105869">
        <w:rPr>
          <w:rFonts w:ascii="Times Roman" w:hAnsi="Times Roman" w:cs="Times Roman"/>
          <w:color w:val="000000" w:themeColor="text1"/>
          <w:lang w:val="en-GB"/>
        </w:rPr>
        <w:t xml:space="preserve">, </w:t>
      </w:r>
      <w:r w:rsidR="00CD1622" w:rsidRPr="00105869">
        <w:rPr>
          <w:rFonts w:ascii="Times Roman" w:hAnsi="Times Roman" w:cs="Times Roman"/>
          <w:color w:val="000000" w:themeColor="text1"/>
          <w:lang w:val="en-GB"/>
        </w:rPr>
        <w:t>cranial</w:t>
      </w:r>
      <w:r w:rsidR="00C00648">
        <w:rPr>
          <w:rFonts w:ascii="Times Roman" w:hAnsi="Times Roman" w:cs="Times Roman"/>
          <w:color w:val="000000" w:themeColor="text1"/>
          <w:lang w:val="en-GB"/>
        </w:rPr>
        <w:t>ly</w:t>
      </w:r>
      <w:r w:rsidR="00CD1622" w:rsidRPr="00105869">
        <w:rPr>
          <w:rFonts w:ascii="Times Roman" w:hAnsi="Times Roman" w:cs="Times Roman"/>
          <w:color w:val="000000" w:themeColor="text1"/>
          <w:lang w:val="en-GB"/>
        </w:rPr>
        <w:t xml:space="preserve"> or caudal</w:t>
      </w:r>
      <w:r w:rsidR="00C00648">
        <w:rPr>
          <w:rFonts w:ascii="Times Roman" w:hAnsi="Times Roman" w:cs="Times Roman"/>
          <w:color w:val="000000" w:themeColor="text1"/>
          <w:lang w:val="en-GB"/>
        </w:rPr>
        <w:t>ly</w:t>
      </w:r>
      <w:r w:rsidR="00E10B53">
        <w:rPr>
          <w:rFonts w:ascii="Times Roman" w:hAnsi="Times Roman" w:cs="Times Roman"/>
          <w:color w:val="000000" w:themeColor="text1"/>
          <w:lang w:val="en-GB"/>
        </w:rPr>
        <w:t xml:space="preserve"> (Total Dorsal radiographic abnormalities, Total Cranial </w:t>
      </w:r>
      <w:r w:rsidR="00E10B53">
        <w:rPr>
          <w:rFonts w:ascii="Times Roman" w:hAnsi="Times Roman" w:cs="Times Roman"/>
          <w:color w:val="000000" w:themeColor="text1"/>
          <w:lang w:val="en-GB"/>
        </w:rPr>
        <w:lastRenderedPageBreak/>
        <w:t>radiographic abnormalities and Total Caudal radiographic abnormalities)</w:t>
      </w:r>
      <w:r w:rsidR="005D4F5E">
        <w:rPr>
          <w:rFonts w:ascii="Times Roman" w:hAnsi="Times Roman" w:cs="Times Roman"/>
          <w:color w:val="000000" w:themeColor="text1"/>
          <w:lang w:val="en-GB"/>
        </w:rPr>
        <w:t>.</w:t>
      </w:r>
      <w:r w:rsidR="00CD1622" w:rsidRPr="00105869">
        <w:rPr>
          <w:rFonts w:ascii="Times Roman" w:hAnsi="Times Roman" w:cs="Times Roman"/>
          <w:color w:val="000000" w:themeColor="text1"/>
          <w:lang w:val="en-GB"/>
        </w:rPr>
        <w:t xml:space="preserve"> </w:t>
      </w:r>
      <w:r w:rsidR="005D4F5E">
        <w:rPr>
          <w:rFonts w:ascii="Times Roman" w:hAnsi="Times Roman" w:cs="Times Roman"/>
          <w:color w:val="000000" w:themeColor="text1"/>
          <w:lang w:val="en-GB"/>
        </w:rPr>
        <w:t>F</w:t>
      </w:r>
      <w:r w:rsidR="00FF331F" w:rsidRPr="00105869">
        <w:rPr>
          <w:rFonts w:ascii="Times Roman" w:hAnsi="Times Roman" w:cs="Times Roman"/>
          <w:color w:val="000000" w:themeColor="text1"/>
          <w:lang w:val="en-GB"/>
        </w:rPr>
        <w:t>inally</w:t>
      </w:r>
      <w:r w:rsidR="005D4F5E">
        <w:rPr>
          <w:rFonts w:ascii="Times Roman" w:hAnsi="Times Roman" w:cs="Times Roman"/>
          <w:color w:val="000000" w:themeColor="text1"/>
          <w:lang w:val="en-GB"/>
        </w:rPr>
        <w:t>,</w:t>
      </w:r>
      <w:r w:rsidR="00FF331F" w:rsidRPr="00105869">
        <w:rPr>
          <w:rFonts w:ascii="Times Roman" w:hAnsi="Times Roman" w:cs="Times Roman"/>
          <w:color w:val="000000" w:themeColor="text1"/>
          <w:lang w:val="en-GB"/>
        </w:rPr>
        <w:t xml:space="preserve"> the </w:t>
      </w:r>
      <w:r w:rsidRPr="00105869">
        <w:rPr>
          <w:rFonts w:ascii="Times Roman" w:hAnsi="Times Roman" w:cs="Times Roman"/>
          <w:color w:val="000000" w:themeColor="text1"/>
          <w:lang w:val="en-GB"/>
        </w:rPr>
        <w:t xml:space="preserve">radiographic abnormalities </w:t>
      </w:r>
      <w:r w:rsidR="00F91705" w:rsidRPr="00105869">
        <w:rPr>
          <w:rFonts w:ascii="Times Roman" w:hAnsi="Times Roman" w:cs="Times Roman"/>
          <w:color w:val="000000" w:themeColor="text1"/>
          <w:lang w:val="en-GB"/>
        </w:rPr>
        <w:t xml:space="preserve">per </w:t>
      </w:r>
      <w:r w:rsidR="004E2B1D" w:rsidRPr="00105869">
        <w:rPr>
          <w:rFonts w:ascii="Times Roman" w:hAnsi="Times Roman" w:cs="Times Roman"/>
          <w:color w:val="000000" w:themeColor="text1"/>
          <w:lang w:val="en-GB"/>
        </w:rPr>
        <w:t>SP</w:t>
      </w:r>
      <w:r w:rsidR="00332509">
        <w:rPr>
          <w:rFonts w:ascii="Times Roman" w:hAnsi="Times Roman" w:cs="Times Roman"/>
          <w:color w:val="000000" w:themeColor="text1"/>
          <w:lang w:val="en-GB"/>
        </w:rPr>
        <w:t xml:space="preserve"> </w:t>
      </w:r>
      <w:r w:rsidR="00E10B53">
        <w:rPr>
          <w:rFonts w:ascii="Times Roman" w:hAnsi="Times Roman" w:cs="Times Roman"/>
          <w:color w:val="000000" w:themeColor="text1"/>
          <w:lang w:val="en-GB"/>
        </w:rPr>
        <w:t xml:space="preserve">(Total SP radiographic abnormalities) </w:t>
      </w:r>
      <w:r w:rsidR="00332509">
        <w:rPr>
          <w:rFonts w:ascii="Times Roman" w:hAnsi="Times Roman" w:cs="Times Roman"/>
          <w:color w:val="000000" w:themeColor="text1"/>
          <w:lang w:val="en-GB"/>
        </w:rPr>
        <w:t>as used in other grading systems</w:t>
      </w:r>
      <w:r w:rsidR="00F55B76">
        <w:rPr>
          <w:rFonts w:ascii="Times Roman" w:hAnsi="Times Roman" w:cs="Times Roman"/>
          <w:color w:val="000000" w:themeColor="text1"/>
          <w:lang w:val="en-GB"/>
        </w:rPr>
        <w:t xml:space="preserve"> were analysed</w:t>
      </w:r>
      <w:r w:rsidR="005D4F5E">
        <w:rPr>
          <w:rFonts w:ascii="Times Roman" w:hAnsi="Times Roman" w:cs="Times Roman"/>
          <w:color w:val="000000" w:themeColor="text1"/>
          <w:lang w:val="en-GB"/>
        </w:rPr>
        <w:t>.</w:t>
      </w:r>
      <w:r w:rsidR="00332509">
        <w:rPr>
          <w:rFonts w:ascii="Times Roman" w:hAnsi="Times Roman" w:cs="Times Roman"/>
          <w:color w:val="000000" w:themeColor="text1"/>
          <w:lang w:val="en-GB"/>
        </w:rPr>
        <w:fldChar w:fldCharType="begin" w:fldLock="1"/>
      </w:r>
      <w:r w:rsidR="00B56CA6">
        <w:rPr>
          <w:rFonts w:ascii="Times Roman" w:hAnsi="Times Roman" w:cs="Times Roman"/>
          <w:color w:val="000000" w:themeColor="text1"/>
          <w:lang w:val="en-GB"/>
        </w:rPr>
        <w:instrText>ADDIN CSL_CITATION {"citationItems":[{"id":"ITEM-1","itemData":{"DOI":"10.1111/j.1740-8261.2011.01845.x","ISSN":"10588183","PMID":"21699620","abstract":"Back pain is common in horses, but there has been no large-scale in-depth study describing radiographic changes of the spinous processes, the relationship between radiographic and scintigraphic findings, and the effect of size, age, breed, or discipline. The objectives were to investigate the frequency of occurrence in horses with perceived back pain of: (1) radiographic alteration of the spinous process structure; (2) increased radiopharmaceutical uptake (IRU) in the spinous processes; and (3) to compare radiographic and scintigraphic findings; and to determine if there was breed, gender, age, bodyweight, height, or work discipline predisposition for close, impinging, or overriding spinous processes. Radiographic and scintigraphic images of the thoracolumbar spine of 604 horses were graded. A radiographic grade for each spinous process (T8-L6) was assigned (0-7). The maximum radiographic grade for each horse was defined as the highest grade assigned to any spinous process; the total radiographic grade was the sum of all grades for each horse. A scintigraphic grade for each spinous process was determined (0-3). The maximum scintigraphic grade for each horse was defined as the highest grade assigned to any spinous process; the total scintigraphic grade was the sum of all grades for each horse. Associations between radiology and scintigraphy and age, gender, breed, height, weight, and discipline were analyzed statistically. The severity of radiographic lesions of the spinous processes was associated with the severity of scintigraphic abnormalities. The caudal thoracic spine (T14-T17) was most frequently affected. There was a significant breed and age effect, with Thoroughbreds and older horses having higher total and maximum radiographic grades. The severity of the lesions of the spinous processes was significantly associated with the presence of osteoarthritis of the articular process joints. It was concluded that there is a wide range of radiographic abnormalities of the spinous processes seen in horses with or without back pain. There is an association between radiographic and scintigraphic grades of the spinous processes.© 2011 Veterinary Radiology &amp; Ultrasound.","author":[{"dropping-particle":"","family":"Zimmerman","given":"Marieke","non-dropping-particle":"","parse-names":false,"suffix":""},{"dropping-particle":"","family":"Dyson","given":"Sue","non-dropping-particle":"","parse-names":false,"suffix":""},{"dropping-particle":"","family":"Murray","given":"Rachel","non-dropping-particle":"","parse-names":false,"suffix":""}],"container-title":"Veterinary Radiology and Ultrasound","id":"ITEM-1","issue":"6","issued":{"date-parts":[["2011"]]},"page":"661-671","title":"Comparison of radiographic and scintigraphic findings of the spinous processes in the equine thoracolumbar region","type":"article-journal","volume":"52"},"uris":["http://www.mendeley.com/documents/?uuid=df182bfb-1ee6-4cbd-bfa0-ac43814e4ba0"]},{"id":"ITEM-2","itemData":{"DOI":"10.1111/j.2042-3306.2011.00373.x","ISSN":"04251644","PMID":"21880062","abstract":"Reasons for performing study: There has been no objective study comparing radiological features of spinous processes (SPs) in the thoracolumbar region and/or scintigraphic findings with clinical signs. Objectives: To investigate the relationship between the presence or absence of clinical signs of back pain and: 1) radiological findings of close, impinging or overriding SPs; 2) increased radiopharmaceutical uptake (IRU) in the SPs; and 3) the combination of radiological findings and IRU. Also to determine the prevalence of concurrent osseous pathology. Methods: Five-hundred and eighty-two horses, presented for perceived back pain and poor performance, underwent comprehensive clinical investigation including diagnostic analgesia of the forelimbs, hindlimbs, back and sacroiliac joints, and radiographic and scintigraphic evaluation of the thoracolumbar spine. Radiological and scintigraphic grades were determined subjectively. Statistical analysis was performed to determine the relationships between clinical signs of back pain, radiological and scintigraphic features, age, breed, gender, discipline, height and weight. Results: Thoroughbreds (TBs) were over-represented with thoracolumbar pain compared with Warmbloods and TB cross breeds. There was a significant association between maximum and total radiological grades of the SPs and thoracolumbar pain, between maximum and total grades of IRU and thoracolumbar pain, and between a combination of radiological and scintigraphic abnormalities and thoracolumbar pain. Horses with osteoarthritis (OA) of the synovial intervertebral articulations (SIAs) were more likely to have thoracolumbar pain than horses with lesions of the SPs alone, but the presence of OA of the SIAs and lesions of the SPs was associated with the highest likelihood of thoracolumbar pain. Conclusions and potential relevance: Fore- or hindlimb lameness and/or pain associated with the sacroiliac joints could mimic primary thoracolumbar pain. A combination of radiology and scintigraphy gives the most accurate prediction of thoracolumbar pain, but diagnostic analgesia is crucial for accurate diagnosis. © 2011 EVJ Ltd.","author":[{"dropping-particle":"","family":"Zimmerman","given":"M.","non-dropping-particle":"","parse-names":false,"suffix":""},{"dropping-particle":"","family":"Dyson","given":"S.","non-dropping-particle":"","parse-names":false,"suffix":""},{"dropping-particle":"","family":"Murray","given":"R.","non-dropping-particle":"","parse-names":false,"suffix":""}],"container-title":"Equine Veterinary Journal","id":"ITEM-2","issue":"2","issued":{"date-parts":[["2012"]]},"page":"178-184","title":"Close, impinging and overriding spinous processes in the thoracolumbar spine: The relationship between radiological and scintigraphic findings and clinical signs","type":"article-journal","volume":"44"},"uris":["http://www.mendeley.com/documents/?uuid=e83bcad9-688c-4e87-b914-8856883bec82"]}],"mendeley":{"formattedCitation":"(7,19)","plainTextFormattedCitation":"(7,19)","previouslyFormattedCitation":"(7,19)"},"properties":{"noteIndex":0},"schema":"https://github.com/citation-style-language/schema/raw/master/csl-citation.json"}</w:instrText>
      </w:r>
      <w:r w:rsidR="00332509">
        <w:rPr>
          <w:rFonts w:ascii="Times Roman" w:hAnsi="Times Roman" w:cs="Times Roman"/>
          <w:color w:val="000000" w:themeColor="text1"/>
          <w:lang w:val="en-GB"/>
        </w:rPr>
        <w:fldChar w:fldCharType="separate"/>
      </w:r>
      <w:r w:rsidR="009F0CC5" w:rsidRPr="009F0CC5">
        <w:rPr>
          <w:rFonts w:ascii="Times Roman" w:hAnsi="Times Roman" w:cs="Times Roman"/>
          <w:noProof/>
          <w:color w:val="000000" w:themeColor="text1"/>
          <w:lang w:val="en-GB"/>
        </w:rPr>
        <w:t>(7,19)</w:t>
      </w:r>
      <w:r w:rsidR="00332509">
        <w:rPr>
          <w:rFonts w:ascii="Times Roman" w:hAnsi="Times Roman" w:cs="Times Roman"/>
          <w:color w:val="000000" w:themeColor="text1"/>
          <w:lang w:val="en-GB"/>
        </w:rPr>
        <w:fldChar w:fldCharType="end"/>
      </w:r>
      <w:r w:rsidR="00C71D6C" w:rsidRPr="00105869">
        <w:rPr>
          <w:rFonts w:ascii="Times Roman" w:hAnsi="Times Roman" w:cs="Times Roman"/>
          <w:color w:val="000000" w:themeColor="text1"/>
          <w:lang w:val="en-GB"/>
        </w:rPr>
        <w:t xml:space="preserve"> </w:t>
      </w:r>
      <w:r w:rsidR="00C00648">
        <w:rPr>
          <w:rFonts w:ascii="Times Roman" w:hAnsi="Times Roman" w:cs="Times Roman"/>
          <w:color w:val="000000" w:themeColor="text1"/>
          <w:lang w:val="en-GB"/>
        </w:rPr>
        <w:t>The latter</w:t>
      </w:r>
      <w:r w:rsidR="00C00648" w:rsidRPr="00105869">
        <w:rPr>
          <w:rFonts w:ascii="Times Roman" w:hAnsi="Times Roman" w:cs="Times Roman"/>
          <w:color w:val="000000" w:themeColor="text1"/>
          <w:lang w:val="en-GB"/>
        </w:rPr>
        <w:t xml:space="preserve"> </w:t>
      </w:r>
      <w:r w:rsidR="00FF331F" w:rsidRPr="00105869">
        <w:rPr>
          <w:rFonts w:ascii="Times Roman" w:hAnsi="Times Roman" w:cs="Times Roman"/>
          <w:color w:val="000000" w:themeColor="text1"/>
          <w:lang w:val="en-GB"/>
        </w:rPr>
        <w:t>involved the combination of cranial and caudal radiographic alternations involving width and intensity</w:t>
      </w:r>
      <w:r w:rsidR="00F55B76">
        <w:rPr>
          <w:rFonts w:ascii="Times Roman" w:hAnsi="Times Roman" w:cs="Times Roman"/>
          <w:color w:val="000000" w:themeColor="text1"/>
          <w:lang w:val="en-GB"/>
        </w:rPr>
        <w:t xml:space="preserve"> of </w:t>
      </w:r>
      <w:r w:rsidR="00F55B76" w:rsidRPr="00105869">
        <w:rPr>
          <w:rFonts w:ascii="Times Roman" w:hAnsi="Times Roman" w:cs="Times Roman"/>
          <w:color w:val="000000" w:themeColor="text1"/>
          <w:lang w:val="en-GB"/>
        </w:rPr>
        <w:t>radiopacities</w:t>
      </w:r>
      <w:r w:rsidR="00FF331F" w:rsidRPr="00105869">
        <w:rPr>
          <w:rFonts w:ascii="Times Roman" w:hAnsi="Times Roman" w:cs="Times Roman"/>
          <w:color w:val="000000" w:themeColor="text1"/>
          <w:lang w:val="en-GB"/>
        </w:rPr>
        <w:t xml:space="preserve">, modelling craniodorsally and </w:t>
      </w:r>
      <w:proofErr w:type="spellStart"/>
      <w:r w:rsidR="00FF331F" w:rsidRPr="00105869">
        <w:rPr>
          <w:rFonts w:ascii="Times Roman" w:hAnsi="Times Roman" w:cs="Times Roman"/>
          <w:color w:val="000000" w:themeColor="text1"/>
          <w:lang w:val="en-GB"/>
        </w:rPr>
        <w:t>caudodorsally</w:t>
      </w:r>
      <w:proofErr w:type="spellEnd"/>
      <w:r w:rsidR="00FF331F" w:rsidRPr="00105869">
        <w:rPr>
          <w:rFonts w:ascii="Times Roman" w:hAnsi="Times Roman" w:cs="Times Roman"/>
          <w:color w:val="000000" w:themeColor="text1"/>
          <w:lang w:val="en-GB"/>
        </w:rPr>
        <w:t xml:space="preserve"> and the presence of osseous cyst like lesions per SP. </w:t>
      </w:r>
      <w:bookmarkStart w:id="8" w:name="OLE_LINK13"/>
      <w:bookmarkStart w:id="9" w:name="OLE_LINK14"/>
      <w:r w:rsidR="00C17A5B" w:rsidRPr="00105869">
        <w:rPr>
          <w:rFonts w:ascii="Times Roman" w:hAnsi="Times Roman" w:cs="Times Roman"/>
          <w:color w:val="000000"/>
          <w:lang w:val="en-GB"/>
        </w:rPr>
        <w:t xml:space="preserve">The Spearman correlation coefficients and the Kappa weighted calculations were considered excellent when greater than 0.8, good when between 0.6 and 0.8, moderate when between 0.4 and 0.6, fair </w:t>
      </w:r>
      <w:r w:rsidR="000B39F8">
        <w:rPr>
          <w:rFonts w:ascii="Times Roman" w:hAnsi="Times Roman" w:cs="Times Roman"/>
          <w:color w:val="000000"/>
          <w:lang w:val="en-GB"/>
        </w:rPr>
        <w:t>when between</w:t>
      </w:r>
      <w:r w:rsidR="00C17A5B" w:rsidRPr="00105869">
        <w:rPr>
          <w:rFonts w:ascii="Times Roman" w:hAnsi="Times Roman" w:cs="Times Roman"/>
          <w:color w:val="000000"/>
          <w:lang w:val="en-GB"/>
        </w:rPr>
        <w:t xml:space="preserve"> 0.2-0.4</w:t>
      </w:r>
      <w:r w:rsidR="000B39F8">
        <w:rPr>
          <w:rFonts w:ascii="Times Roman" w:hAnsi="Times Roman" w:cs="Times Roman"/>
          <w:color w:val="000000"/>
          <w:lang w:val="en-GB"/>
        </w:rPr>
        <w:t xml:space="preserve"> and </w:t>
      </w:r>
      <w:r w:rsidR="000B39F8" w:rsidRPr="00105869">
        <w:rPr>
          <w:rFonts w:ascii="Times Roman" w:hAnsi="Times Roman" w:cs="Times Roman"/>
          <w:color w:val="000000"/>
          <w:lang w:val="en-GB"/>
        </w:rPr>
        <w:t>poor when less than 0.</w:t>
      </w:r>
      <w:r w:rsidR="000B39F8">
        <w:rPr>
          <w:rFonts w:ascii="Times Roman" w:hAnsi="Times Roman" w:cs="Times Roman"/>
          <w:color w:val="000000"/>
          <w:lang w:val="en-GB"/>
        </w:rPr>
        <w:t>2</w:t>
      </w:r>
      <w:r w:rsidR="00C17A5B" w:rsidRPr="00105869">
        <w:rPr>
          <w:rFonts w:ascii="Times Roman" w:hAnsi="Times Roman" w:cs="Times Roman"/>
          <w:color w:val="000000"/>
          <w:lang w:val="en-GB"/>
        </w:rPr>
        <w:t xml:space="preserve">. </w:t>
      </w:r>
      <w:r w:rsidR="00C17A5B" w:rsidRPr="00105869">
        <w:rPr>
          <w:lang w:val="en-GB"/>
        </w:rPr>
        <w:t xml:space="preserve">Values of </w:t>
      </w:r>
      <w:r w:rsidR="00C17A5B" w:rsidRPr="00105869">
        <w:rPr>
          <w:i/>
          <w:iCs/>
          <w:lang w:val="en-GB"/>
        </w:rPr>
        <w:t>P </w:t>
      </w:r>
      <w:r w:rsidR="00C17A5B" w:rsidRPr="00105869">
        <w:rPr>
          <w:lang w:val="en-GB"/>
        </w:rPr>
        <w:t xml:space="preserve">&lt; 0.05 were considered statistically significant. </w:t>
      </w:r>
      <w:bookmarkEnd w:id="8"/>
      <w:bookmarkEnd w:id="9"/>
      <w:r w:rsidR="00F12FF8">
        <w:rPr>
          <w:rFonts w:ascii="Times Roman" w:hAnsi="Times Roman" w:cs="Times Roman"/>
          <w:color w:val="000000" w:themeColor="text1"/>
          <w:lang w:val="en-GB"/>
        </w:rPr>
        <w:fldChar w:fldCharType="begin" w:fldLock="1"/>
      </w:r>
      <w:r w:rsidR="00B56CA6">
        <w:rPr>
          <w:rFonts w:ascii="Times Roman" w:hAnsi="Times Roman" w:cs="Times Roman"/>
          <w:color w:val="000000" w:themeColor="text1"/>
          <w:lang w:val="en-GB"/>
        </w:rPr>
        <w:instrText>ADDIN CSL_CITATION {"citationItems":[{"id":"ITEM-1","itemData":{"abstract":"The kappa statistic is frequently used to test interrater reliability. The importance of rater reliability lies in the fact that it represents the extent to which the data collected in the study are correct representations of the variables measured. Measurement of the extent to which data collectors (ra- ters) assign the same score to the same variable is called interrater reliability. While there have been a variety of methods to measure interrater re- liability, traditionally it was measured as percent agreement, calculated as the number of agreement scores divided by the total number of scores. In 1960, Jacob Cohen critiqued use of percent agreement due to its inability to account for chance agreement. He introduced the Cohen’s kappa, deve- loped to account for the possibility that raters actually guess on at least some variables due to uncertainty. Like most correlation statistics, the kappa can range from -1 to +1. While the kappa is one of the most commonly used statistics to test interrater reliability, it has limitations. Judgments about what level of kappa should be acceptable for health research are questioned. Cohen’s suggested interpretation may be too lenient for health related studies because it implies that a score as low as 0.41 might be acceptable. Kappa and percent agreement are compared, and levels for both kappa","author":[{"dropping-particle":"","family":"McHugh","given":"Mary L","non-dropping-particle":"","parse-names":false,"suffix":""}],"container-title":"Biochemica Medica","id":"ITEM-1","issue":"3","issued":{"date-parts":[["2012"]]},"page":"276-282","title":"Lessons in biostatistics interrater reliability : the kappa statistic","type":"article-journal","volume":"22"},"uris":["http://www.mendeley.com/documents/?uuid=da45363d-f061-41e3-9aca-424c6d08f4a3"]},{"id":"ITEM-2","itemData":{"DOI":"10.1213/ANE.0000000000002864","ISBN":"0000000000","ISSN":"15267598","PMID":"29481436","abstract":"Correlation in the broadest sense is a measure of an association between variables. In correlated data, the change in the magnitude of 1 variable is associated with a change in the magnitude of another variable, either in the same (positive correlation) or in the opposite (negative correlation) direction. Most often, the term correlation is used in the context of a linear relationship between 2 continuous variables and expressed as Pearson product-moment correlation. The Pearson correlation coefficient is typically used for jointly normally distributed data (data that follow a bivariate normal distribution). For nonnormally distributed continuous data, for ordinal data, or for data with relevant outliers, a Spearman rank correlation can be used as a measure of a monotonic association. Both correlation coefficients are scaled such that they range from –1 to +1, where 0 indicates that there is no linear or monotonic association, and the relationship gets stronger and ultimately approaches a straight line (Pearson correlation) or a constantly increasing or decreasing curve (Spearman correlation) as the coefficient approaches an absolute value of 1. Hypothesis tests and confidence intervals can be used to address the statistical significance of the results and to estimate the strength of the relationship in the population from which the data were sampled. The aim of this tutorial is to guide researchers and clinicians in the appropriate use and interpretation of correlation coefficients. (Anesth Analg 2018;126:1763–8.","author":[{"dropping-particle":"","family":"Schober","given":"Patrick","non-dropping-particle":"","parse-names":false,"suffix":""},{"dropping-particle":"","family":"Schwarte","given":"Lothar A.","non-dropping-particle":"","parse-names":false,"suffix":""}],"container-title":"Anesthesia and Analgesia","id":"ITEM-2","issue":"5","issued":{"date-parts":[["2018"]]},"page":"1763-1768","title":"Correlation coefficients: Appropriate use and interpretation","type":"article-journal","volume":"126"},"uris":["http://www.mendeley.com/documents/?uuid=4cc17053-49f2-4091-9f9c-2843fb637bc7"]},{"id":"ITEM-3","itemData":{"DOI":"10.1016/j.tjem.2018.08.001","ISSN":"24522473","abstract":"When writing a manuscript, we often use words such as perfect, strong, good or weak to name the strength of the relationship between variables. However, it is unclear where a good relationship turns into a strong one. The same strength of r is named differently by several researchers. Therefore, there is an absolute necessity to explicitly report the strength and direction of r while reporting correlation coefficients in manuscripts. This article aims to familiarize medical readers with several different correlation coefficients reported in medical manuscripts, clarify confounding aspects and summarize the naming practices for the strength of correlation coefficients.","author":[{"dropping-particle":"","family":"Akoglu","given":"Haldun","non-dropping-particle":"","parse-names":false,"suffix":""}],"container-title":"Turkish Journal of Emergency Medicine","id":"ITEM-3","issue":"3","issued":{"date-parts":[["2018"]]},"page":"91-93","title":"User's guide to correlation coefficients","type":"article-journal","volume":"18"},"uris":["http://www.mendeley.com/documents/?uuid=40493174-4917-4c73-a76f-2c0d5a34d5e6"]}],"mendeley":{"formattedCitation":"(22–24)","plainTextFormattedCitation":"(22–24)","previouslyFormattedCitation":"(22–24)"},"properties":{"noteIndex":0},"schema":"https://github.com/citation-style-language/schema/raw/master/csl-citation.json"}</w:instrText>
      </w:r>
      <w:r w:rsidR="00F12FF8">
        <w:rPr>
          <w:rFonts w:ascii="Times Roman" w:hAnsi="Times Roman" w:cs="Times Roman"/>
          <w:color w:val="000000" w:themeColor="text1"/>
          <w:lang w:val="en-GB"/>
        </w:rPr>
        <w:fldChar w:fldCharType="separate"/>
      </w:r>
      <w:r w:rsidR="009F0CC5" w:rsidRPr="009F0CC5">
        <w:rPr>
          <w:rFonts w:ascii="Times Roman" w:hAnsi="Times Roman" w:cs="Times Roman"/>
          <w:noProof/>
          <w:color w:val="000000" w:themeColor="text1"/>
          <w:lang w:val="en-GB"/>
        </w:rPr>
        <w:t>(22–24)</w:t>
      </w:r>
      <w:r w:rsidR="00F12FF8">
        <w:rPr>
          <w:rFonts w:ascii="Times Roman" w:hAnsi="Times Roman" w:cs="Times Roman"/>
          <w:color w:val="000000" w:themeColor="text1"/>
          <w:lang w:val="en-GB"/>
        </w:rPr>
        <w:fldChar w:fldCharType="end"/>
      </w:r>
    </w:p>
    <w:p w14:paraId="63B74882" w14:textId="77777777" w:rsidR="00921183" w:rsidRPr="00105869" w:rsidRDefault="00921183" w:rsidP="00921183">
      <w:pPr>
        <w:pStyle w:val="NoSpacing"/>
        <w:spacing w:line="480" w:lineRule="auto"/>
        <w:rPr>
          <w:lang w:val="en-GB"/>
        </w:rPr>
      </w:pPr>
    </w:p>
    <w:p w14:paraId="71F706A6" w14:textId="696EC0EC" w:rsidR="0076407A" w:rsidRPr="00105869" w:rsidRDefault="00C00648" w:rsidP="00921183">
      <w:pPr>
        <w:pStyle w:val="NoSpacing"/>
        <w:spacing w:line="480" w:lineRule="auto"/>
        <w:rPr>
          <w:lang w:val="en-GB"/>
        </w:rPr>
      </w:pPr>
      <w:r>
        <w:rPr>
          <w:lang w:val="en-GB"/>
        </w:rPr>
        <w:t>Finally,</w:t>
      </w:r>
      <w:r w:rsidRPr="00105869">
        <w:rPr>
          <w:lang w:val="en-GB"/>
        </w:rPr>
        <w:t xml:space="preserve"> </w:t>
      </w:r>
      <w:r w:rsidR="0076407A" w:rsidRPr="00105869">
        <w:rPr>
          <w:lang w:val="en-GB"/>
        </w:rPr>
        <w:t xml:space="preserve">inter-observer agreement for all observers, involving </w:t>
      </w:r>
      <w:r w:rsidR="00D31825">
        <w:rPr>
          <w:lang w:val="en-GB"/>
        </w:rPr>
        <w:t>the</w:t>
      </w:r>
      <w:r w:rsidR="0076407A" w:rsidRPr="00105869">
        <w:rPr>
          <w:lang w:val="en-GB"/>
        </w:rPr>
        <w:t xml:space="preserve"> less experienced equine clinician, were evaluated using Fleiss’ Kappa (</w:t>
      </w:r>
      <w:proofErr w:type="spellStart"/>
      <w:r w:rsidR="0076407A" w:rsidRPr="00105869">
        <w:rPr>
          <w:lang w:val="en-GB"/>
        </w:rPr>
        <w:t>F</w:t>
      </w:r>
      <w:r w:rsidR="0076407A" w:rsidRPr="00105869">
        <w:rPr>
          <w:vertAlign w:val="subscript"/>
          <w:lang w:val="en-GB"/>
        </w:rPr>
        <w:t>k</w:t>
      </w:r>
      <w:proofErr w:type="spellEnd"/>
      <w:r w:rsidR="0076407A" w:rsidRPr="00105869">
        <w:rPr>
          <w:lang w:val="en-GB"/>
        </w:rPr>
        <w:t>).</w:t>
      </w:r>
      <w:r w:rsidR="00184890" w:rsidRPr="00105869">
        <w:rPr>
          <w:lang w:val="en-GB"/>
        </w:rPr>
        <w:t xml:space="preserve"> </w:t>
      </w:r>
      <w:r w:rsidR="00184890" w:rsidRPr="00105869">
        <w:rPr>
          <w:rFonts w:ascii="Times Roman" w:hAnsi="Times Roman" w:cs="Times Roman"/>
          <w:color w:val="000000"/>
          <w:lang w:val="en-GB"/>
        </w:rPr>
        <w:t xml:space="preserve">Results of the predetermined multiple grade scoring system (Table 1) as well as the </w:t>
      </w:r>
      <w:r>
        <w:rPr>
          <w:rFonts w:ascii="Times Roman" w:hAnsi="Times Roman" w:cs="Times Roman"/>
          <w:color w:val="000000"/>
          <w:lang w:val="en-GB"/>
        </w:rPr>
        <w:t xml:space="preserve">two-grade grading system for </w:t>
      </w:r>
      <w:r w:rsidR="00184890" w:rsidRPr="00105869">
        <w:rPr>
          <w:rFonts w:ascii="Times Roman" w:hAnsi="Times Roman" w:cs="Times Roman"/>
          <w:color w:val="000000"/>
          <w:lang w:val="en-GB"/>
        </w:rPr>
        <w:t xml:space="preserve">presence or absence of radiographic alterations were compared as described similarly by the Kappa weighted calculations. </w:t>
      </w:r>
    </w:p>
    <w:p w14:paraId="65A381C7" w14:textId="77777777" w:rsidR="00921183" w:rsidRPr="00105869" w:rsidRDefault="00921183" w:rsidP="00105869">
      <w:pPr>
        <w:pStyle w:val="NoSpacing"/>
        <w:spacing w:line="480" w:lineRule="auto"/>
        <w:rPr>
          <w:lang w:val="en-GB"/>
        </w:rPr>
      </w:pPr>
    </w:p>
    <w:p w14:paraId="4174A162" w14:textId="29ECE3C1" w:rsidR="00337C6B" w:rsidRDefault="005B4A5A">
      <w:pPr>
        <w:spacing w:line="480" w:lineRule="auto"/>
        <w:rPr>
          <w:b/>
          <w:bCs/>
          <w:lang w:val="en-GB"/>
        </w:rPr>
      </w:pPr>
      <w:r>
        <w:rPr>
          <w:b/>
          <w:bCs/>
          <w:lang w:val="en-GB"/>
        </w:rPr>
        <w:t>RESULTS</w:t>
      </w:r>
    </w:p>
    <w:p w14:paraId="0C634F42" w14:textId="340AE71C" w:rsidR="005B4A5A" w:rsidRPr="00105869" w:rsidRDefault="005B4A5A">
      <w:pPr>
        <w:spacing w:line="480" w:lineRule="auto"/>
        <w:rPr>
          <w:b/>
          <w:bCs/>
          <w:lang w:val="en-GB"/>
        </w:rPr>
      </w:pPr>
      <w:r>
        <w:rPr>
          <w:b/>
          <w:bCs/>
          <w:lang w:val="en-GB"/>
        </w:rPr>
        <w:t>Signalment</w:t>
      </w:r>
    </w:p>
    <w:p w14:paraId="0712009F" w14:textId="622AD040" w:rsidR="0074160A" w:rsidRDefault="00825F97">
      <w:pPr>
        <w:spacing w:line="480" w:lineRule="auto"/>
        <w:rPr>
          <w:lang w:val="en-GB"/>
        </w:rPr>
      </w:pPr>
      <w:bookmarkStart w:id="10" w:name="OLE_LINK9"/>
      <w:bookmarkStart w:id="11" w:name="OLE_LINK10"/>
      <w:r w:rsidRPr="00105869">
        <w:rPr>
          <w:lang w:val="en-GB"/>
        </w:rPr>
        <w:t xml:space="preserve">The study </w:t>
      </w:r>
      <w:r w:rsidR="004E2B1D" w:rsidRPr="00105869">
        <w:rPr>
          <w:lang w:val="en-GB"/>
        </w:rPr>
        <w:t xml:space="preserve">population </w:t>
      </w:r>
      <w:r w:rsidR="00C71D6C" w:rsidRPr="00105869">
        <w:rPr>
          <w:lang w:val="en-GB"/>
        </w:rPr>
        <w:t>comprised</w:t>
      </w:r>
      <w:r w:rsidR="004E2B1D" w:rsidRPr="00105869">
        <w:rPr>
          <w:lang w:val="en-GB"/>
        </w:rPr>
        <w:t xml:space="preserve"> of</w:t>
      </w:r>
      <w:r w:rsidR="00183C82">
        <w:rPr>
          <w:lang w:val="en-GB"/>
        </w:rPr>
        <w:t xml:space="preserve"> </w:t>
      </w:r>
      <w:r w:rsidR="003861F5">
        <w:rPr>
          <w:lang w:val="en-GB"/>
        </w:rPr>
        <w:t xml:space="preserve">98 </w:t>
      </w:r>
      <w:r w:rsidR="004E2B1D" w:rsidRPr="00105869">
        <w:rPr>
          <w:lang w:val="en-GB"/>
        </w:rPr>
        <w:t xml:space="preserve">warmblood horses </w:t>
      </w:r>
      <w:r w:rsidR="003861F5">
        <w:rPr>
          <w:lang w:val="en-GB"/>
        </w:rPr>
        <w:t xml:space="preserve">involving Dutch (85), German (9), Danish (2) and Belgian warmbloods (2) and 2 welsh ponies. Their </w:t>
      </w:r>
      <w:r w:rsidR="004E2B1D" w:rsidRPr="00105869">
        <w:rPr>
          <w:lang w:val="en-GB"/>
        </w:rPr>
        <w:t>age range</w:t>
      </w:r>
      <w:r w:rsidR="003861F5">
        <w:rPr>
          <w:lang w:val="en-GB"/>
        </w:rPr>
        <w:t>d from</w:t>
      </w:r>
      <w:r w:rsidR="004E2B1D" w:rsidRPr="00105869">
        <w:rPr>
          <w:lang w:val="en-GB"/>
        </w:rPr>
        <w:t xml:space="preserve"> two to 14 years</w:t>
      </w:r>
      <w:r w:rsidR="003861F5">
        <w:rPr>
          <w:lang w:val="en-GB"/>
        </w:rPr>
        <w:t xml:space="preserve"> (</w:t>
      </w:r>
      <w:r w:rsidR="004E2B1D" w:rsidRPr="00105869">
        <w:rPr>
          <w:lang w:val="en-GB"/>
        </w:rPr>
        <w:t>mean: 5.17 years</w:t>
      </w:r>
      <w:r w:rsidR="003861F5">
        <w:rPr>
          <w:lang w:val="en-GB"/>
        </w:rPr>
        <w:t>) and the study involved</w:t>
      </w:r>
      <w:r w:rsidR="004E2B1D" w:rsidRPr="00105869">
        <w:rPr>
          <w:lang w:val="en-GB"/>
        </w:rPr>
        <w:t xml:space="preserve"> 2</w:t>
      </w:r>
      <w:r w:rsidRPr="00105869">
        <w:rPr>
          <w:lang w:val="en-GB"/>
        </w:rPr>
        <w:t>5 mares, 23 stallions and 52 geldings</w:t>
      </w:r>
      <w:r w:rsidR="003861F5">
        <w:rPr>
          <w:lang w:val="en-GB"/>
        </w:rPr>
        <w:t>.</w:t>
      </w:r>
      <w:r w:rsidRPr="00105869">
        <w:rPr>
          <w:lang w:val="en-GB"/>
        </w:rPr>
        <w:t xml:space="preserve"> </w:t>
      </w:r>
      <w:bookmarkEnd w:id="10"/>
      <w:bookmarkEnd w:id="11"/>
      <w:r w:rsidRPr="00105869">
        <w:rPr>
          <w:lang w:val="en-GB"/>
        </w:rPr>
        <w:t>All horses were sport</w:t>
      </w:r>
      <w:r w:rsidR="00C00648">
        <w:rPr>
          <w:lang w:val="en-GB"/>
        </w:rPr>
        <w:t xml:space="preserve"> </w:t>
      </w:r>
      <w:r w:rsidRPr="00105869">
        <w:rPr>
          <w:lang w:val="en-GB"/>
        </w:rPr>
        <w:t>horse</w:t>
      </w:r>
      <w:r w:rsidR="004E2B1D" w:rsidRPr="00105869">
        <w:rPr>
          <w:lang w:val="en-GB"/>
        </w:rPr>
        <w:t>s</w:t>
      </w:r>
      <w:r w:rsidRPr="00105869">
        <w:rPr>
          <w:lang w:val="en-GB"/>
        </w:rPr>
        <w:t xml:space="preserve"> used for dressage, show jumping or all-round purposes. </w:t>
      </w:r>
      <w:r w:rsidR="003861F5">
        <w:rPr>
          <w:lang w:val="en-GB"/>
        </w:rPr>
        <w:t xml:space="preserve">The height of all horses </w:t>
      </w:r>
      <w:r w:rsidR="002E7A41">
        <w:rPr>
          <w:lang w:val="en-GB"/>
        </w:rPr>
        <w:t>rang</w:t>
      </w:r>
      <w:r w:rsidR="00DF0A04">
        <w:rPr>
          <w:lang w:val="en-GB"/>
        </w:rPr>
        <w:t xml:space="preserve">ed </w:t>
      </w:r>
      <w:r w:rsidR="002E7A41">
        <w:rPr>
          <w:lang w:val="en-GB"/>
        </w:rPr>
        <w:t>from 145 to 187</w:t>
      </w:r>
      <w:r w:rsidR="003861F5">
        <w:rPr>
          <w:lang w:val="en-GB"/>
        </w:rPr>
        <w:t xml:space="preserve"> </w:t>
      </w:r>
      <w:r w:rsidR="002E7A41">
        <w:rPr>
          <w:lang w:val="en-GB"/>
        </w:rPr>
        <w:t>centimetres</w:t>
      </w:r>
      <w:r w:rsidR="003861F5">
        <w:rPr>
          <w:lang w:val="en-GB"/>
        </w:rPr>
        <w:t xml:space="preserve"> </w:t>
      </w:r>
      <w:r w:rsidR="002E7A41">
        <w:rPr>
          <w:lang w:val="en-GB"/>
        </w:rPr>
        <w:t xml:space="preserve">measured at the highest point of the withers </w:t>
      </w:r>
      <w:r w:rsidR="003861F5">
        <w:rPr>
          <w:lang w:val="en-GB"/>
        </w:rPr>
        <w:t>(mean: 169</w:t>
      </w:r>
      <w:r w:rsidR="002E7A41">
        <w:rPr>
          <w:lang w:val="en-GB"/>
        </w:rPr>
        <w:t xml:space="preserve"> centimetres</w:t>
      </w:r>
      <w:r w:rsidR="003861F5">
        <w:rPr>
          <w:lang w:val="en-GB"/>
        </w:rPr>
        <w:t xml:space="preserve">).  </w:t>
      </w:r>
      <w:r w:rsidR="00D00698">
        <w:rPr>
          <w:lang w:val="en-GB"/>
        </w:rPr>
        <w:t xml:space="preserve">Overall, 1596 SPs </w:t>
      </w:r>
      <w:r w:rsidR="00F12FF8">
        <w:rPr>
          <w:lang w:val="en-GB"/>
        </w:rPr>
        <w:t>were</w:t>
      </w:r>
      <w:r w:rsidR="00D00698">
        <w:rPr>
          <w:lang w:val="en-GB"/>
        </w:rPr>
        <w:t xml:space="preserve"> evaluated and individually graded separately</w:t>
      </w:r>
      <w:r w:rsidR="00183C82">
        <w:rPr>
          <w:lang w:val="en-GB"/>
        </w:rPr>
        <w:t xml:space="preserve">. </w:t>
      </w:r>
      <w:r w:rsidR="00D00698">
        <w:rPr>
          <w:lang w:val="en-GB"/>
        </w:rPr>
        <w:t xml:space="preserve">A mean of </w:t>
      </w:r>
      <w:r w:rsidR="00C00B5F">
        <w:rPr>
          <w:lang w:val="en-GB"/>
        </w:rPr>
        <w:t xml:space="preserve">15 </w:t>
      </w:r>
      <w:r w:rsidR="00D00698">
        <w:rPr>
          <w:lang w:val="en-GB"/>
        </w:rPr>
        <w:t>SP were graded per back</w:t>
      </w:r>
      <w:r w:rsidR="00260EFF">
        <w:rPr>
          <w:lang w:val="en-GB"/>
        </w:rPr>
        <w:t xml:space="preserve"> which ranged from the most </w:t>
      </w:r>
      <w:r w:rsidR="00D00698">
        <w:rPr>
          <w:lang w:val="en-GB"/>
        </w:rPr>
        <w:t>cranial</w:t>
      </w:r>
      <w:r w:rsidR="00260EFF">
        <w:rPr>
          <w:lang w:val="en-GB"/>
        </w:rPr>
        <w:t xml:space="preserve"> SP</w:t>
      </w:r>
      <w:r w:rsidR="00D00698">
        <w:rPr>
          <w:lang w:val="en-GB"/>
        </w:rPr>
        <w:t xml:space="preserve"> </w:t>
      </w:r>
      <w:r w:rsidR="00D00698">
        <w:rPr>
          <w:lang w:val="en-GB"/>
        </w:rPr>
        <w:lastRenderedPageBreak/>
        <w:t xml:space="preserve">being </w:t>
      </w:r>
      <w:r w:rsidR="00260EFF">
        <w:rPr>
          <w:lang w:val="en-GB"/>
        </w:rPr>
        <w:t xml:space="preserve">T5 </w:t>
      </w:r>
      <w:r w:rsidR="00D00698">
        <w:rPr>
          <w:lang w:val="en-GB"/>
        </w:rPr>
        <w:t>and the most caudal</w:t>
      </w:r>
      <w:r w:rsidR="00260EFF">
        <w:rPr>
          <w:lang w:val="en-GB"/>
        </w:rPr>
        <w:t xml:space="preserve"> SP of L6. In all horses at least the SP of T7 to L1 were included</w:t>
      </w:r>
      <w:r w:rsidR="00C00B5F">
        <w:rPr>
          <w:lang w:val="en-GB"/>
        </w:rPr>
        <w:t xml:space="preserve"> in the radiographic study</w:t>
      </w:r>
      <w:r w:rsidR="00260EFF">
        <w:rPr>
          <w:lang w:val="en-GB"/>
        </w:rPr>
        <w:t xml:space="preserve">. </w:t>
      </w:r>
    </w:p>
    <w:p w14:paraId="59A0933C" w14:textId="780FF2AE" w:rsidR="0074160A" w:rsidRDefault="0074160A">
      <w:pPr>
        <w:spacing w:line="480" w:lineRule="auto"/>
        <w:rPr>
          <w:lang w:val="en-GB"/>
        </w:rPr>
      </w:pPr>
    </w:p>
    <w:p w14:paraId="16DDF061" w14:textId="3EC11910" w:rsidR="0074160A" w:rsidRPr="00015974" w:rsidRDefault="0074160A">
      <w:pPr>
        <w:spacing w:line="480" w:lineRule="auto"/>
        <w:rPr>
          <w:b/>
          <w:bCs/>
          <w:lang w:val="en-GB"/>
        </w:rPr>
      </w:pPr>
      <w:r w:rsidRPr="00015974">
        <w:rPr>
          <w:b/>
          <w:bCs/>
          <w:lang w:val="en-GB"/>
        </w:rPr>
        <w:t>Graded radiographic abnormalities</w:t>
      </w:r>
    </w:p>
    <w:p w14:paraId="7FE3568C" w14:textId="0179DA7B" w:rsidR="000134C0" w:rsidRDefault="00260EFF">
      <w:pPr>
        <w:spacing w:line="480" w:lineRule="auto"/>
        <w:rPr>
          <w:lang w:val="en-GB"/>
        </w:rPr>
      </w:pPr>
      <w:r>
        <w:rPr>
          <w:lang w:val="en-GB"/>
        </w:rPr>
        <w:t xml:space="preserve">Most common </w:t>
      </w:r>
      <w:r w:rsidR="004C0607">
        <w:rPr>
          <w:lang w:val="en-GB"/>
        </w:rPr>
        <w:t>structural changes</w:t>
      </w:r>
      <w:r>
        <w:rPr>
          <w:lang w:val="en-GB"/>
        </w:rPr>
        <w:t xml:space="preserve"> wer</w:t>
      </w:r>
      <w:r w:rsidR="004C0607">
        <w:rPr>
          <w:lang w:val="en-GB"/>
        </w:rPr>
        <w:t>e graded in the range of grade 0, I and II.</w:t>
      </w:r>
      <w:r>
        <w:rPr>
          <w:lang w:val="en-GB"/>
        </w:rPr>
        <w:t xml:space="preserve"> </w:t>
      </w:r>
      <w:r w:rsidR="000134C0">
        <w:rPr>
          <w:lang w:val="en-GB"/>
        </w:rPr>
        <w:t>Changes involving the highest grades (grade III, IV or V) involved the minority of the finding</w:t>
      </w:r>
      <w:r w:rsidR="00015974">
        <w:rPr>
          <w:lang w:val="en-GB"/>
        </w:rPr>
        <w:t>s</w:t>
      </w:r>
      <w:r w:rsidR="000134C0">
        <w:rPr>
          <w:lang w:val="en-GB"/>
        </w:rPr>
        <w:t xml:space="preserve"> in ISW, </w:t>
      </w:r>
      <w:proofErr w:type="spellStart"/>
      <w:r w:rsidR="000134C0">
        <w:rPr>
          <w:lang w:val="en-GB"/>
        </w:rPr>
        <w:t>radiolucencies</w:t>
      </w:r>
      <w:proofErr w:type="spellEnd"/>
      <w:r w:rsidR="000134C0">
        <w:rPr>
          <w:lang w:val="en-GB"/>
        </w:rPr>
        <w:t xml:space="preserve">, osseous cyst like lesions and modelling along the cranial and caudal margins of </w:t>
      </w:r>
      <w:r w:rsidR="002F15F8">
        <w:rPr>
          <w:lang w:val="en-GB"/>
        </w:rPr>
        <w:t xml:space="preserve">the </w:t>
      </w:r>
      <w:r w:rsidR="000134C0">
        <w:rPr>
          <w:lang w:val="en-GB"/>
        </w:rPr>
        <w:t>SP. More commonly</w:t>
      </w:r>
      <w:r w:rsidR="00015974">
        <w:rPr>
          <w:lang w:val="en-GB"/>
        </w:rPr>
        <w:t xml:space="preserve"> higher graded</w:t>
      </w:r>
      <w:r w:rsidR="000134C0">
        <w:rPr>
          <w:lang w:val="en-GB"/>
        </w:rPr>
        <w:t xml:space="preserve"> abnormalities were </w:t>
      </w:r>
      <w:r w:rsidR="002F15F8">
        <w:rPr>
          <w:lang w:val="en-GB"/>
        </w:rPr>
        <w:t>f</w:t>
      </w:r>
      <w:r w:rsidR="000134C0">
        <w:rPr>
          <w:lang w:val="en-GB"/>
        </w:rPr>
        <w:t xml:space="preserve">ound in structural changes of the dorsal margin as well as </w:t>
      </w:r>
      <w:r w:rsidR="002F15F8">
        <w:rPr>
          <w:lang w:val="en-GB"/>
        </w:rPr>
        <w:t>radiopacities</w:t>
      </w:r>
      <w:r w:rsidR="000134C0">
        <w:rPr>
          <w:lang w:val="en-GB"/>
        </w:rPr>
        <w:t xml:space="preserve"> along the cranial and caudal margin. </w:t>
      </w:r>
      <w:r w:rsidR="00025E6B">
        <w:rPr>
          <w:lang w:val="en-GB"/>
        </w:rPr>
        <w:t xml:space="preserve">Grade V modelling was not present </w:t>
      </w:r>
      <w:r w:rsidR="004D78AB">
        <w:rPr>
          <w:lang w:val="en-GB"/>
        </w:rPr>
        <w:t>in</w:t>
      </w:r>
      <w:r w:rsidR="00025E6B">
        <w:rPr>
          <w:lang w:val="en-GB"/>
        </w:rPr>
        <w:t xml:space="preserve"> this group</w:t>
      </w:r>
      <w:r w:rsidR="000134C0">
        <w:rPr>
          <w:lang w:val="en-GB"/>
        </w:rPr>
        <w:t xml:space="preserve"> for all </w:t>
      </w:r>
      <w:r w:rsidR="00F55B76">
        <w:rPr>
          <w:lang w:val="en-GB"/>
        </w:rPr>
        <w:t xml:space="preserve">investigated </w:t>
      </w:r>
      <w:r w:rsidR="000134C0">
        <w:rPr>
          <w:lang w:val="en-GB"/>
        </w:rPr>
        <w:t>margins</w:t>
      </w:r>
      <w:r w:rsidR="004D78AB">
        <w:rPr>
          <w:lang w:val="en-GB"/>
        </w:rPr>
        <w:t xml:space="preserve">. </w:t>
      </w:r>
      <w:r w:rsidR="003501BF">
        <w:rPr>
          <w:lang w:val="en-GB"/>
        </w:rPr>
        <w:t>Osseous cyst like lesions of all grades were present in 0.63% and 2.38% of all SP for the first observer (M</w:t>
      </w:r>
      <w:r w:rsidR="00427620">
        <w:rPr>
          <w:lang w:val="en-GB"/>
        </w:rPr>
        <w:t>L</w:t>
      </w:r>
      <w:r w:rsidR="003501BF">
        <w:rPr>
          <w:lang w:val="en-GB"/>
        </w:rPr>
        <w:t xml:space="preserve">) and second observer (DB), retrospectively. </w:t>
      </w:r>
      <w:r w:rsidR="000134C0">
        <w:rPr>
          <w:lang w:val="en-GB"/>
        </w:rPr>
        <w:t xml:space="preserve">An overview of </w:t>
      </w:r>
      <w:r w:rsidR="00015974">
        <w:rPr>
          <w:lang w:val="en-GB"/>
        </w:rPr>
        <w:t>the percentages of radiographic abnormalities above grade III</w:t>
      </w:r>
      <w:r w:rsidR="000134C0">
        <w:rPr>
          <w:lang w:val="en-GB"/>
        </w:rPr>
        <w:t xml:space="preserve"> </w:t>
      </w:r>
      <w:r w:rsidR="00015974">
        <w:rPr>
          <w:lang w:val="en-GB"/>
        </w:rPr>
        <w:t>are</w:t>
      </w:r>
      <w:r w:rsidR="000134C0">
        <w:rPr>
          <w:lang w:val="en-GB"/>
        </w:rPr>
        <w:t xml:space="preserve"> shown in Table 2.</w:t>
      </w:r>
    </w:p>
    <w:p w14:paraId="66E3AABC" w14:textId="77777777" w:rsidR="000134C0" w:rsidRDefault="000134C0">
      <w:pPr>
        <w:spacing w:line="480" w:lineRule="auto"/>
        <w:rPr>
          <w:lang w:val="en-GB"/>
        </w:rPr>
      </w:pPr>
    </w:p>
    <w:p w14:paraId="0911A19A" w14:textId="6E143B74" w:rsidR="000134C0" w:rsidRPr="000B21E5" w:rsidRDefault="000134C0" w:rsidP="000134C0">
      <w:pPr>
        <w:spacing w:line="480" w:lineRule="auto"/>
      </w:pPr>
      <w:bookmarkStart w:id="12" w:name="OLE_LINK3"/>
      <w:bookmarkStart w:id="13" w:name="OLE_LINK4"/>
      <w:r w:rsidRPr="000B21E5">
        <w:t xml:space="preserve">TABLE 2: </w:t>
      </w:r>
      <w:r w:rsidR="00985A77">
        <w:t xml:space="preserve">Percentage of </w:t>
      </w:r>
      <w:r w:rsidR="00F84C03">
        <w:t xml:space="preserve">maximum </w:t>
      </w:r>
      <w:proofErr w:type="spellStart"/>
      <w:r w:rsidR="00F84C03">
        <w:t>radiographic</w:t>
      </w:r>
      <w:proofErr w:type="spellEnd"/>
      <w:r w:rsidR="00F84C03">
        <w:t xml:space="preserve"> </w:t>
      </w:r>
      <w:proofErr w:type="spellStart"/>
      <w:r w:rsidR="00F84C03">
        <w:t>grades</w:t>
      </w:r>
      <w:proofErr w:type="spellEnd"/>
      <w:r w:rsidR="00F84C03">
        <w:t xml:space="preserve"> </w:t>
      </w:r>
      <w:r w:rsidR="001F4960">
        <w:t xml:space="preserve">of </w:t>
      </w:r>
      <w:proofErr w:type="spellStart"/>
      <w:r w:rsidR="001F4960">
        <w:t>all</w:t>
      </w:r>
      <w:proofErr w:type="spellEnd"/>
      <w:r w:rsidR="001F4960">
        <w:t xml:space="preserve"> </w:t>
      </w:r>
      <w:proofErr w:type="spellStart"/>
      <w:r w:rsidR="001F4960">
        <w:t>horses</w:t>
      </w:r>
      <w:proofErr w:type="spellEnd"/>
      <w:r w:rsidR="001F4960">
        <w:t xml:space="preserve"> </w:t>
      </w:r>
      <w:proofErr w:type="spellStart"/>
      <w:r w:rsidR="001F4960">
        <w:t>calculated</w:t>
      </w:r>
      <w:proofErr w:type="spellEnd"/>
      <w:r w:rsidR="00F84C03">
        <w:t xml:space="preserve"> per </w:t>
      </w:r>
      <w:proofErr w:type="spellStart"/>
      <w:r w:rsidR="00F84C03">
        <w:t>observer</w:t>
      </w:r>
      <w:proofErr w:type="spellEnd"/>
      <w:r w:rsidR="00F84C03">
        <w:t xml:space="preserve">. These </w:t>
      </w:r>
      <w:proofErr w:type="spellStart"/>
      <w:r w:rsidR="00F84C03">
        <w:t>involved</w:t>
      </w:r>
      <w:proofErr w:type="spellEnd"/>
      <w:r w:rsidR="00F84C03">
        <w:t xml:space="preserve"> </w:t>
      </w:r>
      <w:proofErr w:type="spellStart"/>
      <w:r w:rsidR="00F84C03" w:rsidRPr="000B21E5">
        <w:t>radiographic</w:t>
      </w:r>
      <w:proofErr w:type="spellEnd"/>
      <w:r w:rsidR="00F84C03" w:rsidRPr="000B21E5">
        <w:t xml:space="preserve"> </w:t>
      </w:r>
      <w:proofErr w:type="spellStart"/>
      <w:r w:rsidR="00F84C03" w:rsidRPr="000B21E5">
        <w:t>abnormalities</w:t>
      </w:r>
      <w:proofErr w:type="spellEnd"/>
      <w:r w:rsidR="00F84C03">
        <w:t xml:space="preserve"> </w:t>
      </w:r>
      <w:proofErr w:type="spellStart"/>
      <w:r w:rsidR="00985A77">
        <w:t>with</w:t>
      </w:r>
      <w:proofErr w:type="spellEnd"/>
      <w:r w:rsidR="001F6E47">
        <w:t xml:space="preserve"> </w:t>
      </w:r>
      <w:proofErr w:type="spellStart"/>
      <w:r w:rsidR="00015974">
        <w:t>grade</w:t>
      </w:r>
      <w:proofErr w:type="spellEnd"/>
      <w:r w:rsidR="00015974">
        <w:t xml:space="preserve"> III</w:t>
      </w:r>
      <w:r w:rsidR="001F6E47">
        <w:t xml:space="preserve"> </w:t>
      </w:r>
      <w:r w:rsidR="001F4960">
        <w:t xml:space="preserve">or </w:t>
      </w:r>
      <w:proofErr w:type="spellStart"/>
      <w:r w:rsidR="001F4960">
        <w:t>higher</w:t>
      </w:r>
      <w:proofErr w:type="spellEnd"/>
      <w:r w:rsidR="00015974">
        <w:t xml:space="preserve"> </w:t>
      </w:r>
      <w:proofErr w:type="spellStart"/>
      <w:r w:rsidRPr="000B21E5">
        <w:t>for</w:t>
      </w:r>
      <w:proofErr w:type="spellEnd"/>
      <w:r w:rsidRPr="000B21E5">
        <w:t xml:space="preserve"> </w:t>
      </w:r>
      <w:proofErr w:type="spellStart"/>
      <w:r w:rsidRPr="000B21E5">
        <w:t>interspinous</w:t>
      </w:r>
      <w:proofErr w:type="spellEnd"/>
      <w:r w:rsidRPr="000B21E5">
        <w:t xml:space="preserve"> </w:t>
      </w:r>
      <w:proofErr w:type="spellStart"/>
      <w:r w:rsidRPr="000B21E5">
        <w:t>space</w:t>
      </w:r>
      <w:proofErr w:type="spellEnd"/>
      <w:r w:rsidRPr="000B21E5">
        <w:t xml:space="preserve"> </w:t>
      </w:r>
      <w:proofErr w:type="spellStart"/>
      <w:r w:rsidRPr="000B21E5">
        <w:t>width</w:t>
      </w:r>
      <w:proofErr w:type="spellEnd"/>
      <w:r w:rsidRPr="000B21E5">
        <w:t xml:space="preserve"> (ISW), </w:t>
      </w:r>
      <w:proofErr w:type="spellStart"/>
      <w:r w:rsidR="00F55B76">
        <w:t>r</w:t>
      </w:r>
      <w:r w:rsidRPr="000B21E5">
        <w:t>adiopacities</w:t>
      </w:r>
      <w:proofErr w:type="spellEnd"/>
      <w:r w:rsidRPr="000B21E5">
        <w:t xml:space="preserve"> (</w:t>
      </w:r>
      <w:proofErr w:type="spellStart"/>
      <w:r w:rsidRPr="000B21E5">
        <w:t>InOpCr+InOpCa+WidthOpCr+WidthOpCa</w:t>
      </w:r>
      <w:proofErr w:type="spellEnd"/>
      <w:r w:rsidRPr="000B21E5">
        <w:t xml:space="preserve">), </w:t>
      </w:r>
      <w:proofErr w:type="spellStart"/>
      <w:r w:rsidR="00F55B76">
        <w:t>r</w:t>
      </w:r>
      <w:r w:rsidRPr="000B21E5">
        <w:t>adiolucencies</w:t>
      </w:r>
      <w:proofErr w:type="spellEnd"/>
      <w:r w:rsidRPr="000B21E5">
        <w:t xml:space="preserve"> (</w:t>
      </w:r>
      <w:proofErr w:type="spellStart"/>
      <w:r w:rsidRPr="000B21E5">
        <w:t>LucencyCr+LucencyCa</w:t>
      </w:r>
      <w:proofErr w:type="spellEnd"/>
      <w:r w:rsidRPr="000B21E5">
        <w:t xml:space="preserve">), </w:t>
      </w:r>
      <w:proofErr w:type="spellStart"/>
      <w:r w:rsidR="00F55B76">
        <w:t>o</w:t>
      </w:r>
      <w:r w:rsidRPr="000B21E5">
        <w:t>sseous</w:t>
      </w:r>
      <w:proofErr w:type="spellEnd"/>
      <w:r w:rsidRPr="000B21E5">
        <w:t xml:space="preserve"> </w:t>
      </w:r>
      <w:proofErr w:type="spellStart"/>
      <w:r w:rsidRPr="000B21E5">
        <w:t>cyst</w:t>
      </w:r>
      <w:proofErr w:type="spellEnd"/>
      <w:r w:rsidRPr="000B21E5">
        <w:t xml:space="preserve"> like </w:t>
      </w:r>
      <w:proofErr w:type="spellStart"/>
      <w:r w:rsidRPr="000B21E5">
        <w:t>lesions</w:t>
      </w:r>
      <w:proofErr w:type="spellEnd"/>
      <w:r w:rsidRPr="000B21E5">
        <w:t xml:space="preserve"> </w:t>
      </w:r>
      <w:r>
        <w:t>(OCCL)</w:t>
      </w:r>
      <w:r w:rsidR="00F55B76">
        <w:t>,</w:t>
      </w:r>
      <w:r>
        <w:t xml:space="preserve"> </w:t>
      </w:r>
      <w:r w:rsidRPr="000B21E5">
        <w:t>(</w:t>
      </w:r>
      <w:proofErr w:type="spellStart"/>
      <w:r w:rsidRPr="000B21E5">
        <w:t>OCCLCr+OCCLCa</w:t>
      </w:r>
      <w:proofErr w:type="spellEnd"/>
      <w:r w:rsidRPr="000B21E5">
        <w:t xml:space="preserve">), </w:t>
      </w:r>
      <w:proofErr w:type="spellStart"/>
      <w:r w:rsidR="00F55B76">
        <w:t>d</w:t>
      </w:r>
      <w:r w:rsidRPr="000B21E5">
        <w:t>orsal</w:t>
      </w:r>
      <w:proofErr w:type="spellEnd"/>
      <w:r w:rsidRPr="000B21E5">
        <w:t xml:space="preserve"> </w:t>
      </w:r>
      <w:proofErr w:type="spellStart"/>
      <w:r w:rsidRPr="000B21E5">
        <w:t>abnormalities</w:t>
      </w:r>
      <w:proofErr w:type="spellEnd"/>
      <w:r w:rsidRPr="000B21E5">
        <w:t xml:space="preserve"> (</w:t>
      </w:r>
      <w:proofErr w:type="spellStart"/>
      <w:r w:rsidRPr="000B21E5">
        <w:t>IsolDo</w:t>
      </w:r>
      <w:proofErr w:type="spellEnd"/>
      <w:r w:rsidRPr="000B21E5">
        <w:t xml:space="preserve">, </w:t>
      </w:r>
      <w:proofErr w:type="spellStart"/>
      <w:r w:rsidRPr="000B21E5">
        <w:t>DoMod</w:t>
      </w:r>
      <w:proofErr w:type="spellEnd"/>
      <w:r w:rsidRPr="000B21E5">
        <w:t xml:space="preserve">, </w:t>
      </w:r>
      <w:proofErr w:type="spellStart"/>
      <w:r w:rsidRPr="000B21E5">
        <w:t>DoNose</w:t>
      </w:r>
      <w:proofErr w:type="spellEnd"/>
      <w:r w:rsidRPr="000B21E5">
        <w:t xml:space="preserve">) </w:t>
      </w:r>
      <w:proofErr w:type="spellStart"/>
      <w:r w:rsidR="00015974">
        <w:t>and</w:t>
      </w:r>
      <w:proofErr w:type="spellEnd"/>
      <w:r w:rsidR="00015974">
        <w:t xml:space="preserve"> </w:t>
      </w:r>
      <w:proofErr w:type="spellStart"/>
      <w:r w:rsidR="00D5527C">
        <w:t>radiographic</w:t>
      </w:r>
      <w:proofErr w:type="spellEnd"/>
      <w:r w:rsidR="00D5527C">
        <w:t xml:space="preserve"> </w:t>
      </w:r>
      <w:proofErr w:type="spellStart"/>
      <w:r w:rsidR="00D5527C">
        <w:t>abnormalities</w:t>
      </w:r>
      <w:proofErr w:type="spellEnd"/>
      <w:r w:rsidR="00D5527C">
        <w:t xml:space="preserve"> </w:t>
      </w:r>
      <w:proofErr w:type="spellStart"/>
      <w:r w:rsidR="00985A77">
        <w:t>with</w:t>
      </w:r>
      <w:proofErr w:type="spellEnd"/>
      <w:r w:rsidR="00985A77">
        <w:t xml:space="preserve"> </w:t>
      </w:r>
      <w:proofErr w:type="spellStart"/>
      <w:r w:rsidR="00D5527C">
        <w:t>grade</w:t>
      </w:r>
      <w:proofErr w:type="spellEnd"/>
      <w:r w:rsidR="00D5527C">
        <w:t xml:space="preserve"> IV </w:t>
      </w:r>
      <w:r w:rsidR="001F4960">
        <w:t xml:space="preserve">or </w:t>
      </w:r>
      <w:proofErr w:type="spellStart"/>
      <w:r w:rsidR="001F4960">
        <w:t>higher</w:t>
      </w:r>
      <w:proofErr w:type="spellEnd"/>
      <w:r w:rsidR="001F4960">
        <w:t xml:space="preserve"> </w:t>
      </w:r>
      <w:proofErr w:type="spellStart"/>
      <w:r w:rsidR="00D5527C">
        <w:t>for</w:t>
      </w:r>
      <w:proofErr w:type="spellEnd"/>
      <w:r w:rsidR="00D5527C">
        <w:t xml:space="preserve"> </w:t>
      </w:r>
      <w:proofErr w:type="spellStart"/>
      <w:r w:rsidR="00F55B76">
        <w:t>m</w:t>
      </w:r>
      <w:r w:rsidR="00C00648">
        <w:t>odelling</w:t>
      </w:r>
      <w:proofErr w:type="spellEnd"/>
      <w:r w:rsidR="00C00648">
        <w:t xml:space="preserve"> </w:t>
      </w:r>
      <w:r w:rsidRPr="000B21E5">
        <w:t>(</w:t>
      </w:r>
      <w:proofErr w:type="spellStart"/>
      <w:r w:rsidRPr="000B21E5">
        <w:t>CrDMod+CaDMod+CrVMod+CaVMod</w:t>
      </w:r>
      <w:proofErr w:type="spellEnd"/>
      <w:r w:rsidRPr="000B21E5">
        <w:t>)</w:t>
      </w:r>
      <w:r w:rsidR="00F84C03">
        <w:t>.</w:t>
      </w:r>
      <w:r w:rsidRPr="000B21E5">
        <w:t xml:space="preserve"> For </w:t>
      </w:r>
      <w:proofErr w:type="spellStart"/>
      <w:r w:rsidRPr="000B21E5">
        <w:t>definition</w:t>
      </w:r>
      <w:proofErr w:type="spellEnd"/>
      <w:r w:rsidRPr="000B21E5">
        <w:t xml:space="preserve"> of </w:t>
      </w:r>
      <w:proofErr w:type="spellStart"/>
      <w:r w:rsidRPr="000B21E5">
        <w:t>abbreviations</w:t>
      </w:r>
      <w:proofErr w:type="spellEnd"/>
      <w:r w:rsidRPr="000B21E5">
        <w:t xml:space="preserve"> </w:t>
      </w:r>
      <w:proofErr w:type="spellStart"/>
      <w:r w:rsidRPr="000B21E5">
        <w:t>see</w:t>
      </w:r>
      <w:proofErr w:type="spellEnd"/>
      <w:r w:rsidRPr="000B21E5">
        <w:t xml:space="preserve"> </w:t>
      </w:r>
      <w:proofErr w:type="spellStart"/>
      <w:r>
        <w:t>T</w:t>
      </w:r>
      <w:r w:rsidRPr="000B21E5">
        <w:t>able</w:t>
      </w:r>
      <w:proofErr w:type="spellEnd"/>
      <w:r w:rsidRPr="000B21E5">
        <w:t xml:space="preserve"> 1.</w:t>
      </w:r>
    </w:p>
    <w:bookmarkEnd w:id="12"/>
    <w:bookmarkEnd w:id="13"/>
    <w:p w14:paraId="04714B2B" w14:textId="77777777" w:rsidR="000134C0" w:rsidRPr="000B21E5" w:rsidRDefault="000134C0" w:rsidP="000134C0">
      <w:pPr>
        <w:spacing w:line="480" w:lineRule="auto"/>
      </w:pPr>
    </w:p>
    <w:tbl>
      <w:tblPr>
        <w:tblStyle w:val="TableGrid"/>
        <w:tblW w:w="0" w:type="auto"/>
        <w:tblLook w:val="04A0" w:firstRow="1" w:lastRow="0" w:firstColumn="1" w:lastColumn="0" w:noHBand="0" w:noVBand="1"/>
      </w:tblPr>
      <w:tblGrid>
        <w:gridCol w:w="1802"/>
        <w:gridCol w:w="1802"/>
        <w:gridCol w:w="1802"/>
      </w:tblGrid>
      <w:tr w:rsidR="00015974" w:rsidRPr="000B21E5" w14:paraId="03E204B3" w14:textId="77777777" w:rsidTr="00C6150D">
        <w:tc>
          <w:tcPr>
            <w:tcW w:w="1802" w:type="dxa"/>
          </w:tcPr>
          <w:p w14:paraId="095D6945" w14:textId="77777777" w:rsidR="00015974" w:rsidRPr="000B21E5" w:rsidRDefault="00015974" w:rsidP="00C6150D">
            <w:pPr>
              <w:spacing w:line="480" w:lineRule="auto"/>
            </w:pPr>
          </w:p>
        </w:tc>
        <w:tc>
          <w:tcPr>
            <w:tcW w:w="1802" w:type="dxa"/>
          </w:tcPr>
          <w:p w14:paraId="5F9C3BD4" w14:textId="77777777" w:rsidR="00015974" w:rsidRPr="000B21E5" w:rsidRDefault="00015974" w:rsidP="00C6150D">
            <w:pPr>
              <w:spacing w:line="480" w:lineRule="auto"/>
              <w:rPr>
                <w:b/>
                <w:bCs/>
              </w:rPr>
            </w:pPr>
            <w:proofErr w:type="spellStart"/>
            <w:r w:rsidRPr="000B21E5">
              <w:rPr>
                <w:b/>
                <w:bCs/>
              </w:rPr>
              <w:t>Observer</w:t>
            </w:r>
            <w:proofErr w:type="spellEnd"/>
            <w:r w:rsidRPr="000B21E5">
              <w:rPr>
                <w:b/>
                <w:bCs/>
              </w:rPr>
              <w:t xml:space="preserve"> 1</w:t>
            </w:r>
          </w:p>
        </w:tc>
        <w:tc>
          <w:tcPr>
            <w:tcW w:w="1802" w:type="dxa"/>
          </w:tcPr>
          <w:p w14:paraId="07B023F6" w14:textId="77777777" w:rsidR="00015974" w:rsidRPr="000B21E5" w:rsidRDefault="00015974" w:rsidP="00C6150D">
            <w:pPr>
              <w:spacing w:line="480" w:lineRule="auto"/>
              <w:rPr>
                <w:b/>
                <w:bCs/>
              </w:rPr>
            </w:pPr>
            <w:proofErr w:type="spellStart"/>
            <w:r w:rsidRPr="000B21E5">
              <w:rPr>
                <w:b/>
                <w:bCs/>
              </w:rPr>
              <w:t>Observer</w:t>
            </w:r>
            <w:proofErr w:type="spellEnd"/>
            <w:r w:rsidRPr="000B21E5">
              <w:rPr>
                <w:b/>
                <w:bCs/>
              </w:rPr>
              <w:t xml:space="preserve"> 2</w:t>
            </w:r>
          </w:p>
        </w:tc>
      </w:tr>
      <w:tr w:rsidR="00015974" w:rsidRPr="000B21E5" w14:paraId="0940D7DD" w14:textId="77777777" w:rsidTr="00C6150D">
        <w:tc>
          <w:tcPr>
            <w:tcW w:w="1802" w:type="dxa"/>
          </w:tcPr>
          <w:p w14:paraId="10DAE959" w14:textId="77777777" w:rsidR="00015974" w:rsidRPr="000B21E5" w:rsidRDefault="00015974" w:rsidP="00C6150D">
            <w:pPr>
              <w:spacing w:line="480" w:lineRule="auto"/>
              <w:rPr>
                <w:b/>
                <w:bCs/>
              </w:rPr>
            </w:pPr>
            <w:r w:rsidRPr="000B21E5">
              <w:rPr>
                <w:b/>
                <w:bCs/>
              </w:rPr>
              <w:t>ISW</w:t>
            </w:r>
          </w:p>
        </w:tc>
        <w:tc>
          <w:tcPr>
            <w:tcW w:w="1802" w:type="dxa"/>
          </w:tcPr>
          <w:p w14:paraId="3936B627" w14:textId="20D84AFB" w:rsidR="00015974" w:rsidRPr="000B21E5" w:rsidRDefault="00015974" w:rsidP="00AC206E">
            <w:pPr>
              <w:spacing w:line="480" w:lineRule="auto"/>
            </w:pPr>
            <w:r>
              <w:t>1</w:t>
            </w:r>
            <w:r w:rsidR="00AC206E">
              <w:t>.</w:t>
            </w:r>
            <w:r>
              <w:t>06%</w:t>
            </w:r>
          </w:p>
        </w:tc>
        <w:tc>
          <w:tcPr>
            <w:tcW w:w="1802" w:type="dxa"/>
          </w:tcPr>
          <w:p w14:paraId="02F6C034" w14:textId="5B14BFE1" w:rsidR="00015974" w:rsidRPr="000B21E5" w:rsidRDefault="00D5527C" w:rsidP="00C6150D">
            <w:pPr>
              <w:spacing w:line="480" w:lineRule="auto"/>
            </w:pPr>
            <w:r>
              <w:t>1.75%</w:t>
            </w:r>
          </w:p>
        </w:tc>
      </w:tr>
      <w:tr w:rsidR="00015974" w:rsidRPr="000B21E5" w14:paraId="1B71FCC3" w14:textId="77777777" w:rsidTr="00C6150D">
        <w:tc>
          <w:tcPr>
            <w:tcW w:w="1802" w:type="dxa"/>
          </w:tcPr>
          <w:p w14:paraId="17A5E3C6" w14:textId="77777777" w:rsidR="00015974" w:rsidRPr="000B21E5" w:rsidRDefault="00015974" w:rsidP="00C6150D">
            <w:pPr>
              <w:spacing w:line="480" w:lineRule="auto"/>
              <w:rPr>
                <w:b/>
                <w:bCs/>
              </w:rPr>
            </w:pPr>
            <w:proofErr w:type="spellStart"/>
            <w:r w:rsidRPr="000B21E5">
              <w:rPr>
                <w:b/>
                <w:bCs/>
              </w:rPr>
              <w:t>Radiopacities</w:t>
            </w:r>
            <w:proofErr w:type="spellEnd"/>
          </w:p>
        </w:tc>
        <w:tc>
          <w:tcPr>
            <w:tcW w:w="1802" w:type="dxa"/>
          </w:tcPr>
          <w:p w14:paraId="521FD608" w14:textId="5605E964" w:rsidR="00015974" w:rsidRPr="000B21E5" w:rsidRDefault="00D5527C" w:rsidP="00F55B76">
            <w:pPr>
              <w:spacing w:line="480" w:lineRule="auto"/>
            </w:pPr>
            <w:r>
              <w:t>3</w:t>
            </w:r>
            <w:r w:rsidR="00F55B76">
              <w:t>.</w:t>
            </w:r>
            <w:r>
              <w:t>76%</w:t>
            </w:r>
          </w:p>
        </w:tc>
        <w:tc>
          <w:tcPr>
            <w:tcW w:w="1802" w:type="dxa"/>
          </w:tcPr>
          <w:p w14:paraId="2A62C61A" w14:textId="1206CCF1" w:rsidR="00015974" w:rsidRPr="000B21E5" w:rsidRDefault="00D5527C" w:rsidP="00F55B76">
            <w:pPr>
              <w:spacing w:line="480" w:lineRule="auto"/>
            </w:pPr>
            <w:r>
              <w:t>10</w:t>
            </w:r>
            <w:r w:rsidR="00F55B76">
              <w:t>.</w:t>
            </w:r>
            <w:r>
              <w:t>53%</w:t>
            </w:r>
          </w:p>
        </w:tc>
      </w:tr>
      <w:tr w:rsidR="00015974" w:rsidRPr="000B21E5" w14:paraId="143CA05B" w14:textId="77777777" w:rsidTr="00C6150D">
        <w:tc>
          <w:tcPr>
            <w:tcW w:w="1802" w:type="dxa"/>
          </w:tcPr>
          <w:p w14:paraId="7EFA84C0" w14:textId="77777777" w:rsidR="00015974" w:rsidRPr="000B21E5" w:rsidRDefault="00015974" w:rsidP="00C6150D">
            <w:pPr>
              <w:spacing w:line="480" w:lineRule="auto"/>
              <w:rPr>
                <w:b/>
                <w:bCs/>
              </w:rPr>
            </w:pPr>
            <w:proofErr w:type="spellStart"/>
            <w:r w:rsidRPr="000B21E5">
              <w:rPr>
                <w:b/>
                <w:bCs/>
              </w:rPr>
              <w:lastRenderedPageBreak/>
              <w:t>Radiolucencies</w:t>
            </w:r>
            <w:proofErr w:type="spellEnd"/>
          </w:p>
        </w:tc>
        <w:tc>
          <w:tcPr>
            <w:tcW w:w="1802" w:type="dxa"/>
          </w:tcPr>
          <w:p w14:paraId="6BC3B7A1" w14:textId="523954E7" w:rsidR="00015974" w:rsidRPr="000B21E5" w:rsidRDefault="00D5527C" w:rsidP="00C6150D">
            <w:pPr>
              <w:spacing w:line="480" w:lineRule="auto"/>
            </w:pPr>
            <w:r>
              <w:t>1</w:t>
            </w:r>
            <w:r w:rsidR="00F55B76">
              <w:t>.</w:t>
            </w:r>
            <w:r>
              <w:t>19%</w:t>
            </w:r>
          </w:p>
        </w:tc>
        <w:tc>
          <w:tcPr>
            <w:tcW w:w="1802" w:type="dxa"/>
          </w:tcPr>
          <w:p w14:paraId="4E687B52" w14:textId="72EBBD30" w:rsidR="00015974" w:rsidRPr="000B21E5" w:rsidRDefault="00D5527C" w:rsidP="00C6150D">
            <w:pPr>
              <w:spacing w:line="480" w:lineRule="auto"/>
            </w:pPr>
            <w:r>
              <w:t>0</w:t>
            </w:r>
            <w:r w:rsidR="00F55B76">
              <w:t>.</w:t>
            </w:r>
            <w:r>
              <w:t>94%</w:t>
            </w:r>
          </w:p>
        </w:tc>
      </w:tr>
      <w:tr w:rsidR="00015974" w:rsidRPr="000B21E5" w14:paraId="0ABE9ABA" w14:textId="77777777" w:rsidTr="00C6150D">
        <w:tc>
          <w:tcPr>
            <w:tcW w:w="1802" w:type="dxa"/>
          </w:tcPr>
          <w:p w14:paraId="74E081FF" w14:textId="77777777" w:rsidR="00015974" w:rsidRPr="000B21E5" w:rsidRDefault="00015974" w:rsidP="00C6150D">
            <w:pPr>
              <w:spacing w:line="480" w:lineRule="auto"/>
              <w:rPr>
                <w:b/>
                <w:bCs/>
              </w:rPr>
            </w:pPr>
            <w:r w:rsidRPr="000B21E5">
              <w:rPr>
                <w:b/>
                <w:bCs/>
              </w:rPr>
              <w:t>OCCL</w:t>
            </w:r>
          </w:p>
        </w:tc>
        <w:tc>
          <w:tcPr>
            <w:tcW w:w="1802" w:type="dxa"/>
          </w:tcPr>
          <w:p w14:paraId="63E803A7" w14:textId="0C69F871" w:rsidR="00015974" w:rsidRPr="000B21E5" w:rsidRDefault="00D5527C" w:rsidP="00C6150D">
            <w:pPr>
              <w:spacing w:line="480" w:lineRule="auto"/>
            </w:pPr>
            <w:r>
              <w:t>0</w:t>
            </w:r>
            <w:r w:rsidR="00AC206E">
              <w:t>.00</w:t>
            </w:r>
            <w:r>
              <w:t>%</w:t>
            </w:r>
          </w:p>
        </w:tc>
        <w:tc>
          <w:tcPr>
            <w:tcW w:w="1802" w:type="dxa"/>
          </w:tcPr>
          <w:p w14:paraId="56E10CC9" w14:textId="064E90F6" w:rsidR="00015974" w:rsidRPr="000B21E5" w:rsidRDefault="00D5527C" w:rsidP="00C6150D">
            <w:pPr>
              <w:spacing w:line="480" w:lineRule="auto"/>
            </w:pPr>
            <w:r>
              <w:t>0</w:t>
            </w:r>
            <w:r w:rsidR="00F55B76">
              <w:t>.</w:t>
            </w:r>
            <w:r>
              <w:t>56%</w:t>
            </w:r>
          </w:p>
        </w:tc>
      </w:tr>
      <w:tr w:rsidR="00015974" w:rsidRPr="000B21E5" w14:paraId="2AD9362C" w14:textId="77777777" w:rsidTr="00C6150D">
        <w:tc>
          <w:tcPr>
            <w:tcW w:w="1802" w:type="dxa"/>
          </w:tcPr>
          <w:p w14:paraId="4D429AA0" w14:textId="77777777" w:rsidR="00015974" w:rsidRPr="000B21E5" w:rsidRDefault="00015974" w:rsidP="00C6150D">
            <w:pPr>
              <w:spacing w:line="480" w:lineRule="auto"/>
              <w:rPr>
                <w:b/>
                <w:bCs/>
              </w:rPr>
            </w:pPr>
            <w:proofErr w:type="spellStart"/>
            <w:r w:rsidRPr="000B21E5">
              <w:rPr>
                <w:b/>
                <w:bCs/>
              </w:rPr>
              <w:t>Dorsal</w:t>
            </w:r>
            <w:proofErr w:type="spellEnd"/>
            <w:r w:rsidRPr="000B21E5">
              <w:rPr>
                <w:b/>
                <w:bCs/>
              </w:rPr>
              <w:t xml:space="preserve"> </w:t>
            </w:r>
            <w:proofErr w:type="spellStart"/>
            <w:r w:rsidRPr="000B21E5">
              <w:rPr>
                <w:b/>
                <w:bCs/>
              </w:rPr>
              <w:t>abnormalities</w:t>
            </w:r>
            <w:proofErr w:type="spellEnd"/>
          </w:p>
        </w:tc>
        <w:tc>
          <w:tcPr>
            <w:tcW w:w="1802" w:type="dxa"/>
          </w:tcPr>
          <w:p w14:paraId="0F32C9CA" w14:textId="12DC2238" w:rsidR="00015974" w:rsidRPr="000B21E5" w:rsidRDefault="00D5527C" w:rsidP="00C6150D">
            <w:pPr>
              <w:spacing w:line="480" w:lineRule="auto"/>
            </w:pPr>
            <w:r>
              <w:t>7</w:t>
            </w:r>
            <w:r w:rsidR="00F55B76">
              <w:t>.</w:t>
            </w:r>
            <w:r>
              <w:t>83%</w:t>
            </w:r>
          </w:p>
        </w:tc>
        <w:tc>
          <w:tcPr>
            <w:tcW w:w="1802" w:type="dxa"/>
          </w:tcPr>
          <w:p w14:paraId="2A73FFCF" w14:textId="4ED2282E" w:rsidR="00015974" w:rsidRPr="000B21E5" w:rsidRDefault="00D5527C" w:rsidP="00C6150D">
            <w:pPr>
              <w:spacing w:line="480" w:lineRule="auto"/>
            </w:pPr>
            <w:r>
              <w:t>8</w:t>
            </w:r>
            <w:r w:rsidR="00F55B76">
              <w:t>.</w:t>
            </w:r>
            <w:r>
              <w:t>96%</w:t>
            </w:r>
          </w:p>
        </w:tc>
      </w:tr>
      <w:tr w:rsidR="00015974" w:rsidRPr="000B21E5" w14:paraId="3542AD76" w14:textId="77777777" w:rsidTr="00C6150D">
        <w:tc>
          <w:tcPr>
            <w:tcW w:w="1802" w:type="dxa"/>
          </w:tcPr>
          <w:p w14:paraId="69FFF2E6" w14:textId="0FB551AE" w:rsidR="00015974" w:rsidRPr="000B21E5" w:rsidRDefault="00015974" w:rsidP="00C6150D">
            <w:pPr>
              <w:spacing w:line="480" w:lineRule="auto"/>
              <w:rPr>
                <w:b/>
                <w:bCs/>
              </w:rPr>
            </w:pPr>
            <w:proofErr w:type="spellStart"/>
            <w:r>
              <w:rPr>
                <w:b/>
                <w:bCs/>
              </w:rPr>
              <w:t>M</w:t>
            </w:r>
            <w:r w:rsidRPr="000B21E5">
              <w:rPr>
                <w:b/>
                <w:bCs/>
              </w:rPr>
              <w:t>odelling</w:t>
            </w:r>
            <w:proofErr w:type="spellEnd"/>
          </w:p>
        </w:tc>
        <w:tc>
          <w:tcPr>
            <w:tcW w:w="1802" w:type="dxa"/>
          </w:tcPr>
          <w:p w14:paraId="1B16553F" w14:textId="2322B4BE" w:rsidR="00015974" w:rsidRPr="000B21E5" w:rsidRDefault="00D5527C" w:rsidP="00C6150D">
            <w:pPr>
              <w:spacing w:line="480" w:lineRule="auto"/>
            </w:pPr>
            <w:r>
              <w:t>0.06%</w:t>
            </w:r>
          </w:p>
        </w:tc>
        <w:tc>
          <w:tcPr>
            <w:tcW w:w="1802" w:type="dxa"/>
          </w:tcPr>
          <w:p w14:paraId="42D116BF" w14:textId="36539A6D" w:rsidR="00015974" w:rsidRPr="000B21E5" w:rsidRDefault="00D5527C" w:rsidP="00C6150D">
            <w:pPr>
              <w:spacing w:line="480" w:lineRule="auto"/>
            </w:pPr>
            <w:r>
              <w:t>0</w:t>
            </w:r>
            <w:r w:rsidR="00F55B76">
              <w:t>.</w:t>
            </w:r>
            <w:r>
              <w:t>69%</w:t>
            </w:r>
          </w:p>
        </w:tc>
      </w:tr>
    </w:tbl>
    <w:p w14:paraId="706CCB0F" w14:textId="6E30F2E8" w:rsidR="004E2B1D" w:rsidRPr="00105869" w:rsidRDefault="000134C0">
      <w:pPr>
        <w:spacing w:line="480" w:lineRule="auto"/>
        <w:rPr>
          <w:lang w:val="en-GB"/>
        </w:rPr>
      </w:pPr>
      <w:r>
        <w:rPr>
          <w:lang w:val="en-GB"/>
        </w:rPr>
        <w:t xml:space="preserve"> </w:t>
      </w:r>
    </w:p>
    <w:p w14:paraId="13C26677" w14:textId="77777777" w:rsidR="00825F97" w:rsidRPr="00105869" w:rsidRDefault="00825F97">
      <w:pPr>
        <w:spacing w:line="480" w:lineRule="auto"/>
        <w:rPr>
          <w:b/>
          <w:bCs/>
          <w:lang w:val="en-GB"/>
        </w:rPr>
      </w:pPr>
    </w:p>
    <w:p w14:paraId="214DD8A5" w14:textId="6012918E" w:rsidR="00DD7179" w:rsidRPr="00D5527C" w:rsidRDefault="00FC2F16">
      <w:pPr>
        <w:spacing w:line="480" w:lineRule="auto"/>
        <w:rPr>
          <w:b/>
          <w:bCs/>
          <w:lang w:val="en-GB"/>
        </w:rPr>
      </w:pPr>
      <w:r w:rsidRPr="00D5527C">
        <w:rPr>
          <w:b/>
          <w:bCs/>
          <w:lang w:val="en-GB"/>
        </w:rPr>
        <w:t>Agreement</w:t>
      </w:r>
      <w:r w:rsidR="00DD7179" w:rsidRPr="00D5527C">
        <w:rPr>
          <w:b/>
          <w:bCs/>
          <w:lang w:val="en-GB"/>
        </w:rPr>
        <w:t xml:space="preserve"> for single parameters</w:t>
      </w:r>
    </w:p>
    <w:p w14:paraId="278A3EFF" w14:textId="2AFA46D1" w:rsidR="006A761A" w:rsidRPr="00105869" w:rsidRDefault="00062FC0">
      <w:pPr>
        <w:spacing w:line="480" w:lineRule="auto"/>
        <w:rPr>
          <w:lang w:val="en-GB"/>
        </w:rPr>
      </w:pPr>
      <w:bookmarkStart w:id="14" w:name="OLE_LINK15"/>
      <w:bookmarkStart w:id="15" w:name="OLE_LINK16"/>
      <w:r w:rsidRPr="00105869">
        <w:rPr>
          <w:lang w:val="en-GB"/>
        </w:rPr>
        <w:t xml:space="preserve">An overview of all kappa weighted calculations is shown in Table </w:t>
      </w:r>
      <w:r w:rsidR="000134C0">
        <w:rPr>
          <w:lang w:val="en-GB"/>
        </w:rPr>
        <w:t>3</w:t>
      </w:r>
      <w:r w:rsidRPr="00105869">
        <w:rPr>
          <w:lang w:val="en-GB"/>
        </w:rPr>
        <w:t xml:space="preserve">. </w:t>
      </w:r>
      <w:r w:rsidR="00170CC8" w:rsidRPr="00105869">
        <w:rPr>
          <w:lang w:val="en-GB"/>
        </w:rPr>
        <w:t>A</w:t>
      </w:r>
      <w:r w:rsidR="0091365B" w:rsidRPr="00105869">
        <w:rPr>
          <w:lang w:val="en-GB"/>
        </w:rPr>
        <w:t xml:space="preserve">greement was </w:t>
      </w:r>
      <w:r w:rsidR="000F2E27" w:rsidRPr="00105869">
        <w:rPr>
          <w:lang w:val="en-GB"/>
        </w:rPr>
        <w:t>excellent</w:t>
      </w:r>
      <w:r w:rsidR="0091365B" w:rsidRPr="00105869">
        <w:rPr>
          <w:lang w:val="en-GB"/>
        </w:rPr>
        <w:t xml:space="preserve"> </w:t>
      </w:r>
      <w:r w:rsidR="00170CC8" w:rsidRPr="00105869">
        <w:rPr>
          <w:lang w:val="en-GB"/>
        </w:rPr>
        <w:t xml:space="preserve">for ISW </w:t>
      </w:r>
      <w:r w:rsidR="003F2E94" w:rsidRPr="00105869">
        <w:rPr>
          <w:lang w:val="en-GB"/>
        </w:rPr>
        <w:t>(</w:t>
      </w:r>
      <w:proofErr w:type="spellStart"/>
      <w:r w:rsidR="003F2E94" w:rsidRPr="00105869">
        <w:rPr>
          <w:lang w:val="en-GB"/>
        </w:rPr>
        <w:t>K</w:t>
      </w:r>
      <w:r w:rsidR="003F2E94" w:rsidRPr="00105869">
        <w:rPr>
          <w:vertAlign w:val="subscript"/>
          <w:lang w:val="en-GB"/>
        </w:rPr>
        <w:t>intra</w:t>
      </w:r>
      <w:proofErr w:type="spellEnd"/>
      <w:r w:rsidR="003F2E94" w:rsidRPr="00105869">
        <w:rPr>
          <w:lang w:val="en-GB"/>
        </w:rPr>
        <w:t xml:space="preserve">=0.84, </w:t>
      </w:r>
      <w:proofErr w:type="spellStart"/>
      <w:r w:rsidR="003F2E94" w:rsidRPr="00105869">
        <w:rPr>
          <w:lang w:val="en-GB"/>
        </w:rPr>
        <w:t>K</w:t>
      </w:r>
      <w:r w:rsidR="003F2E94" w:rsidRPr="00105869">
        <w:rPr>
          <w:vertAlign w:val="subscript"/>
          <w:lang w:val="en-GB"/>
        </w:rPr>
        <w:t>inter</w:t>
      </w:r>
      <w:proofErr w:type="spellEnd"/>
      <w:r w:rsidR="003F2E94" w:rsidRPr="00105869">
        <w:rPr>
          <w:lang w:val="en-GB"/>
        </w:rPr>
        <w:t xml:space="preserve">=0.82) </w:t>
      </w:r>
      <w:r w:rsidR="00DC3030" w:rsidRPr="00105869">
        <w:rPr>
          <w:lang w:val="en-GB"/>
        </w:rPr>
        <w:t xml:space="preserve">and </w:t>
      </w:r>
      <w:r w:rsidR="00170CC8" w:rsidRPr="00105869">
        <w:rPr>
          <w:lang w:val="en-GB"/>
        </w:rPr>
        <w:t xml:space="preserve">good for </w:t>
      </w:r>
      <w:r w:rsidR="00DC3030" w:rsidRPr="00105869">
        <w:rPr>
          <w:lang w:val="en-GB"/>
        </w:rPr>
        <w:t>isolated opacities of the dorsal margin</w:t>
      </w:r>
      <w:r w:rsidR="003F2E94" w:rsidRPr="00105869">
        <w:rPr>
          <w:lang w:val="en-GB"/>
        </w:rPr>
        <w:t xml:space="preserve"> (</w:t>
      </w:r>
      <w:proofErr w:type="spellStart"/>
      <w:r w:rsidR="003F2E94" w:rsidRPr="00105869">
        <w:rPr>
          <w:lang w:val="en-GB"/>
        </w:rPr>
        <w:t>K</w:t>
      </w:r>
      <w:r w:rsidR="003F2E94" w:rsidRPr="00105869">
        <w:rPr>
          <w:vertAlign w:val="subscript"/>
          <w:lang w:val="en-GB"/>
        </w:rPr>
        <w:t>intra</w:t>
      </w:r>
      <w:proofErr w:type="spellEnd"/>
      <w:r w:rsidR="003F2E94" w:rsidRPr="00105869">
        <w:rPr>
          <w:lang w:val="en-GB"/>
        </w:rPr>
        <w:t xml:space="preserve">=0.78, </w:t>
      </w:r>
      <w:proofErr w:type="spellStart"/>
      <w:r w:rsidR="003F2E94" w:rsidRPr="00105869">
        <w:rPr>
          <w:lang w:val="en-GB"/>
        </w:rPr>
        <w:t>K</w:t>
      </w:r>
      <w:r w:rsidR="003F2E94" w:rsidRPr="00105869">
        <w:rPr>
          <w:vertAlign w:val="subscript"/>
          <w:lang w:val="en-GB"/>
        </w:rPr>
        <w:t>inter</w:t>
      </w:r>
      <w:proofErr w:type="spellEnd"/>
      <w:r w:rsidR="003F2E94" w:rsidRPr="00105869">
        <w:rPr>
          <w:lang w:val="en-GB"/>
        </w:rPr>
        <w:t>=0.76)</w:t>
      </w:r>
      <w:r w:rsidR="00170CC8" w:rsidRPr="00105869">
        <w:rPr>
          <w:lang w:val="en-GB"/>
        </w:rPr>
        <w:t xml:space="preserve">. </w:t>
      </w:r>
      <w:bookmarkEnd w:id="14"/>
      <w:bookmarkEnd w:id="15"/>
      <w:r w:rsidR="00A22CE5" w:rsidRPr="00105869">
        <w:rPr>
          <w:lang w:val="en-GB"/>
        </w:rPr>
        <w:t xml:space="preserve">For </w:t>
      </w:r>
      <w:r w:rsidR="0060559C" w:rsidRPr="00105869">
        <w:rPr>
          <w:lang w:val="en-GB"/>
        </w:rPr>
        <w:t>presence and size of</w:t>
      </w:r>
      <w:r w:rsidR="006A761A" w:rsidRPr="00105869">
        <w:rPr>
          <w:lang w:val="en-GB"/>
        </w:rPr>
        <w:t xml:space="preserve"> beak-shaped formation of the craniodorsal margin of the SP </w:t>
      </w:r>
      <w:r w:rsidR="00B8235E" w:rsidRPr="00105869">
        <w:rPr>
          <w:lang w:val="en-GB"/>
        </w:rPr>
        <w:t xml:space="preserve">moderate to good </w:t>
      </w:r>
      <w:r w:rsidR="00A22CE5" w:rsidRPr="00105869">
        <w:rPr>
          <w:lang w:val="en-GB"/>
        </w:rPr>
        <w:t xml:space="preserve">agreement </w:t>
      </w:r>
      <w:r w:rsidR="00496E91" w:rsidRPr="00105869">
        <w:rPr>
          <w:lang w:val="en-GB"/>
        </w:rPr>
        <w:t xml:space="preserve">was found </w:t>
      </w:r>
      <w:r w:rsidR="003F2E94" w:rsidRPr="00105869">
        <w:rPr>
          <w:lang w:val="en-GB"/>
        </w:rPr>
        <w:t>(</w:t>
      </w:r>
      <w:proofErr w:type="spellStart"/>
      <w:r w:rsidR="003F2E94" w:rsidRPr="00105869">
        <w:rPr>
          <w:lang w:val="en-GB"/>
        </w:rPr>
        <w:t>K</w:t>
      </w:r>
      <w:r w:rsidR="003F2E94" w:rsidRPr="00105869">
        <w:rPr>
          <w:vertAlign w:val="subscript"/>
          <w:lang w:val="en-GB"/>
        </w:rPr>
        <w:t>intra</w:t>
      </w:r>
      <w:proofErr w:type="spellEnd"/>
      <w:r w:rsidR="003F2E94" w:rsidRPr="00105869">
        <w:rPr>
          <w:lang w:val="en-GB"/>
        </w:rPr>
        <w:t xml:space="preserve">=0.72, </w:t>
      </w:r>
      <w:proofErr w:type="spellStart"/>
      <w:r w:rsidR="003F2E94" w:rsidRPr="00105869">
        <w:rPr>
          <w:lang w:val="en-GB"/>
        </w:rPr>
        <w:t>K</w:t>
      </w:r>
      <w:r w:rsidR="003F2E94" w:rsidRPr="00105869">
        <w:rPr>
          <w:vertAlign w:val="subscript"/>
          <w:lang w:val="en-GB"/>
        </w:rPr>
        <w:t>inter</w:t>
      </w:r>
      <w:proofErr w:type="spellEnd"/>
      <w:r w:rsidR="003F2E94" w:rsidRPr="00105869">
        <w:rPr>
          <w:lang w:val="en-GB"/>
        </w:rPr>
        <w:t>=0.54)</w:t>
      </w:r>
      <w:r w:rsidR="00C00648">
        <w:rPr>
          <w:lang w:val="en-GB"/>
        </w:rPr>
        <w:t>. F</w:t>
      </w:r>
      <w:r w:rsidR="00A22CE5" w:rsidRPr="00105869">
        <w:rPr>
          <w:lang w:val="en-GB"/>
        </w:rPr>
        <w:t xml:space="preserve">or </w:t>
      </w:r>
      <w:r w:rsidR="006A761A" w:rsidRPr="00105869">
        <w:rPr>
          <w:lang w:val="en-GB"/>
        </w:rPr>
        <w:t xml:space="preserve">modelling of the cranioventral two thirds of the margin </w:t>
      </w:r>
      <w:r w:rsidR="00B8235E" w:rsidRPr="00105869">
        <w:rPr>
          <w:lang w:val="en-GB"/>
        </w:rPr>
        <w:t>moderate</w:t>
      </w:r>
      <w:r w:rsidR="00A22CE5" w:rsidRPr="00105869">
        <w:rPr>
          <w:lang w:val="en-GB"/>
        </w:rPr>
        <w:t xml:space="preserve"> agreement was found</w:t>
      </w:r>
      <w:r w:rsidR="003F2E94" w:rsidRPr="00105869">
        <w:rPr>
          <w:lang w:val="en-GB"/>
        </w:rPr>
        <w:t xml:space="preserve"> (</w:t>
      </w:r>
      <w:proofErr w:type="spellStart"/>
      <w:r w:rsidR="003F2E94" w:rsidRPr="00105869">
        <w:rPr>
          <w:lang w:val="en-GB"/>
        </w:rPr>
        <w:t>K</w:t>
      </w:r>
      <w:r w:rsidR="003F2E94" w:rsidRPr="00105869">
        <w:rPr>
          <w:vertAlign w:val="subscript"/>
          <w:lang w:val="en-GB"/>
        </w:rPr>
        <w:t>intra</w:t>
      </w:r>
      <w:proofErr w:type="spellEnd"/>
      <w:r w:rsidR="003F2E94" w:rsidRPr="00105869">
        <w:rPr>
          <w:lang w:val="en-GB"/>
        </w:rPr>
        <w:t xml:space="preserve">=0.57, </w:t>
      </w:r>
      <w:proofErr w:type="spellStart"/>
      <w:r w:rsidR="003F2E94" w:rsidRPr="00105869">
        <w:rPr>
          <w:lang w:val="en-GB"/>
        </w:rPr>
        <w:t>K</w:t>
      </w:r>
      <w:r w:rsidR="003F2E94" w:rsidRPr="00105869">
        <w:rPr>
          <w:vertAlign w:val="subscript"/>
          <w:lang w:val="en-GB"/>
        </w:rPr>
        <w:t>inter</w:t>
      </w:r>
      <w:proofErr w:type="spellEnd"/>
      <w:r w:rsidR="003F2E94" w:rsidRPr="00105869">
        <w:rPr>
          <w:lang w:val="en-GB"/>
        </w:rPr>
        <w:t>=0.56)</w:t>
      </w:r>
      <w:r w:rsidR="006A761A" w:rsidRPr="00105869">
        <w:rPr>
          <w:lang w:val="en-GB"/>
        </w:rPr>
        <w:t xml:space="preserve">. </w:t>
      </w:r>
      <w:r w:rsidR="00B8235E" w:rsidRPr="00105869">
        <w:rPr>
          <w:lang w:val="en-GB"/>
        </w:rPr>
        <w:t xml:space="preserve">The </w:t>
      </w:r>
      <w:r w:rsidR="00A22CE5" w:rsidRPr="00105869">
        <w:rPr>
          <w:lang w:val="en-GB"/>
        </w:rPr>
        <w:t>agreement of the remaining</w:t>
      </w:r>
      <w:r w:rsidR="00B8235E" w:rsidRPr="00105869">
        <w:rPr>
          <w:lang w:val="en-GB"/>
        </w:rPr>
        <w:t xml:space="preserve"> parameters was </w:t>
      </w:r>
      <w:r w:rsidR="003728E6" w:rsidRPr="00105869">
        <w:rPr>
          <w:lang w:val="en-GB"/>
        </w:rPr>
        <w:t>fair to poor.</w:t>
      </w:r>
      <w:r w:rsidR="006A761A" w:rsidRPr="00105869">
        <w:rPr>
          <w:lang w:val="en-GB"/>
        </w:rPr>
        <w:t xml:space="preserve"> No </w:t>
      </w:r>
      <w:r w:rsidR="003F2E94" w:rsidRPr="00105869">
        <w:rPr>
          <w:lang w:val="en-GB"/>
        </w:rPr>
        <w:t xml:space="preserve">sustainable </w:t>
      </w:r>
      <w:r w:rsidR="006A761A" w:rsidRPr="00105869">
        <w:rPr>
          <w:lang w:val="en-GB"/>
        </w:rPr>
        <w:t xml:space="preserve">improvement was </w:t>
      </w:r>
      <w:r w:rsidR="00170CC8" w:rsidRPr="00105869">
        <w:rPr>
          <w:lang w:val="en-GB"/>
        </w:rPr>
        <w:t xml:space="preserve">observed </w:t>
      </w:r>
      <w:r w:rsidR="006A761A" w:rsidRPr="00105869">
        <w:rPr>
          <w:lang w:val="en-GB"/>
        </w:rPr>
        <w:t xml:space="preserve">using </w:t>
      </w:r>
      <w:r w:rsidR="00184890" w:rsidRPr="00105869">
        <w:rPr>
          <w:lang w:val="en-GB"/>
        </w:rPr>
        <w:t xml:space="preserve">both </w:t>
      </w:r>
      <w:r w:rsidR="006A761A" w:rsidRPr="00105869">
        <w:rPr>
          <w:lang w:val="en-GB"/>
        </w:rPr>
        <w:t>different</w:t>
      </w:r>
      <w:r w:rsidR="003F2E94" w:rsidRPr="00105869">
        <w:rPr>
          <w:lang w:val="en-GB"/>
        </w:rPr>
        <w:t xml:space="preserve"> two-grade</w:t>
      </w:r>
      <w:r w:rsidR="006A761A" w:rsidRPr="00105869">
        <w:rPr>
          <w:lang w:val="en-GB"/>
        </w:rPr>
        <w:t xml:space="preserve"> grading </w:t>
      </w:r>
      <w:r w:rsidR="00170CC8" w:rsidRPr="00105869">
        <w:rPr>
          <w:lang w:val="en-GB"/>
        </w:rPr>
        <w:t>system</w:t>
      </w:r>
      <w:r w:rsidR="00184890" w:rsidRPr="00105869">
        <w:rPr>
          <w:lang w:val="en-GB"/>
        </w:rPr>
        <w:t>s</w:t>
      </w:r>
      <w:r w:rsidR="006A761A" w:rsidRPr="00105869">
        <w:rPr>
          <w:lang w:val="en-GB"/>
        </w:rPr>
        <w:t xml:space="preserve">. </w:t>
      </w:r>
    </w:p>
    <w:p w14:paraId="076A1C63" w14:textId="401EFED0" w:rsidR="00DD7179" w:rsidRPr="00105869" w:rsidRDefault="00DD7179">
      <w:pPr>
        <w:spacing w:line="480" w:lineRule="auto"/>
        <w:rPr>
          <w:lang w:val="en-GB"/>
        </w:rPr>
      </w:pPr>
    </w:p>
    <w:p w14:paraId="2234864B" w14:textId="5BE6FE1D" w:rsidR="001E2D72" w:rsidRDefault="001E2D72" w:rsidP="001E2D72">
      <w:pPr>
        <w:spacing w:line="480" w:lineRule="auto"/>
        <w:rPr>
          <w:lang w:val="en-GB"/>
        </w:rPr>
      </w:pPr>
      <w:bookmarkStart w:id="16" w:name="OLE_LINK17"/>
      <w:bookmarkStart w:id="17" w:name="OLE_LINK18"/>
      <w:r w:rsidRPr="00D5527C">
        <w:rPr>
          <w:b/>
          <w:bCs/>
          <w:lang w:val="en-GB"/>
        </w:rPr>
        <w:t>T</w:t>
      </w:r>
      <w:r w:rsidR="005B4A5A" w:rsidRPr="00D5527C">
        <w:rPr>
          <w:b/>
          <w:bCs/>
          <w:lang w:val="en-GB"/>
        </w:rPr>
        <w:t xml:space="preserve">ABLE </w:t>
      </w:r>
      <w:r w:rsidR="000134C0">
        <w:rPr>
          <w:b/>
          <w:bCs/>
          <w:lang w:val="en-GB"/>
        </w:rPr>
        <w:t>3</w:t>
      </w:r>
      <w:r w:rsidRPr="00D5527C">
        <w:rPr>
          <w:b/>
          <w:bCs/>
          <w:lang w:val="en-GB"/>
        </w:rPr>
        <w:t>:</w:t>
      </w:r>
      <w:r w:rsidRPr="00105869">
        <w:rPr>
          <w:lang w:val="en-GB"/>
        </w:rPr>
        <w:t xml:space="preserve"> </w:t>
      </w:r>
      <w:r w:rsidR="00340835">
        <w:rPr>
          <w:lang w:val="en-GB"/>
        </w:rPr>
        <w:t>Inter- and intra-observer agreement</w:t>
      </w:r>
      <w:r w:rsidR="00C02CBC">
        <w:rPr>
          <w:lang w:val="en-GB"/>
        </w:rPr>
        <w:t xml:space="preserve"> of single parameters</w:t>
      </w:r>
      <w:r w:rsidR="00340835">
        <w:rPr>
          <w:lang w:val="en-GB"/>
        </w:rPr>
        <w:t xml:space="preserve">. </w:t>
      </w:r>
      <w:r w:rsidRPr="00105869">
        <w:rPr>
          <w:lang w:val="en-GB"/>
        </w:rPr>
        <w:t xml:space="preserve">Kappa weighted values for two observers and Fleiss Kappa calculation for multiple observers for all used parameters. Kappa weighted 0-1 defines agreement when graded for presence or absence of abnormalities. Kappa weighted new grade defines agreement when graded for absent (grade 0) to mild (grade I) radiographic abnormalities vs moderate (grade II-III) to marked (III-V) abnormalities. Fleiss Kappa 0-1 defines agreement when graded for presence or absence of abnormalities. (P&lt;0.05), </w:t>
      </w:r>
      <w:proofErr w:type="spellStart"/>
      <w:r w:rsidRPr="00105869">
        <w:rPr>
          <w:lang w:val="en-GB"/>
        </w:rPr>
        <w:t>n.s</w:t>
      </w:r>
      <w:proofErr w:type="spellEnd"/>
      <w:r w:rsidRPr="00105869">
        <w:rPr>
          <w:lang w:val="en-GB"/>
        </w:rPr>
        <w:t>. = not significant</w:t>
      </w:r>
      <w:r w:rsidRPr="00105869">
        <w:rPr>
          <w:rFonts w:ascii="Arial" w:hAnsi="Arial" w:cs="Arial"/>
          <w:color w:val="1C1D1E"/>
          <w:sz w:val="21"/>
          <w:szCs w:val="21"/>
          <w:shd w:val="clear" w:color="auto" w:fill="FFFFFF"/>
          <w:vertAlign w:val="superscript"/>
          <w:lang w:val="en-GB"/>
        </w:rPr>
        <w:t>†</w:t>
      </w:r>
      <w:r w:rsidRPr="00105869">
        <w:rPr>
          <w:lang w:val="en-GB"/>
        </w:rPr>
        <w:t>.</w:t>
      </w:r>
    </w:p>
    <w:bookmarkEnd w:id="16"/>
    <w:bookmarkEnd w:id="17"/>
    <w:p w14:paraId="2FEBDDCD" w14:textId="77777777" w:rsidR="00575A81" w:rsidRDefault="00575A81" w:rsidP="001E2D72">
      <w:pPr>
        <w:spacing w:line="480" w:lineRule="auto"/>
        <w:rPr>
          <w:lang w:val="en-GB"/>
        </w:rPr>
        <w:sectPr w:rsidR="00575A81" w:rsidSect="00E64E45">
          <w:footerReference w:type="even" r:id="rId9"/>
          <w:footerReference w:type="default" r:id="rId10"/>
          <w:type w:val="continuous"/>
          <w:pgSz w:w="11900" w:h="16840"/>
          <w:pgMar w:top="1417" w:right="1417" w:bottom="1417" w:left="1417" w:header="708" w:footer="708" w:gutter="0"/>
          <w:lnNumType w:countBy="1" w:restart="continuous"/>
          <w:cols w:space="708"/>
          <w:docGrid w:linePitch="360"/>
        </w:sectPr>
      </w:pPr>
    </w:p>
    <w:tbl>
      <w:tblPr>
        <w:tblW w:w="14165" w:type="dxa"/>
        <w:tblLayout w:type="fixed"/>
        <w:tblCellMar>
          <w:left w:w="70" w:type="dxa"/>
          <w:right w:w="70" w:type="dxa"/>
        </w:tblCellMar>
        <w:tblLook w:val="04A0" w:firstRow="1" w:lastRow="0" w:firstColumn="1" w:lastColumn="0" w:noHBand="0" w:noVBand="1"/>
      </w:tblPr>
      <w:tblGrid>
        <w:gridCol w:w="4810"/>
        <w:gridCol w:w="1166"/>
        <w:gridCol w:w="1102"/>
        <w:gridCol w:w="65"/>
        <w:gridCol w:w="1166"/>
        <w:gridCol w:w="1167"/>
        <w:gridCol w:w="12"/>
        <w:gridCol w:w="1155"/>
        <w:gridCol w:w="1113"/>
        <w:gridCol w:w="53"/>
        <w:gridCol w:w="1167"/>
        <w:gridCol w:w="32"/>
        <w:gridCol w:w="1157"/>
      </w:tblGrid>
      <w:tr w:rsidR="001E2D72" w:rsidRPr="00105869" w14:paraId="0559F62D" w14:textId="77777777" w:rsidTr="0068649F">
        <w:trPr>
          <w:trHeight w:val="945"/>
        </w:trPr>
        <w:tc>
          <w:tcPr>
            <w:tcW w:w="4810" w:type="dxa"/>
            <w:tcBorders>
              <w:top w:val="single" w:sz="8" w:space="0" w:color="auto"/>
              <w:left w:val="single" w:sz="8" w:space="0" w:color="auto"/>
              <w:bottom w:val="nil"/>
              <w:right w:val="nil"/>
            </w:tcBorders>
            <w:shd w:val="clear" w:color="auto" w:fill="auto"/>
            <w:noWrap/>
            <w:vAlign w:val="center"/>
            <w:hideMark/>
          </w:tcPr>
          <w:p w14:paraId="5410AD55" w14:textId="77777777" w:rsidR="001E2D72" w:rsidRPr="00105869" w:rsidRDefault="001E2D72" w:rsidP="0068649F">
            <w:pPr>
              <w:rPr>
                <w:color w:val="000000"/>
                <w:sz w:val="22"/>
                <w:szCs w:val="22"/>
                <w:lang w:val="en-GB"/>
              </w:rPr>
            </w:pPr>
            <w:r w:rsidRPr="00105869">
              <w:rPr>
                <w:color w:val="000000"/>
                <w:sz w:val="22"/>
                <w:szCs w:val="22"/>
                <w:lang w:val="en-GB"/>
              </w:rPr>
              <w:lastRenderedPageBreak/>
              <w:t> </w:t>
            </w:r>
          </w:p>
        </w:tc>
        <w:tc>
          <w:tcPr>
            <w:tcW w:w="2268" w:type="dxa"/>
            <w:gridSpan w:val="2"/>
            <w:tcBorders>
              <w:top w:val="single" w:sz="8" w:space="0" w:color="auto"/>
              <w:left w:val="nil"/>
              <w:bottom w:val="nil"/>
              <w:right w:val="nil"/>
            </w:tcBorders>
            <w:shd w:val="clear" w:color="auto" w:fill="auto"/>
            <w:vAlign w:val="center"/>
            <w:hideMark/>
          </w:tcPr>
          <w:p w14:paraId="1ED677AA" w14:textId="77777777" w:rsidR="001E2D72" w:rsidRPr="00105869" w:rsidRDefault="001E2D72" w:rsidP="0068649F">
            <w:pPr>
              <w:ind w:left="-72" w:right="497"/>
              <w:jc w:val="center"/>
              <w:rPr>
                <w:b/>
                <w:bCs/>
                <w:sz w:val="22"/>
                <w:szCs w:val="22"/>
                <w:lang w:val="en-GB"/>
              </w:rPr>
            </w:pPr>
            <w:r w:rsidRPr="00105869">
              <w:rPr>
                <w:b/>
                <w:bCs/>
                <w:sz w:val="22"/>
                <w:szCs w:val="22"/>
                <w:lang w:val="en-GB"/>
              </w:rPr>
              <w:t>Kappa weighted</w:t>
            </w:r>
          </w:p>
        </w:tc>
        <w:tc>
          <w:tcPr>
            <w:tcW w:w="2410" w:type="dxa"/>
            <w:gridSpan w:val="4"/>
            <w:tcBorders>
              <w:top w:val="single" w:sz="8" w:space="0" w:color="auto"/>
              <w:left w:val="nil"/>
              <w:bottom w:val="nil"/>
              <w:right w:val="nil"/>
            </w:tcBorders>
            <w:shd w:val="clear" w:color="auto" w:fill="auto"/>
            <w:vAlign w:val="center"/>
            <w:hideMark/>
          </w:tcPr>
          <w:p w14:paraId="24B969CF" w14:textId="77777777" w:rsidR="001E2D72" w:rsidRPr="00105869" w:rsidRDefault="001E2D72" w:rsidP="0068649F">
            <w:pPr>
              <w:rPr>
                <w:b/>
                <w:bCs/>
                <w:sz w:val="22"/>
                <w:szCs w:val="22"/>
                <w:lang w:val="en-GB"/>
              </w:rPr>
            </w:pPr>
            <w:r w:rsidRPr="00105869">
              <w:rPr>
                <w:b/>
                <w:bCs/>
                <w:sz w:val="22"/>
                <w:szCs w:val="22"/>
                <w:lang w:val="en-GB"/>
              </w:rPr>
              <w:t>Kappa weighted 0-1</w:t>
            </w:r>
          </w:p>
        </w:tc>
        <w:tc>
          <w:tcPr>
            <w:tcW w:w="2268" w:type="dxa"/>
            <w:gridSpan w:val="2"/>
            <w:tcBorders>
              <w:top w:val="single" w:sz="8" w:space="0" w:color="auto"/>
              <w:left w:val="nil"/>
              <w:bottom w:val="nil"/>
              <w:right w:val="nil"/>
            </w:tcBorders>
            <w:shd w:val="clear" w:color="auto" w:fill="auto"/>
            <w:vAlign w:val="center"/>
            <w:hideMark/>
          </w:tcPr>
          <w:p w14:paraId="781CF4C0" w14:textId="77777777" w:rsidR="001E2D72" w:rsidRPr="00105869" w:rsidRDefault="001E2D72" w:rsidP="0068649F">
            <w:pPr>
              <w:rPr>
                <w:b/>
                <w:bCs/>
                <w:sz w:val="22"/>
                <w:szCs w:val="22"/>
                <w:lang w:val="en-GB"/>
              </w:rPr>
            </w:pPr>
            <w:r w:rsidRPr="00105869">
              <w:rPr>
                <w:b/>
                <w:bCs/>
                <w:sz w:val="22"/>
                <w:szCs w:val="22"/>
                <w:lang w:val="en-GB"/>
              </w:rPr>
              <w:t>Kappa weighted normal/mild vs. moderate/severe</w:t>
            </w:r>
          </w:p>
        </w:tc>
        <w:tc>
          <w:tcPr>
            <w:tcW w:w="1252" w:type="dxa"/>
            <w:gridSpan w:val="3"/>
            <w:tcBorders>
              <w:top w:val="single" w:sz="8" w:space="0" w:color="auto"/>
              <w:left w:val="nil"/>
              <w:bottom w:val="nil"/>
              <w:right w:val="nil"/>
            </w:tcBorders>
            <w:shd w:val="clear" w:color="auto" w:fill="auto"/>
            <w:vAlign w:val="center"/>
            <w:hideMark/>
          </w:tcPr>
          <w:p w14:paraId="09E65FB1" w14:textId="77777777" w:rsidR="001E2D72" w:rsidRPr="00105869" w:rsidRDefault="001E2D72" w:rsidP="0068649F">
            <w:pPr>
              <w:jc w:val="center"/>
              <w:rPr>
                <w:b/>
                <w:bCs/>
                <w:sz w:val="22"/>
                <w:szCs w:val="22"/>
                <w:lang w:val="en-GB"/>
              </w:rPr>
            </w:pPr>
            <w:r w:rsidRPr="00105869">
              <w:rPr>
                <w:b/>
                <w:bCs/>
                <w:sz w:val="22"/>
                <w:szCs w:val="22"/>
                <w:lang w:val="en-GB"/>
              </w:rPr>
              <w:t>Fleiss Kappa</w:t>
            </w:r>
          </w:p>
        </w:tc>
        <w:tc>
          <w:tcPr>
            <w:tcW w:w="1157" w:type="dxa"/>
            <w:tcBorders>
              <w:top w:val="single" w:sz="8" w:space="0" w:color="auto"/>
              <w:left w:val="nil"/>
              <w:bottom w:val="nil"/>
              <w:right w:val="single" w:sz="8" w:space="0" w:color="auto"/>
            </w:tcBorders>
            <w:shd w:val="clear" w:color="auto" w:fill="auto"/>
            <w:vAlign w:val="center"/>
            <w:hideMark/>
          </w:tcPr>
          <w:p w14:paraId="65F1B92E" w14:textId="77777777" w:rsidR="001E2D72" w:rsidRPr="00105869" w:rsidRDefault="001E2D72" w:rsidP="0068649F">
            <w:pPr>
              <w:ind w:hanging="54"/>
              <w:jc w:val="center"/>
              <w:rPr>
                <w:b/>
                <w:bCs/>
                <w:sz w:val="22"/>
                <w:szCs w:val="22"/>
                <w:lang w:val="en-GB"/>
              </w:rPr>
            </w:pPr>
            <w:r w:rsidRPr="00105869">
              <w:rPr>
                <w:b/>
                <w:bCs/>
                <w:sz w:val="22"/>
                <w:szCs w:val="22"/>
                <w:lang w:val="en-GB"/>
              </w:rPr>
              <w:t>Fleiss Kappa 0-1</w:t>
            </w:r>
          </w:p>
        </w:tc>
      </w:tr>
      <w:tr w:rsidR="001E2D72" w:rsidRPr="00105869" w14:paraId="2E88F20A" w14:textId="77777777" w:rsidTr="0068649F">
        <w:trPr>
          <w:trHeight w:val="340"/>
        </w:trPr>
        <w:tc>
          <w:tcPr>
            <w:tcW w:w="4810" w:type="dxa"/>
            <w:tcBorders>
              <w:top w:val="nil"/>
              <w:left w:val="single" w:sz="8" w:space="0" w:color="auto"/>
              <w:bottom w:val="double" w:sz="6" w:space="0" w:color="auto"/>
              <w:right w:val="nil"/>
            </w:tcBorders>
            <w:shd w:val="clear" w:color="auto" w:fill="auto"/>
            <w:noWrap/>
            <w:vAlign w:val="bottom"/>
            <w:hideMark/>
          </w:tcPr>
          <w:p w14:paraId="6745D55E" w14:textId="77777777" w:rsidR="001E2D72" w:rsidRPr="00105869" w:rsidRDefault="001E2D72" w:rsidP="0068649F">
            <w:pPr>
              <w:rPr>
                <w:color w:val="000000"/>
                <w:sz w:val="22"/>
                <w:szCs w:val="22"/>
                <w:lang w:val="en-GB"/>
              </w:rPr>
            </w:pPr>
            <w:r w:rsidRPr="00105869">
              <w:rPr>
                <w:color w:val="000000"/>
                <w:sz w:val="22"/>
                <w:szCs w:val="22"/>
                <w:lang w:val="en-GB"/>
              </w:rPr>
              <w:t> </w:t>
            </w:r>
          </w:p>
        </w:tc>
        <w:tc>
          <w:tcPr>
            <w:tcW w:w="1166" w:type="dxa"/>
            <w:tcBorders>
              <w:top w:val="nil"/>
              <w:left w:val="nil"/>
              <w:bottom w:val="double" w:sz="6" w:space="0" w:color="auto"/>
              <w:right w:val="nil"/>
            </w:tcBorders>
            <w:shd w:val="clear" w:color="auto" w:fill="auto"/>
            <w:noWrap/>
            <w:vAlign w:val="bottom"/>
            <w:hideMark/>
          </w:tcPr>
          <w:p w14:paraId="7D1759C0" w14:textId="77777777" w:rsidR="001E2D72" w:rsidRPr="00105869" w:rsidRDefault="001E2D72" w:rsidP="0068649F">
            <w:pPr>
              <w:jc w:val="center"/>
              <w:rPr>
                <w:color w:val="000000"/>
                <w:sz w:val="22"/>
                <w:szCs w:val="22"/>
                <w:lang w:val="en-GB"/>
              </w:rPr>
            </w:pPr>
            <w:r w:rsidRPr="00105869">
              <w:rPr>
                <w:color w:val="000000"/>
                <w:sz w:val="22"/>
                <w:szCs w:val="22"/>
                <w:lang w:val="en-GB"/>
              </w:rPr>
              <w:t>Intra</w:t>
            </w:r>
          </w:p>
        </w:tc>
        <w:tc>
          <w:tcPr>
            <w:tcW w:w="1167" w:type="dxa"/>
            <w:gridSpan w:val="2"/>
            <w:tcBorders>
              <w:top w:val="nil"/>
              <w:left w:val="nil"/>
              <w:bottom w:val="double" w:sz="6" w:space="0" w:color="auto"/>
              <w:right w:val="nil"/>
            </w:tcBorders>
            <w:shd w:val="clear" w:color="auto" w:fill="auto"/>
            <w:noWrap/>
            <w:vAlign w:val="bottom"/>
            <w:hideMark/>
          </w:tcPr>
          <w:p w14:paraId="03DB1C74" w14:textId="77777777" w:rsidR="001E2D72" w:rsidRPr="00105869" w:rsidRDefault="001E2D72" w:rsidP="0068649F">
            <w:pPr>
              <w:jc w:val="center"/>
              <w:rPr>
                <w:color w:val="000000"/>
                <w:sz w:val="22"/>
                <w:szCs w:val="22"/>
                <w:lang w:val="en-GB"/>
              </w:rPr>
            </w:pPr>
            <w:r w:rsidRPr="00105869">
              <w:rPr>
                <w:color w:val="000000"/>
                <w:sz w:val="22"/>
                <w:szCs w:val="22"/>
                <w:lang w:val="en-GB"/>
              </w:rPr>
              <w:t>Inter</w:t>
            </w:r>
          </w:p>
        </w:tc>
        <w:tc>
          <w:tcPr>
            <w:tcW w:w="1166" w:type="dxa"/>
            <w:tcBorders>
              <w:top w:val="nil"/>
              <w:left w:val="nil"/>
              <w:bottom w:val="double" w:sz="6" w:space="0" w:color="auto"/>
              <w:right w:val="nil"/>
            </w:tcBorders>
            <w:shd w:val="clear" w:color="auto" w:fill="auto"/>
            <w:noWrap/>
            <w:vAlign w:val="bottom"/>
            <w:hideMark/>
          </w:tcPr>
          <w:p w14:paraId="07DF51CE" w14:textId="77777777" w:rsidR="001E2D72" w:rsidRPr="00105869" w:rsidRDefault="001E2D72" w:rsidP="0068649F">
            <w:pPr>
              <w:jc w:val="center"/>
              <w:rPr>
                <w:color w:val="000000"/>
                <w:sz w:val="22"/>
                <w:szCs w:val="22"/>
                <w:lang w:val="en-GB"/>
              </w:rPr>
            </w:pPr>
            <w:r w:rsidRPr="00105869">
              <w:rPr>
                <w:color w:val="000000"/>
                <w:sz w:val="22"/>
                <w:szCs w:val="22"/>
                <w:lang w:val="en-GB"/>
              </w:rPr>
              <w:t>Intra</w:t>
            </w:r>
          </w:p>
        </w:tc>
        <w:tc>
          <w:tcPr>
            <w:tcW w:w="1167" w:type="dxa"/>
            <w:tcBorders>
              <w:top w:val="nil"/>
              <w:left w:val="nil"/>
              <w:bottom w:val="double" w:sz="6" w:space="0" w:color="auto"/>
              <w:right w:val="nil"/>
            </w:tcBorders>
            <w:shd w:val="clear" w:color="auto" w:fill="auto"/>
            <w:noWrap/>
            <w:vAlign w:val="bottom"/>
            <w:hideMark/>
          </w:tcPr>
          <w:p w14:paraId="1D520023" w14:textId="77777777" w:rsidR="001E2D72" w:rsidRPr="00105869" w:rsidRDefault="001E2D72" w:rsidP="0068649F">
            <w:pPr>
              <w:jc w:val="center"/>
              <w:rPr>
                <w:color w:val="000000"/>
                <w:sz w:val="22"/>
                <w:szCs w:val="22"/>
                <w:lang w:val="en-GB"/>
              </w:rPr>
            </w:pPr>
            <w:r w:rsidRPr="00105869">
              <w:rPr>
                <w:color w:val="000000"/>
                <w:sz w:val="22"/>
                <w:szCs w:val="22"/>
                <w:lang w:val="en-GB"/>
              </w:rPr>
              <w:t>Inter</w:t>
            </w:r>
          </w:p>
        </w:tc>
        <w:tc>
          <w:tcPr>
            <w:tcW w:w="1167" w:type="dxa"/>
            <w:gridSpan w:val="2"/>
            <w:tcBorders>
              <w:top w:val="nil"/>
              <w:left w:val="nil"/>
              <w:bottom w:val="double" w:sz="6" w:space="0" w:color="auto"/>
              <w:right w:val="nil"/>
            </w:tcBorders>
            <w:shd w:val="clear" w:color="auto" w:fill="auto"/>
            <w:noWrap/>
            <w:vAlign w:val="bottom"/>
            <w:hideMark/>
          </w:tcPr>
          <w:p w14:paraId="6DDC104F" w14:textId="77777777" w:rsidR="001E2D72" w:rsidRPr="00105869" w:rsidRDefault="001E2D72" w:rsidP="0068649F">
            <w:pPr>
              <w:jc w:val="center"/>
              <w:rPr>
                <w:color w:val="000000"/>
                <w:sz w:val="22"/>
                <w:szCs w:val="22"/>
                <w:lang w:val="en-GB"/>
              </w:rPr>
            </w:pPr>
            <w:r w:rsidRPr="00105869">
              <w:rPr>
                <w:color w:val="000000"/>
                <w:sz w:val="22"/>
                <w:szCs w:val="22"/>
                <w:lang w:val="en-GB"/>
              </w:rPr>
              <w:t>Intra</w:t>
            </w:r>
          </w:p>
        </w:tc>
        <w:tc>
          <w:tcPr>
            <w:tcW w:w="1166" w:type="dxa"/>
            <w:gridSpan w:val="2"/>
            <w:tcBorders>
              <w:top w:val="nil"/>
              <w:left w:val="nil"/>
              <w:bottom w:val="double" w:sz="6" w:space="0" w:color="auto"/>
              <w:right w:val="nil"/>
            </w:tcBorders>
            <w:shd w:val="clear" w:color="auto" w:fill="auto"/>
            <w:noWrap/>
            <w:vAlign w:val="bottom"/>
            <w:hideMark/>
          </w:tcPr>
          <w:p w14:paraId="2E6A9F7C" w14:textId="77777777" w:rsidR="001E2D72" w:rsidRPr="00105869" w:rsidRDefault="001E2D72" w:rsidP="0068649F">
            <w:pPr>
              <w:jc w:val="center"/>
              <w:rPr>
                <w:color w:val="000000"/>
                <w:sz w:val="22"/>
                <w:szCs w:val="22"/>
                <w:lang w:val="en-GB"/>
              </w:rPr>
            </w:pPr>
            <w:r w:rsidRPr="00105869">
              <w:rPr>
                <w:color w:val="000000"/>
                <w:sz w:val="22"/>
                <w:szCs w:val="22"/>
                <w:lang w:val="en-GB"/>
              </w:rPr>
              <w:t>Inter</w:t>
            </w:r>
          </w:p>
        </w:tc>
        <w:tc>
          <w:tcPr>
            <w:tcW w:w="1167" w:type="dxa"/>
            <w:tcBorders>
              <w:top w:val="nil"/>
              <w:left w:val="nil"/>
              <w:bottom w:val="double" w:sz="6" w:space="0" w:color="auto"/>
              <w:right w:val="nil"/>
            </w:tcBorders>
            <w:shd w:val="clear" w:color="auto" w:fill="auto"/>
            <w:noWrap/>
            <w:vAlign w:val="bottom"/>
            <w:hideMark/>
          </w:tcPr>
          <w:p w14:paraId="4B752A65" w14:textId="77777777" w:rsidR="001E2D72" w:rsidRPr="00105869" w:rsidRDefault="001E2D72" w:rsidP="0068649F">
            <w:pPr>
              <w:jc w:val="center"/>
              <w:rPr>
                <w:color w:val="000000"/>
                <w:sz w:val="22"/>
                <w:szCs w:val="22"/>
                <w:lang w:val="en-GB"/>
              </w:rPr>
            </w:pPr>
          </w:p>
        </w:tc>
        <w:tc>
          <w:tcPr>
            <w:tcW w:w="1189" w:type="dxa"/>
            <w:gridSpan w:val="2"/>
            <w:tcBorders>
              <w:top w:val="nil"/>
              <w:left w:val="nil"/>
              <w:bottom w:val="double" w:sz="6" w:space="0" w:color="auto"/>
              <w:right w:val="single" w:sz="8" w:space="0" w:color="auto"/>
            </w:tcBorders>
            <w:shd w:val="clear" w:color="auto" w:fill="auto"/>
            <w:noWrap/>
            <w:vAlign w:val="bottom"/>
            <w:hideMark/>
          </w:tcPr>
          <w:p w14:paraId="68E83011" w14:textId="77777777" w:rsidR="001E2D72" w:rsidRPr="00105869" w:rsidRDefault="001E2D72" w:rsidP="0068649F">
            <w:pPr>
              <w:jc w:val="center"/>
              <w:rPr>
                <w:color w:val="000000"/>
                <w:sz w:val="22"/>
                <w:szCs w:val="22"/>
                <w:lang w:val="en-GB"/>
              </w:rPr>
            </w:pPr>
          </w:p>
        </w:tc>
      </w:tr>
      <w:tr w:rsidR="001E2D72" w:rsidRPr="00105869" w14:paraId="094CE6C7" w14:textId="77777777" w:rsidTr="0068649F">
        <w:trPr>
          <w:trHeight w:val="340"/>
        </w:trPr>
        <w:tc>
          <w:tcPr>
            <w:tcW w:w="4810" w:type="dxa"/>
            <w:tcBorders>
              <w:top w:val="nil"/>
              <w:left w:val="single" w:sz="8" w:space="0" w:color="auto"/>
              <w:bottom w:val="nil"/>
              <w:right w:val="nil"/>
            </w:tcBorders>
            <w:shd w:val="clear" w:color="auto" w:fill="auto"/>
            <w:noWrap/>
            <w:vAlign w:val="bottom"/>
            <w:hideMark/>
          </w:tcPr>
          <w:p w14:paraId="56BA38C2" w14:textId="77777777" w:rsidR="001E2D72" w:rsidRPr="00105869" w:rsidRDefault="001E2D72" w:rsidP="0068649F">
            <w:pPr>
              <w:rPr>
                <w:b/>
                <w:bCs/>
                <w:color w:val="000000"/>
                <w:sz w:val="22"/>
                <w:szCs w:val="22"/>
                <w:lang w:val="en-GB"/>
              </w:rPr>
            </w:pPr>
            <w:r w:rsidRPr="00105869">
              <w:rPr>
                <w:b/>
                <w:bCs/>
                <w:color w:val="000000"/>
                <w:sz w:val="22"/>
                <w:szCs w:val="22"/>
                <w:lang w:val="en-GB"/>
              </w:rPr>
              <w:t>Interspinous space width</w:t>
            </w:r>
          </w:p>
        </w:tc>
        <w:tc>
          <w:tcPr>
            <w:tcW w:w="1166" w:type="dxa"/>
            <w:tcBorders>
              <w:top w:val="nil"/>
              <w:left w:val="single" w:sz="4" w:space="0" w:color="auto"/>
              <w:bottom w:val="nil"/>
              <w:right w:val="nil"/>
            </w:tcBorders>
            <w:shd w:val="clear" w:color="auto" w:fill="auto"/>
            <w:noWrap/>
            <w:vAlign w:val="bottom"/>
            <w:hideMark/>
          </w:tcPr>
          <w:p w14:paraId="41203D1F" w14:textId="77777777" w:rsidR="001E2D72" w:rsidRPr="00105869" w:rsidRDefault="001E2D72" w:rsidP="0068649F">
            <w:pPr>
              <w:jc w:val="center"/>
              <w:rPr>
                <w:sz w:val="22"/>
                <w:szCs w:val="22"/>
                <w:lang w:val="en-GB"/>
              </w:rPr>
            </w:pPr>
            <w:r w:rsidRPr="00105869">
              <w:rPr>
                <w:sz w:val="22"/>
                <w:szCs w:val="22"/>
                <w:lang w:val="en-GB"/>
              </w:rPr>
              <w:t>0.8399</w:t>
            </w:r>
          </w:p>
        </w:tc>
        <w:tc>
          <w:tcPr>
            <w:tcW w:w="1167" w:type="dxa"/>
            <w:gridSpan w:val="2"/>
            <w:tcBorders>
              <w:top w:val="nil"/>
              <w:left w:val="single" w:sz="4" w:space="0" w:color="auto"/>
              <w:bottom w:val="nil"/>
              <w:right w:val="nil"/>
            </w:tcBorders>
            <w:shd w:val="clear" w:color="auto" w:fill="auto"/>
            <w:noWrap/>
            <w:vAlign w:val="bottom"/>
            <w:hideMark/>
          </w:tcPr>
          <w:p w14:paraId="0CD5B584" w14:textId="77777777" w:rsidR="001E2D72" w:rsidRPr="00105869" w:rsidRDefault="001E2D72" w:rsidP="0068649F">
            <w:pPr>
              <w:jc w:val="center"/>
              <w:rPr>
                <w:sz w:val="22"/>
                <w:szCs w:val="22"/>
                <w:lang w:val="en-GB"/>
              </w:rPr>
            </w:pPr>
            <w:r w:rsidRPr="00105869">
              <w:rPr>
                <w:sz w:val="22"/>
                <w:szCs w:val="22"/>
                <w:lang w:val="en-GB"/>
              </w:rPr>
              <w:t>0.8205</w:t>
            </w:r>
          </w:p>
        </w:tc>
        <w:tc>
          <w:tcPr>
            <w:tcW w:w="1166" w:type="dxa"/>
            <w:tcBorders>
              <w:top w:val="nil"/>
              <w:left w:val="single" w:sz="4" w:space="0" w:color="auto"/>
              <w:bottom w:val="nil"/>
              <w:right w:val="nil"/>
            </w:tcBorders>
            <w:shd w:val="clear" w:color="auto" w:fill="auto"/>
            <w:noWrap/>
            <w:vAlign w:val="bottom"/>
            <w:hideMark/>
          </w:tcPr>
          <w:p w14:paraId="7DA147F7" w14:textId="77777777" w:rsidR="001E2D72" w:rsidRPr="00105869" w:rsidRDefault="001E2D72" w:rsidP="0068649F">
            <w:pPr>
              <w:jc w:val="center"/>
              <w:rPr>
                <w:sz w:val="22"/>
                <w:szCs w:val="22"/>
                <w:lang w:val="en-GB"/>
              </w:rPr>
            </w:pPr>
            <w:r w:rsidRPr="00105869">
              <w:rPr>
                <w:sz w:val="22"/>
                <w:szCs w:val="22"/>
                <w:lang w:val="en-GB"/>
              </w:rPr>
              <w:t>0.821</w:t>
            </w:r>
          </w:p>
        </w:tc>
        <w:tc>
          <w:tcPr>
            <w:tcW w:w="1167" w:type="dxa"/>
            <w:tcBorders>
              <w:top w:val="nil"/>
              <w:left w:val="single" w:sz="4" w:space="0" w:color="auto"/>
              <w:bottom w:val="nil"/>
              <w:right w:val="nil"/>
            </w:tcBorders>
            <w:shd w:val="clear" w:color="auto" w:fill="auto"/>
            <w:noWrap/>
            <w:vAlign w:val="bottom"/>
            <w:hideMark/>
          </w:tcPr>
          <w:p w14:paraId="2F52C5B8" w14:textId="77777777" w:rsidR="001E2D72" w:rsidRPr="00105869" w:rsidRDefault="001E2D72" w:rsidP="0068649F">
            <w:pPr>
              <w:jc w:val="center"/>
              <w:rPr>
                <w:sz w:val="22"/>
                <w:szCs w:val="22"/>
                <w:lang w:val="en-GB"/>
              </w:rPr>
            </w:pPr>
            <w:r w:rsidRPr="00105869">
              <w:rPr>
                <w:sz w:val="22"/>
                <w:szCs w:val="22"/>
                <w:lang w:val="en-GB"/>
              </w:rPr>
              <w:t>0.807</w:t>
            </w:r>
          </w:p>
        </w:tc>
        <w:tc>
          <w:tcPr>
            <w:tcW w:w="1167" w:type="dxa"/>
            <w:gridSpan w:val="2"/>
            <w:tcBorders>
              <w:top w:val="nil"/>
              <w:left w:val="single" w:sz="4" w:space="0" w:color="auto"/>
              <w:bottom w:val="nil"/>
              <w:right w:val="nil"/>
            </w:tcBorders>
            <w:shd w:val="clear" w:color="auto" w:fill="auto"/>
            <w:noWrap/>
            <w:vAlign w:val="bottom"/>
            <w:hideMark/>
          </w:tcPr>
          <w:p w14:paraId="1577E868" w14:textId="77777777" w:rsidR="001E2D72" w:rsidRPr="00105869" w:rsidRDefault="001E2D72" w:rsidP="0068649F">
            <w:pPr>
              <w:jc w:val="center"/>
              <w:rPr>
                <w:sz w:val="22"/>
                <w:szCs w:val="22"/>
                <w:lang w:val="en-GB"/>
              </w:rPr>
            </w:pPr>
            <w:r w:rsidRPr="00105869">
              <w:rPr>
                <w:sz w:val="22"/>
                <w:szCs w:val="22"/>
                <w:lang w:val="en-GB"/>
              </w:rPr>
              <w:t>0.758</w:t>
            </w:r>
          </w:p>
        </w:tc>
        <w:tc>
          <w:tcPr>
            <w:tcW w:w="1166" w:type="dxa"/>
            <w:gridSpan w:val="2"/>
            <w:tcBorders>
              <w:top w:val="nil"/>
              <w:left w:val="single" w:sz="4" w:space="0" w:color="auto"/>
              <w:bottom w:val="nil"/>
              <w:right w:val="nil"/>
            </w:tcBorders>
            <w:shd w:val="clear" w:color="auto" w:fill="auto"/>
            <w:noWrap/>
            <w:vAlign w:val="bottom"/>
            <w:hideMark/>
          </w:tcPr>
          <w:p w14:paraId="341B98FA" w14:textId="77777777" w:rsidR="001E2D72" w:rsidRPr="00105869" w:rsidRDefault="001E2D72" w:rsidP="0068649F">
            <w:pPr>
              <w:jc w:val="center"/>
              <w:rPr>
                <w:sz w:val="22"/>
                <w:szCs w:val="22"/>
                <w:lang w:val="en-GB"/>
              </w:rPr>
            </w:pPr>
            <w:r w:rsidRPr="00105869">
              <w:rPr>
                <w:sz w:val="22"/>
                <w:szCs w:val="22"/>
                <w:lang w:val="en-GB"/>
              </w:rPr>
              <w:t>0.725</w:t>
            </w:r>
          </w:p>
        </w:tc>
        <w:tc>
          <w:tcPr>
            <w:tcW w:w="1167" w:type="dxa"/>
            <w:tcBorders>
              <w:top w:val="nil"/>
              <w:left w:val="single" w:sz="4" w:space="0" w:color="auto"/>
              <w:bottom w:val="nil"/>
              <w:right w:val="nil"/>
            </w:tcBorders>
            <w:shd w:val="clear" w:color="auto" w:fill="auto"/>
            <w:noWrap/>
            <w:vAlign w:val="bottom"/>
            <w:hideMark/>
          </w:tcPr>
          <w:p w14:paraId="21C87554" w14:textId="77777777" w:rsidR="001E2D72" w:rsidRPr="00105869" w:rsidRDefault="001E2D72" w:rsidP="0068649F">
            <w:pPr>
              <w:jc w:val="center"/>
              <w:rPr>
                <w:sz w:val="22"/>
                <w:szCs w:val="22"/>
                <w:lang w:val="en-GB"/>
              </w:rPr>
            </w:pPr>
            <w:r w:rsidRPr="00105869">
              <w:rPr>
                <w:sz w:val="22"/>
                <w:szCs w:val="22"/>
                <w:lang w:val="en-GB"/>
              </w:rPr>
              <w:t>0.269</w:t>
            </w:r>
          </w:p>
        </w:tc>
        <w:tc>
          <w:tcPr>
            <w:tcW w:w="1189" w:type="dxa"/>
            <w:gridSpan w:val="2"/>
            <w:tcBorders>
              <w:top w:val="nil"/>
              <w:left w:val="single" w:sz="4" w:space="0" w:color="auto"/>
              <w:bottom w:val="nil"/>
              <w:right w:val="single" w:sz="8" w:space="0" w:color="auto"/>
            </w:tcBorders>
            <w:shd w:val="clear" w:color="auto" w:fill="auto"/>
            <w:noWrap/>
            <w:vAlign w:val="bottom"/>
            <w:hideMark/>
          </w:tcPr>
          <w:p w14:paraId="2249EE6F" w14:textId="77777777" w:rsidR="001E2D72" w:rsidRPr="00105869" w:rsidRDefault="001E2D72" w:rsidP="0068649F">
            <w:pPr>
              <w:jc w:val="center"/>
              <w:rPr>
                <w:sz w:val="22"/>
                <w:szCs w:val="22"/>
                <w:lang w:val="en-GB"/>
              </w:rPr>
            </w:pPr>
            <w:r w:rsidRPr="00105869">
              <w:rPr>
                <w:sz w:val="22"/>
                <w:szCs w:val="22"/>
                <w:lang w:val="en-GB"/>
              </w:rPr>
              <w:t>0.624</w:t>
            </w:r>
          </w:p>
        </w:tc>
      </w:tr>
      <w:tr w:rsidR="001E2D72" w:rsidRPr="00105869" w14:paraId="3F83A322" w14:textId="77777777" w:rsidTr="0068649F">
        <w:trPr>
          <w:trHeight w:val="320"/>
        </w:trPr>
        <w:tc>
          <w:tcPr>
            <w:tcW w:w="4810" w:type="dxa"/>
            <w:tcBorders>
              <w:top w:val="nil"/>
              <w:left w:val="single" w:sz="8" w:space="0" w:color="auto"/>
              <w:bottom w:val="nil"/>
              <w:right w:val="nil"/>
            </w:tcBorders>
            <w:shd w:val="clear" w:color="auto" w:fill="auto"/>
            <w:noWrap/>
            <w:vAlign w:val="bottom"/>
            <w:hideMark/>
          </w:tcPr>
          <w:p w14:paraId="663E1A96" w14:textId="77777777" w:rsidR="001E2D72" w:rsidRPr="00105869" w:rsidRDefault="001E2D72" w:rsidP="0068649F">
            <w:pPr>
              <w:rPr>
                <w:b/>
                <w:bCs/>
                <w:color w:val="000000"/>
                <w:sz w:val="22"/>
                <w:szCs w:val="22"/>
                <w:lang w:val="en-GB"/>
              </w:rPr>
            </w:pPr>
            <w:r w:rsidRPr="00105869">
              <w:rPr>
                <w:b/>
                <w:bCs/>
                <w:color w:val="000000"/>
                <w:sz w:val="22"/>
                <w:szCs w:val="22"/>
                <w:lang w:val="en-GB"/>
              </w:rPr>
              <w:t>Isolated radiopacity dorsally</w:t>
            </w:r>
          </w:p>
        </w:tc>
        <w:tc>
          <w:tcPr>
            <w:tcW w:w="1166" w:type="dxa"/>
            <w:tcBorders>
              <w:top w:val="nil"/>
              <w:left w:val="single" w:sz="4" w:space="0" w:color="auto"/>
              <w:bottom w:val="nil"/>
              <w:right w:val="nil"/>
            </w:tcBorders>
            <w:shd w:val="clear" w:color="auto" w:fill="auto"/>
            <w:noWrap/>
            <w:vAlign w:val="bottom"/>
            <w:hideMark/>
          </w:tcPr>
          <w:p w14:paraId="778ED277" w14:textId="77777777" w:rsidR="001E2D72" w:rsidRPr="00105869" w:rsidRDefault="001E2D72" w:rsidP="0068649F">
            <w:pPr>
              <w:jc w:val="center"/>
              <w:rPr>
                <w:sz w:val="22"/>
                <w:szCs w:val="22"/>
                <w:lang w:val="en-GB"/>
              </w:rPr>
            </w:pPr>
            <w:r w:rsidRPr="00105869">
              <w:rPr>
                <w:sz w:val="22"/>
                <w:szCs w:val="22"/>
                <w:lang w:val="en-GB"/>
              </w:rPr>
              <w:t>0.7845</w:t>
            </w:r>
          </w:p>
        </w:tc>
        <w:tc>
          <w:tcPr>
            <w:tcW w:w="1167" w:type="dxa"/>
            <w:gridSpan w:val="2"/>
            <w:tcBorders>
              <w:top w:val="nil"/>
              <w:left w:val="single" w:sz="4" w:space="0" w:color="auto"/>
              <w:bottom w:val="nil"/>
              <w:right w:val="nil"/>
            </w:tcBorders>
            <w:shd w:val="clear" w:color="auto" w:fill="auto"/>
            <w:noWrap/>
            <w:vAlign w:val="bottom"/>
            <w:hideMark/>
          </w:tcPr>
          <w:p w14:paraId="3D2D279A" w14:textId="77777777" w:rsidR="001E2D72" w:rsidRPr="00105869" w:rsidRDefault="001E2D72" w:rsidP="0068649F">
            <w:pPr>
              <w:jc w:val="center"/>
              <w:rPr>
                <w:sz w:val="22"/>
                <w:szCs w:val="22"/>
                <w:lang w:val="en-GB"/>
              </w:rPr>
            </w:pPr>
            <w:r w:rsidRPr="00105869">
              <w:rPr>
                <w:sz w:val="22"/>
                <w:szCs w:val="22"/>
                <w:lang w:val="en-GB"/>
              </w:rPr>
              <w:t>0.763</w:t>
            </w:r>
          </w:p>
        </w:tc>
        <w:tc>
          <w:tcPr>
            <w:tcW w:w="1166" w:type="dxa"/>
            <w:tcBorders>
              <w:top w:val="nil"/>
              <w:left w:val="single" w:sz="4" w:space="0" w:color="auto"/>
              <w:bottom w:val="nil"/>
              <w:right w:val="nil"/>
            </w:tcBorders>
            <w:shd w:val="clear" w:color="auto" w:fill="auto"/>
            <w:noWrap/>
            <w:vAlign w:val="bottom"/>
            <w:hideMark/>
          </w:tcPr>
          <w:p w14:paraId="085508E7" w14:textId="77777777" w:rsidR="001E2D72" w:rsidRPr="00105869" w:rsidRDefault="001E2D72" w:rsidP="0068649F">
            <w:pPr>
              <w:jc w:val="center"/>
              <w:rPr>
                <w:sz w:val="22"/>
                <w:szCs w:val="22"/>
                <w:lang w:val="en-GB"/>
              </w:rPr>
            </w:pPr>
            <w:r w:rsidRPr="00105869">
              <w:rPr>
                <w:sz w:val="22"/>
                <w:szCs w:val="22"/>
                <w:lang w:val="en-GB"/>
              </w:rPr>
              <w:t>0.772</w:t>
            </w:r>
          </w:p>
        </w:tc>
        <w:tc>
          <w:tcPr>
            <w:tcW w:w="1167" w:type="dxa"/>
            <w:tcBorders>
              <w:top w:val="nil"/>
              <w:left w:val="single" w:sz="4" w:space="0" w:color="auto"/>
              <w:bottom w:val="nil"/>
              <w:right w:val="nil"/>
            </w:tcBorders>
            <w:shd w:val="clear" w:color="auto" w:fill="auto"/>
            <w:noWrap/>
            <w:vAlign w:val="bottom"/>
            <w:hideMark/>
          </w:tcPr>
          <w:p w14:paraId="4143441C" w14:textId="77777777" w:rsidR="001E2D72" w:rsidRPr="00105869" w:rsidRDefault="001E2D72" w:rsidP="0068649F">
            <w:pPr>
              <w:jc w:val="center"/>
              <w:rPr>
                <w:sz w:val="22"/>
                <w:szCs w:val="22"/>
                <w:lang w:val="en-GB"/>
              </w:rPr>
            </w:pPr>
            <w:r w:rsidRPr="00105869">
              <w:rPr>
                <w:sz w:val="22"/>
                <w:szCs w:val="22"/>
                <w:lang w:val="en-GB"/>
              </w:rPr>
              <w:t>0.717</w:t>
            </w:r>
          </w:p>
        </w:tc>
        <w:tc>
          <w:tcPr>
            <w:tcW w:w="1167" w:type="dxa"/>
            <w:gridSpan w:val="2"/>
            <w:tcBorders>
              <w:top w:val="nil"/>
              <w:left w:val="single" w:sz="4" w:space="0" w:color="auto"/>
              <w:bottom w:val="nil"/>
              <w:right w:val="nil"/>
            </w:tcBorders>
            <w:shd w:val="clear" w:color="auto" w:fill="auto"/>
            <w:noWrap/>
            <w:vAlign w:val="bottom"/>
            <w:hideMark/>
          </w:tcPr>
          <w:p w14:paraId="4C98B6DF" w14:textId="77777777" w:rsidR="001E2D72" w:rsidRPr="00105869" w:rsidRDefault="001E2D72" w:rsidP="0068649F">
            <w:pPr>
              <w:jc w:val="center"/>
              <w:rPr>
                <w:sz w:val="22"/>
                <w:szCs w:val="22"/>
                <w:lang w:val="en-GB"/>
              </w:rPr>
            </w:pPr>
            <w:r w:rsidRPr="00105869">
              <w:rPr>
                <w:sz w:val="22"/>
                <w:szCs w:val="22"/>
                <w:lang w:val="en-GB"/>
              </w:rPr>
              <w:t>0.747</w:t>
            </w:r>
          </w:p>
        </w:tc>
        <w:tc>
          <w:tcPr>
            <w:tcW w:w="1166" w:type="dxa"/>
            <w:gridSpan w:val="2"/>
            <w:tcBorders>
              <w:top w:val="nil"/>
              <w:left w:val="single" w:sz="4" w:space="0" w:color="auto"/>
              <w:bottom w:val="nil"/>
              <w:right w:val="nil"/>
            </w:tcBorders>
            <w:shd w:val="clear" w:color="auto" w:fill="auto"/>
            <w:noWrap/>
            <w:vAlign w:val="bottom"/>
            <w:hideMark/>
          </w:tcPr>
          <w:p w14:paraId="19AC548B" w14:textId="77777777" w:rsidR="001E2D72" w:rsidRPr="00105869" w:rsidRDefault="001E2D72" w:rsidP="0068649F">
            <w:pPr>
              <w:jc w:val="center"/>
              <w:rPr>
                <w:sz w:val="22"/>
                <w:szCs w:val="22"/>
                <w:lang w:val="en-GB"/>
              </w:rPr>
            </w:pPr>
            <w:r w:rsidRPr="00105869">
              <w:rPr>
                <w:sz w:val="22"/>
                <w:szCs w:val="22"/>
                <w:lang w:val="en-GB"/>
              </w:rPr>
              <w:t>0.705</w:t>
            </w:r>
          </w:p>
        </w:tc>
        <w:tc>
          <w:tcPr>
            <w:tcW w:w="1167" w:type="dxa"/>
            <w:tcBorders>
              <w:top w:val="nil"/>
              <w:left w:val="single" w:sz="4" w:space="0" w:color="auto"/>
              <w:bottom w:val="nil"/>
              <w:right w:val="nil"/>
            </w:tcBorders>
            <w:shd w:val="clear" w:color="auto" w:fill="auto"/>
            <w:noWrap/>
            <w:vAlign w:val="bottom"/>
            <w:hideMark/>
          </w:tcPr>
          <w:p w14:paraId="03340F93" w14:textId="77777777" w:rsidR="001E2D72" w:rsidRPr="00105869" w:rsidRDefault="001E2D72" w:rsidP="0068649F">
            <w:pPr>
              <w:jc w:val="center"/>
              <w:rPr>
                <w:sz w:val="22"/>
                <w:szCs w:val="22"/>
                <w:lang w:val="en-GB"/>
              </w:rPr>
            </w:pPr>
            <w:r w:rsidRPr="00105869">
              <w:rPr>
                <w:sz w:val="22"/>
                <w:szCs w:val="22"/>
                <w:lang w:val="en-GB"/>
              </w:rPr>
              <w:t>0.237</w:t>
            </w:r>
          </w:p>
        </w:tc>
        <w:tc>
          <w:tcPr>
            <w:tcW w:w="1189" w:type="dxa"/>
            <w:gridSpan w:val="2"/>
            <w:tcBorders>
              <w:top w:val="nil"/>
              <w:left w:val="single" w:sz="4" w:space="0" w:color="auto"/>
              <w:bottom w:val="nil"/>
              <w:right w:val="single" w:sz="8" w:space="0" w:color="auto"/>
            </w:tcBorders>
            <w:shd w:val="clear" w:color="auto" w:fill="auto"/>
            <w:noWrap/>
            <w:vAlign w:val="bottom"/>
            <w:hideMark/>
          </w:tcPr>
          <w:p w14:paraId="7F461AEB" w14:textId="77777777" w:rsidR="001E2D72" w:rsidRPr="00105869" w:rsidRDefault="001E2D72" w:rsidP="0068649F">
            <w:pPr>
              <w:jc w:val="center"/>
              <w:rPr>
                <w:sz w:val="22"/>
                <w:szCs w:val="22"/>
                <w:lang w:val="en-GB"/>
              </w:rPr>
            </w:pPr>
            <w:r w:rsidRPr="00105869">
              <w:rPr>
                <w:sz w:val="22"/>
                <w:szCs w:val="22"/>
                <w:lang w:val="en-GB"/>
              </w:rPr>
              <w:t>0.626</w:t>
            </w:r>
          </w:p>
        </w:tc>
      </w:tr>
      <w:tr w:rsidR="001E2D72" w:rsidRPr="00105869" w14:paraId="03D987ED" w14:textId="77777777" w:rsidTr="0068649F">
        <w:trPr>
          <w:trHeight w:val="320"/>
        </w:trPr>
        <w:tc>
          <w:tcPr>
            <w:tcW w:w="4810" w:type="dxa"/>
            <w:tcBorders>
              <w:top w:val="nil"/>
              <w:left w:val="single" w:sz="8" w:space="0" w:color="auto"/>
              <w:bottom w:val="nil"/>
              <w:right w:val="nil"/>
            </w:tcBorders>
            <w:shd w:val="clear" w:color="auto" w:fill="auto"/>
            <w:noWrap/>
            <w:vAlign w:val="bottom"/>
            <w:hideMark/>
          </w:tcPr>
          <w:p w14:paraId="38162033" w14:textId="77777777" w:rsidR="001E2D72" w:rsidRPr="00105869" w:rsidRDefault="001E2D72" w:rsidP="0068649F">
            <w:pPr>
              <w:rPr>
                <w:b/>
                <w:bCs/>
                <w:color w:val="000000"/>
                <w:sz w:val="22"/>
                <w:szCs w:val="22"/>
                <w:lang w:val="en-GB"/>
              </w:rPr>
            </w:pPr>
            <w:r w:rsidRPr="00105869">
              <w:rPr>
                <w:b/>
                <w:bCs/>
                <w:color w:val="000000"/>
                <w:sz w:val="22"/>
                <w:szCs w:val="22"/>
                <w:lang w:val="en-GB"/>
              </w:rPr>
              <w:t>Modelling dorsal margin</w:t>
            </w:r>
          </w:p>
        </w:tc>
        <w:tc>
          <w:tcPr>
            <w:tcW w:w="1166" w:type="dxa"/>
            <w:tcBorders>
              <w:top w:val="nil"/>
              <w:left w:val="single" w:sz="4" w:space="0" w:color="auto"/>
              <w:bottom w:val="nil"/>
              <w:right w:val="nil"/>
            </w:tcBorders>
            <w:shd w:val="clear" w:color="auto" w:fill="auto"/>
            <w:noWrap/>
            <w:vAlign w:val="bottom"/>
            <w:hideMark/>
          </w:tcPr>
          <w:p w14:paraId="43DE1DFE" w14:textId="77777777" w:rsidR="001E2D72" w:rsidRPr="00105869" w:rsidRDefault="001E2D72" w:rsidP="0068649F">
            <w:pPr>
              <w:jc w:val="center"/>
              <w:rPr>
                <w:sz w:val="22"/>
                <w:szCs w:val="22"/>
                <w:lang w:val="en-GB"/>
              </w:rPr>
            </w:pPr>
            <w:r w:rsidRPr="00105869">
              <w:rPr>
                <w:sz w:val="22"/>
                <w:szCs w:val="22"/>
                <w:lang w:val="en-GB"/>
              </w:rPr>
              <w:t>0.5762</w:t>
            </w:r>
          </w:p>
        </w:tc>
        <w:tc>
          <w:tcPr>
            <w:tcW w:w="1167" w:type="dxa"/>
            <w:gridSpan w:val="2"/>
            <w:tcBorders>
              <w:top w:val="nil"/>
              <w:left w:val="single" w:sz="4" w:space="0" w:color="auto"/>
              <w:bottom w:val="nil"/>
              <w:right w:val="nil"/>
            </w:tcBorders>
            <w:shd w:val="clear" w:color="auto" w:fill="auto"/>
            <w:noWrap/>
            <w:vAlign w:val="bottom"/>
            <w:hideMark/>
          </w:tcPr>
          <w:p w14:paraId="3B316E78" w14:textId="77777777" w:rsidR="001E2D72" w:rsidRPr="00105869" w:rsidRDefault="001E2D72" w:rsidP="0068649F">
            <w:pPr>
              <w:jc w:val="center"/>
              <w:rPr>
                <w:sz w:val="22"/>
                <w:szCs w:val="22"/>
                <w:lang w:val="en-GB"/>
              </w:rPr>
            </w:pPr>
            <w:r w:rsidRPr="00105869">
              <w:rPr>
                <w:sz w:val="22"/>
                <w:szCs w:val="22"/>
                <w:lang w:val="en-GB"/>
              </w:rPr>
              <w:t>0.1484</w:t>
            </w:r>
          </w:p>
        </w:tc>
        <w:tc>
          <w:tcPr>
            <w:tcW w:w="1166" w:type="dxa"/>
            <w:tcBorders>
              <w:top w:val="nil"/>
              <w:left w:val="single" w:sz="4" w:space="0" w:color="auto"/>
              <w:bottom w:val="nil"/>
              <w:right w:val="nil"/>
            </w:tcBorders>
            <w:shd w:val="clear" w:color="auto" w:fill="auto"/>
            <w:noWrap/>
            <w:vAlign w:val="bottom"/>
            <w:hideMark/>
          </w:tcPr>
          <w:p w14:paraId="7267B939" w14:textId="77777777" w:rsidR="001E2D72" w:rsidRPr="00105869" w:rsidRDefault="001E2D72" w:rsidP="0068649F">
            <w:pPr>
              <w:jc w:val="center"/>
              <w:rPr>
                <w:sz w:val="22"/>
                <w:szCs w:val="22"/>
                <w:lang w:val="en-GB"/>
              </w:rPr>
            </w:pPr>
            <w:r w:rsidRPr="00105869">
              <w:rPr>
                <w:sz w:val="22"/>
                <w:szCs w:val="22"/>
                <w:lang w:val="en-GB"/>
              </w:rPr>
              <w:t>0.425</w:t>
            </w:r>
          </w:p>
        </w:tc>
        <w:tc>
          <w:tcPr>
            <w:tcW w:w="1167" w:type="dxa"/>
            <w:tcBorders>
              <w:top w:val="nil"/>
              <w:left w:val="single" w:sz="4" w:space="0" w:color="auto"/>
              <w:bottom w:val="nil"/>
              <w:right w:val="nil"/>
            </w:tcBorders>
            <w:shd w:val="clear" w:color="auto" w:fill="auto"/>
            <w:noWrap/>
            <w:vAlign w:val="bottom"/>
            <w:hideMark/>
          </w:tcPr>
          <w:p w14:paraId="1039B26D" w14:textId="77777777" w:rsidR="001E2D72" w:rsidRPr="00105869" w:rsidRDefault="001E2D72" w:rsidP="0068649F">
            <w:pPr>
              <w:jc w:val="center"/>
              <w:rPr>
                <w:sz w:val="22"/>
                <w:szCs w:val="22"/>
                <w:lang w:val="en-GB"/>
              </w:rPr>
            </w:pPr>
            <w:r w:rsidRPr="00105869">
              <w:rPr>
                <w:sz w:val="22"/>
                <w:szCs w:val="22"/>
                <w:lang w:val="en-GB"/>
              </w:rPr>
              <w:t>0.194</w:t>
            </w:r>
          </w:p>
        </w:tc>
        <w:tc>
          <w:tcPr>
            <w:tcW w:w="1167" w:type="dxa"/>
            <w:gridSpan w:val="2"/>
            <w:tcBorders>
              <w:top w:val="nil"/>
              <w:left w:val="single" w:sz="4" w:space="0" w:color="auto"/>
              <w:bottom w:val="nil"/>
              <w:right w:val="nil"/>
            </w:tcBorders>
            <w:shd w:val="clear" w:color="auto" w:fill="auto"/>
            <w:noWrap/>
            <w:vAlign w:val="bottom"/>
            <w:hideMark/>
          </w:tcPr>
          <w:p w14:paraId="107EB6AC" w14:textId="77777777" w:rsidR="001E2D72" w:rsidRPr="00105869" w:rsidRDefault="001E2D72" w:rsidP="0068649F">
            <w:pPr>
              <w:jc w:val="center"/>
              <w:rPr>
                <w:sz w:val="22"/>
                <w:szCs w:val="22"/>
                <w:lang w:val="en-GB"/>
              </w:rPr>
            </w:pPr>
            <w:r w:rsidRPr="00105869">
              <w:rPr>
                <w:sz w:val="22"/>
                <w:szCs w:val="22"/>
                <w:lang w:val="en-GB"/>
              </w:rPr>
              <w:t>0.62</w:t>
            </w:r>
          </w:p>
        </w:tc>
        <w:tc>
          <w:tcPr>
            <w:tcW w:w="1166" w:type="dxa"/>
            <w:gridSpan w:val="2"/>
            <w:tcBorders>
              <w:top w:val="nil"/>
              <w:left w:val="single" w:sz="4" w:space="0" w:color="auto"/>
              <w:bottom w:val="nil"/>
              <w:right w:val="nil"/>
            </w:tcBorders>
            <w:shd w:val="clear" w:color="auto" w:fill="auto"/>
            <w:noWrap/>
            <w:vAlign w:val="bottom"/>
            <w:hideMark/>
          </w:tcPr>
          <w:p w14:paraId="6832AB5D" w14:textId="77777777" w:rsidR="001E2D72" w:rsidRPr="00105869" w:rsidRDefault="001E2D72" w:rsidP="0068649F">
            <w:pPr>
              <w:jc w:val="center"/>
              <w:rPr>
                <w:sz w:val="22"/>
                <w:szCs w:val="22"/>
                <w:lang w:val="en-GB"/>
              </w:rPr>
            </w:pPr>
            <w:r w:rsidRPr="00105869">
              <w:rPr>
                <w:sz w:val="22"/>
                <w:szCs w:val="22"/>
                <w:lang w:val="en-GB"/>
              </w:rPr>
              <w:t>0.108</w:t>
            </w:r>
          </w:p>
        </w:tc>
        <w:tc>
          <w:tcPr>
            <w:tcW w:w="1167" w:type="dxa"/>
            <w:tcBorders>
              <w:top w:val="nil"/>
              <w:left w:val="single" w:sz="4" w:space="0" w:color="auto"/>
              <w:bottom w:val="nil"/>
              <w:right w:val="nil"/>
            </w:tcBorders>
            <w:shd w:val="clear" w:color="auto" w:fill="auto"/>
            <w:noWrap/>
            <w:vAlign w:val="bottom"/>
            <w:hideMark/>
          </w:tcPr>
          <w:p w14:paraId="7AE5088A" w14:textId="77777777" w:rsidR="001E2D72" w:rsidRPr="00105869" w:rsidRDefault="001E2D72" w:rsidP="0068649F">
            <w:pPr>
              <w:jc w:val="center"/>
              <w:rPr>
                <w:sz w:val="22"/>
                <w:szCs w:val="22"/>
                <w:lang w:val="en-GB"/>
              </w:rPr>
            </w:pPr>
            <w:r w:rsidRPr="00105869">
              <w:rPr>
                <w:sz w:val="22"/>
                <w:szCs w:val="22"/>
                <w:lang w:val="en-GB"/>
              </w:rPr>
              <w:t>0.107</w:t>
            </w:r>
          </w:p>
        </w:tc>
        <w:tc>
          <w:tcPr>
            <w:tcW w:w="1189" w:type="dxa"/>
            <w:gridSpan w:val="2"/>
            <w:tcBorders>
              <w:top w:val="nil"/>
              <w:left w:val="single" w:sz="4" w:space="0" w:color="auto"/>
              <w:bottom w:val="nil"/>
              <w:right w:val="single" w:sz="8" w:space="0" w:color="auto"/>
            </w:tcBorders>
            <w:shd w:val="clear" w:color="auto" w:fill="auto"/>
            <w:noWrap/>
            <w:vAlign w:val="bottom"/>
            <w:hideMark/>
          </w:tcPr>
          <w:p w14:paraId="3F859CB4" w14:textId="77777777" w:rsidR="001E2D72" w:rsidRPr="00105869" w:rsidRDefault="001E2D72" w:rsidP="0068649F">
            <w:pPr>
              <w:jc w:val="center"/>
              <w:rPr>
                <w:sz w:val="22"/>
                <w:szCs w:val="22"/>
                <w:lang w:val="en-GB"/>
              </w:rPr>
            </w:pPr>
            <w:r w:rsidRPr="00105869">
              <w:rPr>
                <w:sz w:val="22"/>
                <w:szCs w:val="22"/>
                <w:lang w:val="en-GB"/>
              </w:rPr>
              <w:t>0.232</w:t>
            </w:r>
          </w:p>
        </w:tc>
      </w:tr>
      <w:tr w:rsidR="001E2D72" w:rsidRPr="00105869" w14:paraId="285012A8" w14:textId="77777777" w:rsidTr="0068649F">
        <w:trPr>
          <w:trHeight w:val="320"/>
        </w:trPr>
        <w:tc>
          <w:tcPr>
            <w:tcW w:w="4810" w:type="dxa"/>
            <w:tcBorders>
              <w:top w:val="nil"/>
              <w:left w:val="single" w:sz="8" w:space="0" w:color="auto"/>
              <w:bottom w:val="nil"/>
              <w:right w:val="nil"/>
            </w:tcBorders>
            <w:shd w:val="clear" w:color="auto" w:fill="auto"/>
            <w:noWrap/>
            <w:vAlign w:val="bottom"/>
            <w:hideMark/>
          </w:tcPr>
          <w:p w14:paraId="4B403D1A" w14:textId="77777777" w:rsidR="001E2D72" w:rsidRPr="00105869" w:rsidRDefault="001E2D72" w:rsidP="0068649F">
            <w:pPr>
              <w:rPr>
                <w:b/>
                <w:bCs/>
                <w:color w:val="000000"/>
                <w:sz w:val="22"/>
                <w:szCs w:val="22"/>
                <w:lang w:val="en-GB"/>
              </w:rPr>
            </w:pPr>
            <w:r w:rsidRPr="00105869">
              <w:rPr>
                <w:b/>
                <w:bCs/>
                <w:color w:val="000000"/>
                <w:sz w:val="22"/>
                <w:szCs w:val="22"/>
                <w:lang w:val="en-GB"/>
              </w:rPr>
              <w:t>Beak-shaped formations craniodorsally</w:t>
            </w:r>
          </w:p>
        </w:tc>
        <w:tc>
          <w:tcPr>
            <w:tcW w:w="1166" w:type="dxa"/>
            <w:tcBorders>
              <w:top w:val="nil"/>
              <w:left w:val="single" w:sz="4" w:space="0" w:color="auto"/>
              <w:bottom w:val="nil"/>
              <w:right w:val="nil"/>
            </w:tcBorders>
            <w:shd w:val="clear" w:color="auto" w:fill="auto"/>
            <w:noWrap/>
            <w:vAlign w:val="bottom"/>
            <w:hideMark/>
          </w:tcPr>
          <w:p w14:paraId="7A74FC83" w14:textId="77777777" w:rsidR="001E2D72" w:rsidRPr="00105869" w:rsidRDefault="001E2D72" w:rsidP="0068649F">
            <w:pPr>
              <w:jc w:val="center"/>
              <w:rPr>
                <w:sz w:val="22"/>
                <w:szCs w:val="22"/>
                <w:lang w:val="en-GB"/>
              </w:rPr>
            </w:pPr>
            <w:r w:rsidRPr="00105869">
              <w:rPr>
                <w:sz w:val="22"/>
                <w:szCs w:val="22"/>
                <w:lang w:val="en-GB"/>
              </w:rPr>
              <w:t>0.7153</w:t>
            </w:r>
          </w:p>
        </w:tc>
        <w:tc>
          <w:tcPr>
            <w:tcW w:w="1167" w:type="dxa"/>
            <w:gridSpan w:val="2"/>
            <w:tcBorders>
              <w:top w:val="nil"/>
              <w:left w:val="single" w:sz="4" w:space="0" w:color="auto"/>
              <w:bottom w:val="nil"/>
              <w:right w:val="nil"/>
            </w:tcBorders>
            <w:shd w:val="clear" w:color="auto" w:fill="auto"/>
            <w:noWrap/>
            <w:vAlign w:val="bottom"/>
            <w:hideMark/>
          </w:tcPr>
          <w:p w14:paraId="75082745" w14:textId="77777777" w:rsidR="001E2D72" w:rsidRPr="00105869" w:rsidRDefault="001E2D72" w:rsidP="0068649F">
            <w:pPr>
              <w:jc w:val="center"/>
              <w:rPr>
                <w:sz w:val="22"/>
                <w:szCs w:val="22"/>
                <w:lang w:val="en-GB"/>
              </w:rPr>
            </w:pPr>
            <w:r w:rsidRPr="00105869">
              <w:rPr>
                <w:sz w:val="22"/>
                <w:szCs w:val="22"/>
                <w:lang w:val="en-GB"/>
              </w:rPr>
              <w:t>0.5414</w:t>
            </w:r>
          </w:p>
        </w:tc>
        <w:tc>
          <w:tcPr>
            <w:tcW w:w="1166" w:type="dxa"/>
            <w:tcBorders>
              <w:top w:val="nil"/>
              <w:left w:val="single" w:sz="4" w:space="0" w:color="auto"/>
              <w:bottom w:val="nil"/>
              <w:right w:val="nil"/>
            </w:tcBorders>
            <w:shd w:val="clear" w:color="auto" w:fill="auto"/>
            <w:noWrap/>
            <w:vAlign w:val="bottom"/>
            <w:hideMark/>
          </w:tcPr>
          <w:p w14:paraId="54D781AB" w14:textId="77777777" w:rsidR="001E2D72" w:rsidRPr="00105869" w:rsidRDefault="001E2D72" w:rsidP="0068649F">
            <w:pPr>
              <w:jc w:val="center"/>
              <w:rPr>
                <w:sz w:val="22"/>
                <w:szCs w:val="22"/>
                <w:lang w:val="en-GB"/>
              </w:rPr>
            </w:pPr>
            <w:r w:rsidRPr="00105869">
              <w:rPr>
                <w:sz w:val="22"/>
                <w:szCs w:val="22"/>
                <w:lang w:val="en-GB"/>
              </w:rPr>
              <w:t>0.687</w:t>
            </w:r>
          </w:p>
        </w:tc>
        <w:tc>
          <w:tcPr>
            <w:tcW w:w="1167" w:type="dxa"/>
            <w:tcBorders>
              <w:top w:val="nil"/>
              <w:left w:val="single" w:sz="4" w:space="0" w:color="auto"/>
              <w:bottom w:val="nil"/>
              <w:right w:val="nil"/>
            </w:tcBorders>
            <w:shd w:val="clear" w:color="auto" w:fill="auto"/>
            <w:noWrap/>
            <w:vAlign w:val="bottom"/>
            <w:hideMark/>
          </w:tcPr>
          <w:p w14:paraId="6A9663D8" w14:textId="77777777" w:rsidR="001E2D72" w:rsidRPr="00105869" w:rsidRDefault="001E2D72" w:rsidP="0068649F">
            <w:pPr>
              <w:jc w:val="center"/>
              <w:rPr>
                <w:sz w:val="22"/>
                <w:szCs w:val="22"/>
                <w:lang w:val="en-GB"/>
              </w:rPr>
            </w:pPr>
            <w:r w:rsidRPr="00105869">
              <w:rPr>
                <w:sz w:val="22"/>
                <w:szCs w:val="22"/>
                <w:lang w:val="en-GB"/>
              </w:rPr>
              <w:t>0.458</w:t>
            </w:r>
          </w:p>
        </w:tc>
        <w:tc>
          <w:tcPr>
            <w:tcW w:w="1167" w:type="dxa"/>
            <w:gridSpan w:val="2"/>
            <w:tcBorders>
              <w:top w:val="nil"/>
              <w:left w:val="single" w:sz="4" w:space="0" w:color="auto"/>
              <w:bottom w:val="nil"/>
              <w:right w:val="nil"/>
            </w:tcBorders>
            <w:shd w:val="clear" w:color="auto" w:fill="auto"/>
            <w:noWrap/>
            <w:vAlign w:val="bottom"/>
            <w:hideMark/>
          </w:tcPr>
          <w:p w14:paraId="268156CC" w14:textId="77777777" w:rsidR="001E2D72" w:rsidRPr="00105869" w:rsidRDefault="001E2D72" w:rsidP="0068649F">
            <w:pPr>
              <w:jc w:val="center"/>
              <w:rPr>
                <w:sz w:val="22"/>
                <w:szCs w:val="22"/>
                <w:lang w:val="en-GB"/>
              </w:rPr>
            </w:pPr>
            <w:r w:rsidRPr="00105869">
              <w:rPr>
                <w:sz w:val="22"/>
                <w:szCs w:val="22"/>
                <w:lang w:val="en-GB"/>
              </w:rPr>
              <w:t>0.545</w:t>
            </w:r>
          </w:p>
        </w:tc>
        <w:tc>
          <w:tcPr>
            <w:tcW w:w="1166" w:type="dxa"/>
            <w:gridSpan w:val="2"/>
            <w:tcBorders>
              <w:top w:val="nil"/>
              <w:left w:val="single" w:sz="4" w:space="0" w:color="auto"/>
              <w:bottom w:val="nil"/>
              <w:right w:val="nil"/>
            </w:tcBorders>
            <w:shd w:val="clear" w:color="auto" w:fill="auto"/>
            <w:noWrap/>
            <w:vAlign w:val="bottom"/>
            <w:hideMark/>
          </w:tcPr>
          <w:p w14:paraId="4AEB9737" w14:textId="77777777" w:rsidR="001E2D72" w:rsidRPr="00105869" w:rsidRDefault="001E2D72" w:rsidP="0068649F">
            <w:pPr>
              <w:jc w:val="center"/>
              <w:rPr>
                <w:sz w:val="22"/>
                <w:szCs w:val="22"/>
                <w:lang w:val="en-GB"/>
              </w:rPr>
            </w:pPr>
            <w:r w:rsidRPr="00105869">
              <w:rPr>
                <w:sz w:val="22"/>
                <w:szCs w:val="22"/>
                <w:lang w:val="en-GB"/>
              </w:rPr>
              <w:t>0.42</w:t>
            </w:r>
          </w:p>
        </w:tc>
        <w:tc>
          <w:tcPr>
            <w:tcW w:w="1167" w:type="dxa"/>
            <w:tcBorders>
              <w:top w:val="nil"/>
              <w:left w:val="single" w:sz="4" w:space="0" w:color="auto"/>
              <w:bottom w:val="nil"/>
              <w:right w:val="nil"/>
            </w:tcBorders>
            <w:shd w:val="clear" w:color="auto" w:fill="auto"/>
            <w:noWrap/>
            <w:vAlign w:val="bottom"/>
            <w:hideMark/>
          </w:tcPr>
          <w:p w14:paraId="4B150148" w14:textId="77777777" w:rsidR="001E2D72" w:rsidRPr="00105869" w:rsidRDefault="001E2D72" w:rsidP="0068649F">
            <w:pPr>
              <w:jc w:val="center"/>
              <w:rPr>
                <w:sz w:val="22"/>
                <w:szCs w:val="22"/>
                <w:lang w:val="en-GB"/>
              </w:rPr>
            </w:pPr>
            <w:r w:rsidRPr="00105869">
              <w:rPr>
                <w:sz w:val="22"/>
                <w:szCs w:val="22"/>
                <w:lang w:val="en-GB"/>
              </w:rPr>
              <w:t>0.157</w:t>
            </w:r>
          </w:p>
        </w:tc>
        <w:tc>
          <w:tcPr>
            <w:tcW w:w="1189" w:type="dxa"/>
            <w:gridSpan w:val="2"/>
            <w:tcBorders>
              <w:top w:val="nil"/>
              <w:left w:val="single" w:sz="4" w:space="0" w:color="auto"/>
              <w:bottom w:val="nil"/>
              <w:right w:val="single" w:sz="8" w:space="0" w:color="auto"/>
            </w:tcBorders>
            <w:shd w:val="clear" w:color="auto" w:fill="auto"/>
            <w:noWrap/>
            <w:vAlign w:val="bottom"/>
            <w:hideMark/>
          </w:tcPr>
          <w:p w14:paraId="7FDEFAFF" w14:textId="77777777" w:rsidR="001E2D72" w:rsidRPr="00105869" w:rsidRDefault="001E2D72" w:rsidP="0068649F">
            <w:pPr>
              <w:jc w:val="center"/>
              <w:rPr>
                <w:sz w:val="22"/>
                <w:szCs w:val="22"/>
                <w:lang w:val="en-GB"/>
              </w:rPr>
            </w:pPr>
            <w:r w:rsidRPr="00105869">
              <w:rPr>
                <w:sz w:val="22"/>
                <w:szCs w:val="22"/>
                <w:lang w:val="en-GB"/>
              </w:rPr>
              <w:t>0.332</w:t>
            </w:r>
          </w:p>
        </w:tc>
      </w:tr>
      <w:tr w:rsidR="001E2D72" w:rsidRPr="00105869" w14:paraId="258124DA" w14:textId="77777777" w:rsidTr="0068649F">
        <w:trPr>
          <w:trHeight w:val="320"/>
        </w:trPr>
        <w:tc>
          <w:tcPr>
            <w:tcW w:w="4810" w:type="dxa"/>
            <w:tcBorders>
              <w:top w:val="nil"/>
              <w:left w:val="single" w:sz="8" w:space="0" w:color="auto"/>
              <w:bottom w:val="nil"/>
              <w:right w:val="nil"/>
            </w:tcBorders>
            <w:shd w:val="clear" w:color="auto" w:fill="auto"/>
            <w:noWrap/>
            <w:vAlign w:val="bottom"/>
            <w:hideMark/>
          </w:tcPr>
          <w:p w14:paraId="22E880FD" w14:textId="77777777" w:rsidR="001E2D72" w:rsidRPr="00105869" w:rsidRDefault="001E2D72" w:rsidP="0068649F">
            <w:pPr>
              <w:rPr>
                <w:b/>
                <w:bCs/>
                <w:color w:val="000000"/>
                <w:sz w:val="22"/>
                <w:szCs w:val="22"/>
                <w:lang w:val="en-GB"/>
              </w:rPr>
            </w:pPr>
            <w:r w:rsidRPr="00105869">
              <w:rPr>
                <w:b/>
                <w:bCs/>
                <w:color w:val="000000"/>
                <w:sz w:val="22"/>
                <w:szCs w:val="22"/>
                <w:lang w:val="en-GB"/>
              </w:rPr>
              <w:t xml:space="preserve">Modelling cranioventral two thirds </w:t>
            </w:r>
          </w:p>
        </w:tc>
        <w:tc>
          <w:tcPr>
            <w:tcW w:w="1166" w:type="dxa"/>
            <w:tcBorders>
              <w:top w:val="nil"/>
              <w:left w:val="single" w:sz="4" w:space="0" w:color="auto"/>
              <w:bottom w:val="nil"/>
              <w:right w:val="nil"/>
            </w:tcBorders>
            <w:shd w:val="clear" w:color="auto" w:fill="auto"/>
            <w:noWrap/>
            <w:vAlign w:val="bottom"/>
            <w:hideMark/>
          </w:tcPr>
          <w:p w14:paraId="4CA9281A" w14:textId="77777777" w:rsidR="001E2D72" w:rsidRPr="00105869" w:rsidRDefault="001E2D72" w:rsidP="0068649F">
            <w:pPr>
              <w:jc w:val="center"/>
              <w:rPr>
                <w:sz w:val="22"/>
                <w:szCs w:val="22"/>
                <w:lang w:val="en-GB"/>
              </w:rPr>
            </w:pPr>
            <w:r w:rsidRPr="00105869">
              <w:rPr>
                <w:sz w:val="22"/>
                <w:szCs w:val="22"/>
                <w:lang w:val="en-GB"/>
              </w:rPr>
              <w:t>0.5735</w:t>
            </w:r>
          </w:p>
        </w:tc>
        <w:tc>
          <w:tcPr>
            <w:tcW w:w="1167" w:type="dxa"/>
            <w:gridSpan w:val="2"/>
            <w:tcBorders>
              <w:top w:val="nil"/>
              <w:left w:val="single" w:sz="4" w:space="0" w:color="auto"/>
              <w:bottom w:val="nil"/>
              <w:right w:val="nil"/>
            </w:tcBorders>
            <w:shd w:val="clear" w:color="auto" w:fill="auto"/>
            <w:noWrap/>
            <w:vAlign w:val="bottom"/>
            <w:hideMark/>
          </w:tcPr>
          <w:p w14:paraId="10743E25" w14:textId="77777777" w:rsidR="001E2D72" w:rsidRPr="00105869" w:rsidRDefault="001E2D72" w:rsidP="0068649F">
            <w:pPr>
              <w:jc w:val="center"/>
              <w:rPr>
                <w:sz w:val="22"/>
                <w:szCs w:val="22"/>
                <w:lang w:val="en-GB"/>
              </w:rPr>
            </w:pPr>
            <w:r w:rsidRPr="00105869">
              <w:rPr>
                <w:sz w:val="22"/>
                <w:szCs w:val="22"/>
                <w:lang w:val="en-GB"/>
              </w:rPr>
              <w:t>0.5629</w:t>
            </w:r>
          </w:p>
        </w:tc>
        <w:tc>
          <w:tcPr>
            <w:tcW w:w="1166" w:type="dxa"/>
            <w:tcBorders>
              <w:top w:val="nil"/>
              <w:left w:val="single" w:sz="4" w:space="0" w:color="auto"/>
              <w:bottom w:val="nil"/>
              <w:right w:val="nil"/>
            </w:tcBorders>
            <w:shd w:val="clear" w:color="auto" w:fill="auto"/>
            <w:noWrap/>
            <w:vAlign w:val="bottom"/>
            <w:hideMark/>
          </w:tcPr>
          <w:p w14:paraId="5680DCF8" w14:textId="77777777" w:rsidR="001E2D72" w:rsidRPr="00105869" w:rsidRDefault="001E2D72" w:rsidP="0068649F">
            <w:pPr>
              <w:jc w:val="center"/>
              <w:rPr>
                <w:sz w:val="22"/>
                <w:szCs w:val="22"/>
                <w:lang w:val="en-GB"/>
              </w:rPr>
            </w:pPr>
            <w:r w:rsidRPr="00105869">
              <w:rPr>
                <w:sz w:val="22"/>
                <w:szCs w:val="22"/>
                <w:lang w:val="en-GB"/>
              </w:rPr>
              <w:t>0.395</w:t>
            </w:r>
          </w:p>
        </w:tc>
        <w:tc>
          <w:tcPr>
            <w:tcW w:w="1167" w:type="dxa"/>
            <w:tcBorders>
              <w:top w:val="nil"/>
              <w:left w:val="single" w:sz="4" w:space="0" w:color="auto"/>
              <w:bottom w:val="nil"/>
              <w:right w:val="nil"/>
            </w:tcBorders>
            <w:shd w:val="clear" w:color="auto" w:fill="auto"/>
            <w:noWrap/>
            <w:vAlign w:val="bottom"/>
            <w:hideMark/>
          </w:tcPr>
          <w:p w14:paraId="28A9F388" w14:textId="77777777" w:rsidR="001E2D72" w:rsidRPr="00105869" w:rsidRDefault="001E2D72" w:rsidP="0068649F">
            <w:pPr>
              <w:jc w:val="center"/>
              <w:rPr>
                <w:sz w:val="22"/>
                <w:szCs w:val="22"/>
                <w:lang w:val="en-GB"/>
              </w:rPr>
            </w:pPr>
            <w:r w:rsidRPr="00105869">
              <w:rPr>
                <w:sz w:val="22"/>
                <w:szCs w:val="22"/>
                <w:lang w:val="en-GB"/>
              </w:rPr>
              <w:t>0.43</w:t>
            </w:r>
          </w:p>
        </w:tc>
        <w:tc>
          <w:tcPr>
            <w:tcW w:w="1167" w:type="dxa"/>
            <w:gridSpan w:val="2"/>
            <w:tcBorders>
              <w:top w:val="nil"/>
              <w:left w:val="single" w:sz="4" w:space="0" w:color="auto"/>
              <w:bottom w:val="nil"/>
              <w:right w:val="nil"/>
            </w:tcBorders>
            <w:shd w:val="clear" w:color="auto" w:fill="auto"/>
            <w:noWrap/>
            <w:vAlign w:val="bottom"/>
            <w:hideMark/>
          </w:tcPr>
          <w:p w14:paraId="1AF06F4A" w14:textId="77777777" w:rsidR="001E2D72" w:rsidRPr="00105869" w:rsidRDefault="001E2D72" w:rsidP="0068649F">
            <w:pPr>
              <w:jc w:val="center"/>
              <w:rPr>
                <w:sz w:val="22"/>
                <w:szCs w:val="22"/>
                <w:lang w:val="en-GB"/>
              </w:rPr>
            </w:pPr>
            <w:r w:rsidRPr="00105869">
              <w:rPr>
                <w:sz w:val="22"/>
                <w:szCs w:val="22"/>
                <w:lang w:val="en-GB"/>
              </w:rPr>
              <w:t>0.51</w:t>
            </w:r>
          </w:p>
        </w:tc>
        <w:tc>
          <w:tcPr>
            <w:tcW w:w="1166" w:type="dxa"/>
            <w:gridSpan w:val="2"/>
            <w:tcBorders>
              <w:top w:val="nil"/>
              <w:left w:val="single" w:sz="4" w:space="0" w:color="auto"/>
              <w:bottom w:val="nil"/>
              <w:right w:val="nil"/>
            </w:tcBorders>
            <w:shd w:val="clear" w:color="auto" w:fill="auto"/>
            <w:noWrap/>
            <w:vAlign w:val="bottom"/>
            <w:hideMark/>
          </w:tcPr>
          <w:p w14:paraId="14EA3D48" w14:textId="77777777" w:rsidR="001E2D72" w:rsidRPr="00105869" w:rsidRDefault="001E2D72" w:rsidP="0068649F">
            <w:pPr>
              <w:jc w:val="center"/>
              <w:rPr>
                <w:sz w:val="22"/>
                <w:szCs w:val="22"/>
                <w:lang w:val="en-GB"/>
              </w:rPr>
            </w:pPr>
            <w:r w:rsidRPr="00105869">
              <w:rPr>
                <w:sz w:val="22"/>
                <w:szCs w:val="22"/>
                <w:lang w:val="en-GB"/>
              </w:rPr>
              <w:t>0.416</w:t>
            </w:r>
          </w:p>
        </w:tc>
        <w:tc>
          <w:tcPr>
            <w:tcW w:w="1167" w:type="dxa"/>
            <w:tcBorders>
              <w:top w:val="nil"/>
              <w:left w:val="single" w:sz="4" w:space="0" w:color="auto"/>
              <w:bottom w:val="nil"/>
              <w:right w:val="nil"/>
            </w:tcBorders>
            <w:shd w:val="clear" w:color="auto" w:fill="auto"/>
            <w:noWrap/>
            <w:vAlign w:val="bottom"/>
            <w:hideMark/>
          </w:tcPr>
          <w:p w14:paraId="793DACFF" w14:textId="77777777" w:rsidR="001E2D72" w:rsidRPr="00105869" w:rsidRDefault="001E2D72" w:rsidP="0068649F">
            <w:pPr>
              <w:jc w:val="center"/>
              <w:rPr>
                <w:sz w:val="22"/>
                <w:szCs w:val="22"/>
                <w:lang w:val="en-GB"/>
              </w:rPr>
            </w:pPr>
            <w:r w:rsidRPr="00105869">
              <w:rPr>
                <w:sz w:val="22"/>
                <w:szCs w:val="22"/>
                <w:lang w:val="en-GB"/>
              </w:rPr>
              <w:t>0.139</w:t>
            </w:r>
          </w:p>
        </w:tc>
        <w:tc>
          <w:tcPr>
            <w:tcW w:w="1189" w:type="dxa"/>
            <w:gridSpan w:val="2"/>
            <w:tcBorders>
              <w:top w:val="nil"/>
              <w:left w:val="single" w:sz="4" w:space="0" w:color="auto"/>
              <w:bottom w:val="nil"/>
              <w:right w:val="single" w:sz="8" w:space="0" w:color="auto"/>
            </w:tcBorders>
            <w:shd w:val="clear" w:color="auto" w:fill="auto"/>
            <w:noWrap/>
            <w:vAlign w:val="bottom"/>
            <w:hideMark/>
          </w:tcPr>
          <w:p w14:paraId="4E22BB88" w14:textId="77777777" w:rsidR="001E2D72" w:rsidRPr="00105869" w:rsidRDefault="001E2D72" w:rsidP="0068649F">
            <w:pPr>
              <w:jc w:val="center"/>
              <w:rPr>
                <w:sz w:val="22"/>
                <w:szCs w:val="22"/>
                <w:lang w:val="en-GB"/>
              </w:rPr>
            </w:pPr>
            <w:r w:rsidRPr="00105869">
              <w:rPr>
                <w:sz w:val="22"/>
                <w:szCs w:val="22"/>
                <w:lang w:val="en-GB"/>
              </w:rPr>
              <w:t>0.385</w:t>
            </w:r>
          </w:p>
        </w:tc>
      </w:tr>
      <w:tr w:rsidR="001E2D72" w:rsidRPr="00105869" w14:paraId="71AE6362" w14:textId="77777777" w:rsidTr="0068649F">
        <w:trPr>
          <w:trHeight w:val="320"/>
        </w:trPr>
        <w:tc>
          <w:tcPr>
            <w:tcW w:w="4810" w:type="dxa"/>
            <w:tcBorders>
              <w:top w:val="nil"/>
              <w:left w:val="single" w:sz="8" w:space="0" w:color="auto"/>
              <w:bottom w:val="nil"/>
              <w:right w:val="nil"/>
            </w:tcBorders>
            <w:shd w:val="clear" w:color="auto" w:fill="auto"/>
            <w:noWrap/>
            <w:vAlign w:val="bottom"/>
            <w:hideMark/>
          </w:tcPr>
          <w:p w14:paraId="666F8DDE" w14:textId="77777777" w:rsidR="001E2D72" w:rsidRPr="00105869" w:rsidRDefault="001E2D72" w:rsidP="0068649F">
            <w:pPr>
              <w:rPr>
                <w:b/>
                <w:bCs/>
                <w:color w:val="000000"/>
                <w:sz w:val="22"/>
                <w:szCs w:val="22"/>
                <w:lang w:val="en-GB"/>
              </w:rPr>
            </w:pPr>
            <w:r w:rsidRPr="00105869">
              <w:rPr>
                <w:b/>
                <w:bCs/>
                <w:color w:val="000000"/>
                <w:sz w:val="22"/>
                <w:szCs w:val="22"/>
                <w:lang w:val="en-GB"/>
              </w:rPr>
              <w:t xml:space="preserve">Modelling caudoventral two thirds </w:t>
            </w:r>
          </w:p>
        </w:tc>
        <w:tc>
          <w:tcPr>
            <w:tcW w:w="1166" w:type="dxa"/>
            <w:tcBorders>
              <w:top w:val="nil"/>
              <w:left w:val="single" w:sz="4" w:space="0" w:color="auto"/>
              <w:bottom w:val="nil"/>
              <w:right w:val="nil"/>
            </w:tcBorders>
            <w:shd w:val="clear" w:color="auto" w:fill="auto"/>
            <w:noWrap/>
            <w:vAlign w:val="bottom"/>
            <w:hideMark/>
          </w:tcPr>
          <w:p w14:paraId="60A27336" w14:textId="77777777" w:rsidR="001E2D72" w:rsidRPr="00105869" w:rsidRDefault="001E2D72" w:rsidP="0068649F">
            <w:pPr>
              <w:jc w:val="center"/>
              <w:rPr>
                <w:sz w:val="22"/>
                <w:szCs w:val="22"/>
                <w:lang w:val="en-GB"/>
              </w:rPr>
            </w:pPr>
            <w:r w:rsidRPr="00105869">
              <w:rPr>
                <w:sz w:val="22"/>
                <w:szCs w:val="22"/>
                <w:lang w:val="en-GB"/>
              </w:rPr>
              <w:t>0.4504</w:t>
            </w:r>
          </w:p>
        </w:tc>
        <w:tc>
          <w:tcPr>
            <w:tcW w:w="1167" w:type="dxa"/>
            <w:gridSpan w:val="2"/>
            <w:tcBorders>
              <w:top w:val="nil"/>
              <w:left w:val="single" w:sz="4" w:space="0" w:color="auto"/>
              <w:bottom w:val="nil"/>
              <w:right w:val="nil"/>
            </w:tcBorders>
            <w:shd w:val="clear" w:color="auto" w:fill="auto"/>
            <w:noWrap/>
            <w:vAlign w:val="bottom"/>
            <w:hideMark/>
          </w:tcPr>
          <w:p w14:paraId="532AB83B" w14:textId="77777777" w:rsidR="001E2D72" w:rsidRPr="00105869" w:rsidRDefault="001E2D72" w:rsidP="0068649F">
            <w:pPr>
              <w:jc w:val="center"/>
              <w:rPr>
                <w:sz w:val="22"/>
                <w:szCs w:val="22"/>
                <w:lang w:val="en-GB"/>
              </w:rPr>
            </w:pPr>
            <w:r w:rsidRPr="00105869">
              <w:rPr>
                <w:sz w:val="22"/>
                <w:szCs w:val="22"/>
                <w:lang w:val="en-GB"/>
              </w:rPr>
              <w:t>0.1859</w:t>
            </w:r>
          </w:p>
        </w:tc>
        <w:tc>
          <w:tcPr>
            <w:tcW w:w="1166" w:type="dxa"/>
            <w:tcBorders>
              <w:top w:val="nil"/>
              <w:left w:val="single" w:sz="4" w:space="0" w:color="auto"/>
              <w:bottom w:val="nil"/>
              <w:right w:val="nil"/>
            </w:tcBorders>
            <w:shd w:val="clear" w:color="auto" w:fill="auto"/>
            <w:noWrap/>
            <w:vAlign w:val="bottom"/>
            <w:hideMark/>
          </w:tcPr>
          <w:p w14:paraId="28EA9291" w14:textId="77777777" w:rsidR="001E2D72" w:rsidRPr="00105869" w:rsidRDefault="001E2D72" w:rsidP="0068649F">
            <w:pPr>
              <w:jc w:val="center"/>
              <w:rPr>
                <w:sz w:val="22"/>
                <w:szCs w:val="22"/>
                <w:lang w:val="en-GB"/>
              </w:rPr>
            </w:pPr>
            <w:r w:rsidRPr="00105869">
              <w:rPr>
                <w:sz w:val="22"/>
                <w:szCs w:val="22"/>
                <w:lang w:val="en-GB"/>
              </w:rPr>
              <w:t>0.384</w:t>
            </w:r>
          </w:p>
        </w:tc>
        <w:tc>
          <w:tcPr>
            <w:tcW w:w="1167" w:type="dxa"/>
            <w:tcBorders>
              <w:top w:val="nil"/>
              <w:left w:val="single" w:sz="4" w:space="0" w:color="auto"/>
              <w:bottom w:val="nil"/>
              <w:right w:val="nil"/>
            </w:tcBorders>
            <w:shd w:val="clear" w:color="auto" w:fill="auto"/>
            <w:noWrap/>
            <w:vAlign w:val="bottom"/>
            <w:hideMark/>
          </w:tcPr>
          <w:p w14:paraId="4A058411" w14:textId="77777777" w:rsidR="001E2D72" w:rsidRPr="00105869" w:rsidRDefault="001E2D72" w:rsidP="0068649F">
            <w:pPr>
              <w:jc w:val="center"/>
              <w:rPr>
                <w:sz w:val="22"/>
                <w:szCs w:val="22"/>
                <w:lang w:val="en-GB"/>
              </w:rPr>
            </w:pPr>
            <w:r w:rsidRPr="00105869">
              <w:rPr>
                <w:sz w:val="22"/>
                <w:szCs w:val="22"/>
                <w:lang w:val="en-GB"/>
              </w:rPr>
              <w:t>0.196</w:t>
            </w:r>
          </w:p>
        </w:tc>
        <w:tc>
          <w:tcPr>
            <w:tcW w:w="1167" w:type="dxa"/>
            <w:gridSpan w:val="2"/>
            <w:tcBorders>
              <w:top w:val="nil"/>
              <w:left w:val="single" w:sz="4" w:space="0" w:color="auto"/>
              <w:bottom w:val="nil"/>
              <w:right w:val="nil"/>
            </w:tcBorders>
            <w:shd w:val="clear" w:color="auto" w:fill="auto"/>
            <w:noWrap/>
            <w:vAlign w:val="bottom"/>
            <w:hideMark/>
          </w:tcPr>
          <w:p w14:paraId="50A84D47" w14:textId="77777777" w:rsidR="001E2D72" w:rsidRPr="00105869" w:rsidRDefault="001E2D72" w:rsidP="0068649F">
            <w:pPr>
              <w:jc w:val="center"/>
              <w:rPr>
                <w:sz w:val="22"/>
                <w:szCs w:val="22"/>
                <w:lang w:val="en-GB"/>
              </w:rPr>
            </w:pPr>
            <w:r w:rsidRPr="00105869">
              <w:rPr>
                <w:sz w:val="22"/>
                <w:szCs w:val="22"/>
                <w:lang w:val="en-GB"/>
              </w:rPr>
              <w:t>0.363</w:t>
            </w:r>
          </w:p>
        </w:tc>
        <w:tc>
          <w:tcPr>
            <w:tcW w:w="1166" w:type="dxa"/>
            <w:gridSpan w:val="2"/>
            <w:tcBorders>
              <w:top w:val="nil"/>
              <w:left w:val="single" w:sz="4" w:space="0" w:color="auto"/>
              <w:bottom w:val="nil"/>
              <w:right w:val="nil"/>
            </w:tcBorders>
            <w:shd w:val="clear" w:color="auto" w:fill="auto"/>
            <w:noWrap/>
            <w:vAlign w:val="bottom"/>
            <w:hideMark/>
          </w:tcPr>
          <w:p w14:paraId="63A9731C" w14:textId="77777777" w:rsidR="001E2D72" w:rsidRPr="00105869" w:rsidRDefault="001E2D72" w:rsidP="0068649F">
            <w:pPr>
              <w:jc w:val="center"/>
              <w:rPr>
                <w:sz w:val="22"/>
                <w:szCs w:val="22"/>
                <w:lang w:val="en-GB"/>
              </w:rPr>
            </w:pPr>
            <w:r w:rsidRPr="00105869">
              <w:rPr>
                <w:sz w:val="22"/>
                <w:szCs w:val="22"/>
                <w:lang w:val="en-GB"/>
              </w:rPr>
              <w:t>0.109</w:t>
            </w:r>
          </w:p>
        </w:tc>
        <w:tc>
          <w:tcPr>
            <w:tcW w:w="1167" w:type="dxa"/>
            <w:tcBorders>
              <w:top w:val="nil"/>
              <w:left w:val="single" w:sz="4" w:space="0" w:color="auto"/>
              <w:bottom w:val="nil"/>
              <w:right w:val="nil"/>
            </w:tcBorders>
            <w:shd w:val="clear" w:color="auto" w:fill="auto"/>
            <w:noWrap/>
            <w:vAlign w:val="bottom"/>
            <w:hideMark/>
          </w:tcPr>
          <w:p w14:paraId="76B1DC99" w14:textId="77777777" w:rsidR="001E2D72" w:rsidRPr="00105869" w:rsidRDefault="001E2D72" w:rsidP="0068649F">
            <w:pPr>
              <w:jc w:val="center"/>
              <w:rPr>
                <w:sz w:val="22"/>
                <w:szCs w:val="22"/>
                <w:lang w:val="en-GB"/>
              </w:rPr>
            </w:pPr>
            <w:r w:rsidRPr="00105869">
              <w:rPr>
                <w:sz w:val="22"/>
                <w:szCs w:val="22"/>
                <w:lang w:val="en-GB"/>
              </w:rPr>
              <w:t>0.067</w:t>
            </w:r>
          </w:p>
        </w:tc>
        <w:tc>
          <w:tcPr>
            <w:tcW w:w="1189" w:type="dxa"/>
            <w:gridSpan w:val="2"/>
            <w:tcBorders>
              <w:top w:val="nil"/>
              <w:left w:val="single" w:sz="4" w:space="0" w:color="auto"/>
              <w:bottom w:val="nil"/>
              <w:right w:val="single" w:sz="8" w:space="0" w:color="auto"/>
            </w:tcBorders>
            <w:shd w:val="clear" w:color="auto" w:fill="auto"/>
            <w:noWrap/>
            <w:vAlign w:val="bottom"/>
            <w:hideMark/>
          </w:tcPr>
          <w:p w14:paraId="2068DB36" w14:textId="77777777" w:rsidR="001E2D72" w:rsidRPr="00105869" w:rsidRDefault="001E2D72" w:rsidP="0068649F">
            <w:pPr>
              <w:jc w:val="center"/>
              <w:rPr>
                <w:sz w:val="22"/>
                <w:szCs w:val="22"/>
                <w:lang w:val="en-GB"/>
              </w:rPr>
            </w:pPr>
            <w:r w:rsidRPr="00105869">
              <w:rPr>
                <w:sz w:val="22"/>
                <w:szCs w:val="22"/>
                <w:lang w:val="en-GB"/>
              </w:rPr>
              <w:t>0.216</w:t>
            </w:r>
          </w:p>
        </w:tc>
      </w:tr>
      <w:tr w:rsidR="001E2D72" w:rsidRPr="00105869" w14:paraId="5083EF09" w14:textId="77777777" w:rsidTr="0068649F">
        <w:trPr>
          <w:trHeight w:val="320"/>
        </w:trPr>
        <w:tc>
          <w:tcPr>
            <w:tcW w:w="4810" w:type="dxa"/>
            <w:tcBorders>
              <w:top w:val="nil"/>
              <w:left w:val="single" w:sz="8" w:space="0" w:color="auto"/>
              <w:bottom w:val="nil"/>
              <w:right w:val="nil"/>
            </w:tcBorders>
            <w:shd w:val="clear" w:color="auto" w:fill="auto"/>
            <w:noWrap/>
            <w:vAlign w:val="bottom"/>
            <w:hideMark/>
          </w:tcPr>
          <w:p w14:paraId="4A278C5B" w14:textId="77777777" w:rsidR="001E2D72" w:rsidRPr="00105869" w:rsidRDefault="001E2D72" w:rsidP="0068649F">
            <w:pPr>
              <w:rPr>
                <w:b/>
                <w:bCs/>
                <w:color w:val="000000"/>
                <w:sz w:val="22"/>
                <w:szCs w:val="22"/>
                <w:lang w:val="en-GB"/>
              </w:rPr>
            </w:pPr>
            <w:r w:rsidRPr="00105869">
              <w:rPr>
                <w:b/>
                <w:bCs/>
                <w:color w:val="000000"/>
                <w:sz w:val="22"/>
                <w:szCs w:val="22"/>
                <w:lang w:val="en-GB"/>
              </w:rPr>
              <w:t xml:space="preserve">Modelling craniodorsal third </w:t>
            </w:r>
          </w:p>
        </w:tc>
        <w:tc>
          <w:tcPr>
            <w:tcW w:w="1166" w:type="dxa"/>
            <w:tcBorders>
              <w:top w:val="nil"/>
              <w:left w:val="single" w:sz="4" w:space="0" w:color="auto"/>
              <w:bottom w:val="nil"/>
              <w:right w:val="nil"/>
            </w:tcBorders>
            <w:shd w:val="clear" w:color="auto" w:fill="auto"/>
            <w:noWrap/>
            <w:vAlign w:val="bottom"/>
            <w:hideMark/>
          </w:tcPr>
          <w:p w14:paraId="6A404C4F" w14:textId="77777777" w:rsidR="001E2D72" w:rsidRPr="00105869" w:rsidRDefault="001E2D72" w:rsidP="0068649F">
            <w:pPr>
              <w:jc w:val="center"/>
              <w:rPr>
                <w:sz w:val="22"/>
                <w:szCs w:val="22"/>
                <w:lang w:val="en-GB"/>
              </w:rPr>
            </w:pPr>
            <w:r w:rsidRPr="00105869">
              <w:rPr>
                <w:sz w:val="22"/>
                <w:szCs w:val="22"/>
                <w:lang w:val="en-GB"/>
              </w:rPr>
              <w:t>0.3827</w:t>
            </w:r>
          </w:p>
        </w:tc>
        <w:tc>
          <w:tcPr>
            <w:tcW w:w="1167" w:type="dxa"/>
            <w:gridSpan w:val="2"/>
            <w:tcBorders>
              <w:top w:val="nil"/>
              <w:left w:val="single" w:sz="4" w:space="0" w:color="auto"/>
              <w:bottom w:val="nil"/>
              <w:right w:val="nil"/>
            </w:tcBorders>
            <w:shd w:val="clear" w:color="auto" w:fill="auto"/>
            <w:noWrap/>
            <w:vAlign w:val="bottom"/>
            <w:hideMark/>
          </w:tcPr>
          <w:p w14:paraId="3FBC56F4" w14:textId="77777777" w:rsidR="001E2D72" w:rsidRPr="00105869" w:rsidRDefault="001E2D72" w:rsidP="0068649F">
            <w:pPr>
              <w:jc w:val="center"/>
              <w:rPr>
                <w:sz w:val="22"/>
                <w:szCs w:val="22"/>
                <w:lang w:val="en-GB"/>
              </w:rPr>
            </w:pPr>
            <w:r w:rsidRPr="00105869">
              <w:rPr>
                <w:sz w:val="22"/>
                <w:szCs w:val="22"/>
                <w:lang w:val="en-GB"/>
              </w:rPr>
              <w:t>0.3792</w:t>
            </w:r>
          </w:p>
        </w:tc>
        <w:tc>
          <w:tcPr>
            <w:tcW w:w="1166" w:type="dxa"/>
            <w:tcBorders>
              <w:top w:val="nil"/>
              <w:left w:val="single" w:sz="4" w:space="0" w:color="auto"/>
              <w:bottom w:val="nil"/>
              <w:right w:val="nil"/>
            </w:tcBorders>
            <w:shd w:val="clear" w:color="auto" w:fill="auto"/>
            <w:noWrap/>
            <w:vAlign w:val="bottom"/>
            <w:hideMark/>
          </w:tcPr>
          <w:p w14:paraId="3760A9D4" w14:textId="77777777" w:rsidR="001E2D72" w:rsidRPr="00105869" w:rsidRDefault="001E2D72" w:rsidP="0068649F">
            <w:pPr>
              <w:jc w:val="center"/>
              <w:rPr>
                <w:sz w:val="22"/>
                <w:szCs w:val="22"/>
                <w:lang w:val="en-GB"/>
              </w:rPr>
            </w:pPr>
            <w:r w:rsidRPr="00105869">
              <w:rPr>
                <w:sz w:val="22"/>
                <w:szCs w:val="22"/>
                <w:lang w:val="en-GB"/>
              </w:rPr>
              <w:t>0.297</w:t>
            </w:r>
          </w:p>
        </w:tc>
        <w:tc>
          <w:tcPr>
            <w:tcW w:w="1167" w:type="dxa"/>
            <w:tcBorders>
              <w:top w:val="nil"/>
              <w:left w:val="single" w:sz="4" w:space="0" w:color="auto"/>
              <w:bottom w:val="nil"/>
              <w:right w:val="nil"/>
            </w:tcBorders>
            <w:shd w:val="clear" w:color="auto" w:fill="auto"/>
            <w:noWrap/>
            <w:vAlign w:val="bottom"/>
            <w:hideMark/>
          </w:tcPr>
          <w:p w14:paraId="12600608" w14:textId="77777777" w:rsidR="001E2D72" w:rsidRPr="00105869" w:rsidRDefault="001E2D72" w:rsidP="0068649F">
            <w:pPr>
              <w:jc w:val="center"/>
              <w:rPr>
                <w:sz w:val="22"/>
                <w:szCs w:val="22"/>
                <w:lang w:val="en-GB"/>
              </w:rPr>
            </w:pPr>
            <w:r w:rsidRPr="00105869">
              <w:rPr>
                <w:sz w:val="22"/>
                <w:szCs w:val="22"/>
                <w:lang w:val="en-GB"/>
              </w:rPr>
              <w:t>0.258</w:t>
            </w:r>
          </w:p>
        </w:tc>
        <w:tc>
          <w:tcPr>
            <w:tcW w:w="1167" w:type="dxa"/>
            <w:gridSpan w:val="2"/>
            <w:tcBorders>
              <w:top w:val="nil"/>
              <w:left w:val="single" w:sz="4" w:space="0" w:color="auto"/>
              <w:bottom w:val="nil"/>
              <w:right w:val="nil"/>
            </w:tcBorders>
            <w:shd w:val="clear" w:color="auto" w:fill="auto"/>
            <w:noWrap/>
            <w:vAlign w:val="bottom"/>
            <w:hideMark/>
          </w:tcPr>
          <w:p w14:paraId="08D4167C" w14:textId="77777777" w:rsidR="001E2D72" w:rsidRPr="00105869" w:rsidRDefault="001E2D72" w:rsidP="0068649F">
            <w:pPr>
              <w:jc w:val="center"/>
              <w:rPr>
                <w:sz w:val="22"/>
                <w:szCs w:val="22"/>
                <w:lang w:val="en-GB"/>
              </w:rPr>
            </w:pPr>
            <w:r w:rsidRPr="00105869">
              <w:rPr>
                <w:sz w:val="22"/>
                <w:szCs w:val="22"/>
                <w:lang w:val="en-GB"/>
              </w:rPr>
              <w:t>0.352</w:t>
            </w:r>
          </w:p>
        </w:tc>
        <w:tc>
          <w:tcPr>
            <w:tcW w:w="1166" w:type="dxa"/>
            <w:gridSpan w:val="2"/>
            <w:tcBorders>
              <w:top w:val="nil"/>
              <w:left w:val="single" w:sz="4" w:space="0" w:color="auto"/>
              <w:bottom w:val="nil"/>
              <w:right w:val="nil"/>
            </w:tcBorders>
            <w:shd w:val="clear" w:color="auto" w:fill="auto"/>
            <w:noWrap/>
            <w:vAlign w:val="bottom"/>
            <w:hideMark/>
          </w:tcPr>
          <w:p w14:paraId="4B6F41A7" w14:textId="77777777" w:rsidR="001E2D72" w:rsidRPr="00105869" w:rsidRDefault="001E2D72" w:rsidP="0068649F">
            <w:pPr>
              <w:jc w:val="center"/>
              <w:rPr>
                <w:sz w:val="22"/>
                <w:szCs w:val="22"/>
                <w:lang w:val="en-GB"/>
              </w:rPr>
            </w:pPr>
            <w:r w:rsidRPr="00105869">
              <w:rPr>
                <w:sz w:val="22"/>
                <w:szCs w:val="22"/>
                <w:lang w:val="en-GB"/>
              </w:rPr>
              <w:t>0.257</w:t>
            </w:r>
          </w:p>
        </w:tc>
        <w:tc>
          <w:tcPr>
            <w:tcW w:w="1167" w:type="dxa"/>
            <w:tcBorders>
              <w:top w:val="nil"/>
              <w:left w:val="single" w:sz="4" w:space="0" w:color="auto"/>
              <w:bottom w:val="nil"/>
              <w:right w:val="nil"/>
            </w:tcBorders>
            <w:shd w:val="clear" w:color="auto" w:fill="auto"/>
            <w:noWrap/>
            <w:vAlign w:val="bottom"/>
            <w:hideMark/>
          </w:tcPr>
          <w:p w14:paraId="06367CC3" w14:textId="77777777" w:rsidR="001E2D72" w:rsidRPr="00105869" w:rsidRDefault="001E2D72" w:rsidP="0068649F">
            <w:pPr>
              <w:jc w:val="center"/>
              <w:rPr>
                <w:sz w:val="22"/>
                <w:szCs w:val="22"/>
                <w:lang w:val="en-GB"/>
              </w:rPr>
            </w:pPr>
            <w:r w:rsidRPr="00105869">
              <w:rPr>
                <w:sz w:val="22"/>
                <w:szCs w:val="22"/>
                <w:lang w:val="en-GB"/>
              </w:rPr>
              <w:t>0.062</w:t>
            </w:r>
          </w:p>
        </w:tc>
        <w:tc>
          <w:tcPr>
            <w:tcW w:w="1189" w:type="dxa"/>
            <w:gridSpan w:val="2"/>
            <w:tcBorders>
              <w:top w:val="nil"/>
              <w:left w:val="single" w:sz="4" w:space="0" w:color="auto"/>
              <w:bottom w:val="nil"/>
              <w:right w:val="single" w:sz="8" w:space="0" w:color="auto"/>
            </w:tcBorders>
            <w:shd w:val="clear" w:color="auto" w:fill="auto"/>
            <w:noWrap/>
            <w:vAlign w:val="bottom"/>
            <w:hideMark/>
          </w:tcPr>
          <w:p w14:paraId="735CF730" w14:textId="77777777" w:rsidR="001E2D72" w:rsidRPr="00105869" w:rsidRDefault="001E2D72" w:rsidP="0068649F">
            <w:pPr>
              <w:jc w:val="center"/>
              <w:rPr>
                <w:sz w:val="22"/>
                <w:szCs w:val="22"/>
                <w:lang w:val="en-GB"/>
              </w:rPr>
            </w:pPr>
            <w:r w:rsidRPr="00105869">
              <w:rPr>
                <w:sz w:val="22"/>
                <w:szCs w:val="22"/>
                <w:lang w:val="en-GB"/>
              </w:rPr>
              <w:t>0.186</w:t>
            </w:r>
          </w:p>
        </w:tc>
      </w:tr>
      <w:tr w:rsidR="001E2D72" w:rsidRPr="00105869" w14:paraId="753A0CEC" w14:textId="77777777" w:rsidTr="0068649F">
        <w:trPr>
          <w:trHeight w:val="320"/>
        </w:trPr>
        <w:tc>
          <w:tcPr>
            <w:tcW w:w="4810" w:type="dxa"/>
            <w:tcBorders>
              <w:top w:val="nil"/>
              <w:left w:val="single" w:sz="8" w:space="0" w:color="auto"/>
              <w:bottom w:val="nil"/>
              <w:right w:val="nil"/>
            </w:tcBorders>
            <w:shd w:val="clear" w:color="auto" w:fill="auto"/>
            <w:noWrap/>
            <w:vAlign w:val="bottom"/>
            <w:hideMark/>
          </w:tcPr>
          <w:p w14:paraId="70761D2F" w14:textId="77777777" w:rsidR="001E2D72" w:rsidRPr="00105869" w:rsidRDefault="001E2D72" w:rsidP="0068649F">
            <w:pPr>
              <w:rPr>
                <w:b/>
                <w:bCs/>
                <w:color w:val="000000"/>
                <w:sz w:val="22"/>
                <w:szCs w:val="22"/>
                <w:lang w:val="en-GB"/>
              </w:rPr>
            </w:pPr>
            <w:r w:rsidRPr="00105869">
              <w:rPr>
                <w:b/>
                <w:bCs/>
                <w:color w:val="000000"/>
                <w:sz w:val="22"/>
                <w:szCs w:val="22"/>
                <w:lang w:val="en-GB"/>
              </w:rPr>
              <w:t xml:space="preserve">Modelling </w:t>
            </w:r>
            <w:proofErr w:type="spellStart"/>
            <w:r w:rsidRPr="00105869">
              <w:rPr>
                <w:b/>
                <w:bCs/>
                <w:color w:val="000000"/>
                <w:sz w:val="22"/>
                <w:szCs w:val="22"/>
                <w:lang w:val="en-GB"/>
              </w:rPr>
              <w:t>caudodorsal</w:t>
            </w:r>
            <w:proofErr w:type="spellEnd"/>
            <w:r w:rsidRPr="00105869">
              <w:rPr>
                <w:b/>
                <w:bCs/>
                <w:color w:val="000000"/>
                <w:sz w:val="22"/>
                <w:szCs w:val="22"/>
                <w:lang w:val="en-GB"/>
              </w:rPr>
              <w:t xml:space="preserve"> third </w:t>
            </w:r>
          </w:p>
        </w:tc>
        <w:tc>
          <w:tcPr>
            <w:tcW w:w="1166" w:type="dxa"/>
            <w:tcBorders>
              <w:top w:val="nil"/>
              <w:left w:val="single" w:sz="4" w:space="0" w:color="auto"/>
              <w:bottom w:val="nil"/>
              <w:right w:val="nil"/>
            </w:tcBorders>
            <w:shd w:val="clear" w:color="auto" w:fill="auto"/>
            <w:noWrap/>
            <w:vAlign w:val="bottom"/>
            <w:hideMark/>
          </w:tcPr>
          <w:p w14:paraId="7E4A8A02" w14:textId="77777777" w:rsidR="001E2D72" w:rsidRPr="00105869" w:rsidRDefault="001E2D72" w:rsidP="0068649F">
            <w:pPr>
              <w:jc w:val="center"/>
              <w:rPr>
                <w:sz w:val="22"/>
                <w:szCs w:val="22"/>
                <w:lang w:val="en-GB"/>
              </w:rPr>
            </w:pPr>
            <w:r w:rsidRPr="00105869">
              <w:rPr>
                <w:sz w:val="22"/>
                <w:szCs w:val="22"/>
                <w:lang w:val="en-GB"/>
              </w:rPr>
              <w:t>0.4317</w:t>
            </w:r>
          </w:p>
        </w:tc>
        <w:tc>
          <w:tcPr>
            <w:tcW w:w="1167" w:type="dxa"/>
            <w:gridSpan w:val="2"/>
            <w:tcBorders>
              <w:top w:val="nil"/>
              <w:left w:val="single" w:sz="4" w:space="0" w:color="auto"/>
              <w:bottom w:val="nil"/>
              <w:right w:val="nil"/>
            </w:tcBorders>
            <w:shd w:val="clear" w:color="auto" w:fill="auto"/>
            <w:noWrap/>
            <w:vAlign w:val="bottom"/>
            <w:hideMark/>
          </w:tcPr>
          <w:p w14:paraId="0C9D6B56" w14:textId="77777777" w:rsidR="001E2D72" w:rsidRPr="00105869" w:rsidRDefault="001E2D72" w:rsidP="0068649F">
            <w:pPr>
              <w:jc w:val="center"/>
              <w:rPr>
                <w:sz w:val="22"/>
                <w:szCs w:val="22"/>
                <w:lang w:val="en-GB"/>
              </w:rPr>
            </w:pPr>
            <w:r w:rsidRPr="00105869">
              <w:rPr>
                <w:sz w:val="22"/>
                <w:szCs w:val="22"/>
                <w:lang w:val="en-GB"/>
              </w:rPr>
              <w:t>0.2373</w:t>
            </w:r>
          </w:p>
        </w:tc>
        <w:tc>
          <w:tcPr>
            <w:tcW w:w="1166" w:type="dxa"/>
            <w:tcBorders>
              <w:top w:val="nil"/>
              <w:left w:val="single" w:sz="4" w:space="0" w:color="auto"/>
              <w:bottom w:val="nil"/>
              <w:right w:val="nil"/>
            </w:tcBorders>
            <w:shd w:val="clear" w:color="auto" w:fill="auto"/>
            <w:noWrap/>
            <w:vAlign w:val="bottom"/>
            <w:hideMark/>
          </w:tcPr>
          <w:p w14:paraId="0E2B786B" w14:textId="77777777" w:rsidR="001E2D72" w:rsidRPr="00105869" w:rsidRDefault="001E2D72" w:rsidP="0068649F">
            <w:pPr>
              <w:jc w:val="center"/>
              <w:rPr>
                <w:sz w:val="22"/>
                <w:szCs w:val="22"/>
                <w:lang w:val="en-GB"/>
              </w:rPr>
            </w:pPr>
            <w:r w:rsidRPr="00105869">
              <w:rPr>
                <w:sz w:val="22"/>
                <w:szCs w:val="22"/>
                <w:lang w:val="en-GB"/>
              </w:rPr>
              <w:t>0.351</w:t>
            </w:r>
          </w:p>
        </w:tc>
        <w:tc>
          <w:tcPr>
            <w:tcW w:w="1167" w:type="dxa"/>
            <w:tcBorders>
              <w:top w:val="nil"/>
              <w:left w:val="single" w:sz="4" w:space="0" w:color="auto"/>
              <w:bottom w:val="nil"/>
              <w:right w:val="nil"/>
            </w:tcBorders>
            <w:shd w:val="clear" w:color="auto" w:fill="auto"/>
            <w:noWrap/>
            <w:vAlign w:val="bottom"/>
            <w:hideMark/>
          </w:tcPr>
          <w:p w14:paraId="34B760DC" w14:textId="77777777" w:rsidR="001E2D72" w:rsidRPr="00105869" w:rsidRDefault="001E2D72" w:rsidP="0068649F">
            <w:pPr>
              <w:jc w:val="center"/>
              <w:rPr>
                <w:sz w:val="22"/>
                <w:szCs w:val="22"/>
                <w:lang w:val="en-GB"/>
              </w:rPr>
            </w:pPr>
            <w:r w:rsidRPr="00105869">
              <w:rPr>
                <w:sz w:val="22"/>
                <w:szCs w:val="22"/>
                <w:lang w:val="en-GB"/>
              </w:rPr>
              <w:t>0.205</w:t>
            </w:r>
          </w:p>
        </w:tc>
        <w:tc>
          <w:tcPr>
            <w:tcW w:w="1167" w:type="dxa"/>
            <w:gridSpan w:val="2"/>
            <w:tcBorders>
              <w:top w:val="nil"/>
              <w:left w:val="single" w:sz="4" w:space="0" w:color="auto"/>
              <w:bottom w:val="nil"/>
              <w:right w:val="nil"/>
            </w:tcBorders>
            <w:shd w:val="clear" w:color="auto" w:fill="auto"/>
            <w:noWrap/>
            <w:vAlign w:val="bottom"/>
            <w:hideMark/>
          </w:tcPr>
          <w:p w14:paraId="7A0BB667" w14:textId="77777777" w:rsidR="001E2D72" w:rsidRPr="00105869" w:rsidRDefault="001E2D72" w:rsidP="0068649F">
            <w:pPr>
              <w:jc w:val="center"/>
              <w:rPr>
                <w:sz w:val="22"/>
                <w:szCs w:val="22"/>
                <w:lang w:val="en-GB"/>
              </w:rPr>
            </w:pPr>
            <w:r w:rsidRPr="00105869">
              <w:rPr>
                <w:sz w:val="22"/>
                <w:szCs w:val="22"/>
                <w:lang w:val="en-GB"/>
              </w:rPr>
              <w:t>0.315</w:t>
            </w:r>
          </w:p>
        </w:tc>
        <w:tc>
          <w:tcPr>
            <w:tcW w:w="1166" w:type="dxa"/>
            <w:gridSpan w:val="2"/>
            <w:tcBorders>
              <w:top w:val="nil"/>
              <w:left w:val="single" w:sz="4" w:space="0" w:color="auto"/>
              <w:bottom w:val="nil"/>
              <w:right w:val="nil"/>
            </w:tcBorders>
            <w:shd w:val="clear" w:color="auto" w:fill="auto"/>
            <w:noWrap/>
            <w:vAlign w:val="bottom"/>
            <w:hideMark/>
          </w:tcPr>
          <w:p w14:paraId="2E618F7F" w14:textId="77777777" w:rsidR="001E2D72" w:rsidRPr="00105869" w:rsidRDefault="001E2D72" w:rsidP="0068649F">
            <w:pPr>
              <w:jc w:val="center"/>
              <w:rPr>
                <w:sz w:val="22"/>
                <w:szCs w:val="22"/>
                <w:lang w:val="en-GB"/>
              </w:rPr>
            </w:pPr>
            <w:r w:rsidRPr="00105869">
              <w:rPr>
                <w:sz w:val="22"/>
                <w:szCs w:val="22"/>
                <w:lang w:val="en-GB"/>
              </w:rPr>
              <w:t>0.175</w:t>
            </w:r>
          </w:p>
        </w:tc>
        <w:tc>
          <w:tcPr>
            <w:tcW w:w="1167" w:type="dxa"/>
            <w:tcBorders>
              <w:top w:val="nil"/>
              <w:left w:val="single" w:sz="4" w:space="0" w:color="auto"/>
              <w:bottom w:val="nil"/>
              <w:right w:val="nil"/>
            </w:tcBorders>
            <w:shd w:val="clear" w:color="auto" w:fill="auto"/>
            <w:noWrap/>
            <w:vAlign w:val="bottom"/>
            <w:hideMark/>
          </w:tcPr>
          <w:p w14:paraId="6FCABB33" w14:textId="77777777" w:rsidR="001E2D72" w:rsidRPr="00105869" w:rsidRDefault="001E2D72" w:rsidP="0068649F">
            <w:pPr>
              <w:jc w:val="center"/>
              <w:rPr>
                <w:sz w:val="22"/>
                <w:szCs w:val="22"/>
                <w:lang w:val="en-GB"/>
              </w:rPr>
            </w:pPr>
            <w:r w:rsidRPr="00105869">
              <w:rPr>
                <w:sz w:val="22"/>
                <w:szCs w:val="22"/>
                <w:lang w:val="en-GB"/>
              </w:rPr>
              <w:t>0.036</w:t>
            </w:r>
          </w:p>
        </w:tc>
        <w:tc>
          <w:tcPr>
            <w:tcW w:w="1189" w:type="dxa"/>
            <w:gridSpan w:val="2"/>
            <w:tcBorders>
              <w:top w:val="nil"/>
              <w:left w:val="single" w:sz="4" w:space="0" w:color="auto"/>
              <w:bottom w:val="nil"/>
              <w:right w:val="single" w:sz="8" w:space="0" w:color="auto"/>
            </w:tcBorders>
            <w:shd w:val="clear" w:color="auto" w:fill="auto"/>
            <w:noWrap/>
            <w:vAlign w:val="bottom"/>
            <w:hideMark/>
          </w:tcPr>
          <w:p w14:paraId="4F7C78FB" w14:textId="77777777" w:rsidR="001E2D72" w:rsidRPr="00105869" w:rsidRDefault="001E2D72" w:rsidP="0068649F">
            <w:pPr>
              <w:jc w:val="center"/>
              <w:rPr>
                <w:sz w:val="22"/>
                <w:szCs w:val="22"/>
                <w:lang w:val="en-GB"/>
              </w:rPr>
            </w:pPr>
            <w:r w:rsidRPr="00105869">
              <w:rPr>
                <w:sz w:val="22"/>
                <w:szCs w:val="22"/>
                <w:lang w:val="en-GB"/>
              </w:rPr>
              <w:t>0.165</w:t>
            </w:r>
          </w:p>
        </w:tc>
      </w:tr>
      <w:tr w:rsidR="001E2D72" w:rsidRPr="00105869" w14:paraId="5DC69C4C" w14:textId="77777777" w:rsidTr="0068649F">
        <w:trPr>
          <w:trHeight w:val="320"/>
        </w:trPr>
        <w:tc>
          <w:tcPr>
            <w:tcW w:w="4810" w:type="dxa"/>
            <w:tcBorders>
              <w:top w:val="nil"/>
              <w:left w:val="single" w:sz="8" w:space="0" w:color="auto"/>
              <w:bottom w:val="nil"/>
              <w:right w:val="nil"/>
            </w:tcBorders>
            <w:shd w:val="clear" w:color="auto" w:fill="auto"/>
            <w:noWrap/>
            <w:vAlign w:val="bottom"/>
            <w:hideMark/>
          </w:tcPr>
          <w:p w14:paraId="4F0EAE79" w14:textId="77777777" w:rsidR="001E2D72" w:rsidRPr="00105869" w:rsidRDefault="001E2D72" w:rsidP="0068649F">
            <w:pPr>
              <w:rPr>
                <w:b/>
                <w:bCs/>
                <w:color w:val="000000"/>
                <w:sz w:val="22"/>
                <w:szCs w:val="22"/>
                <w:lang w:val="en-GB"/>
              </w:rPr>
            </w:pPr>
            <w:r w:rsidRPr="00105869">
              <w:rPr>
                <w:b/>
                <w:bCs/>
                <w:color w:val="000000"/>
                <w:sz w:val="22"/>
                <w:szCs w:val="22"/>
                <w:lang w:val="en-GB"/>
              </w:rPr>
              <w:t>Intensity radiopacity cranial margin</w:t>
            </w:r>
          </w:p>
        </w:tc>
        <w:tc>
          <w:tcPr>
            <w:tcW w:w="1166" w:type="dxa"/>
            <w:tcBorders>
              <w:top w:val="nil"/>
              <w:left w:val="single" w:sz="4" w:space="0" w:color="auto"/>
              <w:bottom w:val="nil"/>
              <w:right w:val="nil"/>
            </w:tcBorders>
            <w:shd w:val="clear" w:color="auto" w:fill="auto"/>
            <w:noWrap/>
            <w:vAlign w:val="bottom"/>
            <w:hideMark/>
          </w:tcPr>
          <w:p w14:paraId="014831CD" w14:textId="77777777" w:rsidR="001E2D72" w:rsidRPr="00105869" w:rsidRDefault="001E2D72" w:rsidP="0068649F">
            <w:pPr>
              <w:jc w:val="center"/>
              <w:rPr>
                <w:sz w:val="22"/>
                <w:szCs w:val="22"/>
                <w:lang w:val="en-GB"/>
              </w:rPr>
            </w:pPr>
            <w:r w:rsidRPr="00105869">
              <w:rPr>
                <w:sz w:val="22"/>
                <w:szCs w:val="22"/>
                <w:lang w:val="en-GB"/>
              </w:rPr>
              <w:t>0.5008</w:t>
            </w:r>
          </w:p>
        </w:tc>
        <w:tc>
          <w:tcPr>
            <w:tcW w:w="1167" w:type="dxa"/>
            <w:gridSpan w:val="2"/>
            <w:tcBorders>
              <w:top w:val="nil"/>
              <w:left w:val="single" w:sz="4" w:space="0" w:color="auto"/>
              <w:bottom w:val="nil"/>
              <w:right w:val="nil"/>
            </w:tcBorders>
            <w:shd w:val="clear" w:color="auto" w:fill="auto"/>
            <w:noWrap/>
            <w:vAlign w:val="bottom"/>
            <w:hideMark/>
          </w:tcPr>
          <w:p w14:paraId="49AB30C8" w14:textId="77777777" w:rsidR="001E2D72" w:rsidRPr="00105869" w:rsidRDefault="001E2D72" w:rsidP="0068649F">
            <w:pPr>
              <w:jc w:val="center"/>
              <w:rPr>
                <w:sz w:val="22"/>
                <w:szCs w:val="22"/>
                <w:lang w:val="en-GB"/>
              </w:rPr>
            </w:pPr>
            <w:r w:rsidRPr="00105869">
              <w:rPr>
                <w:sz w:val="22"/>
                <w:szCs w:val="22"/>
                <w:lang w:val="en-GB"/>
              </w:rPr>
              <w:t>0.3307</w:t>
            </w:r>
          </w:p>
        </w:tc>
        <w:tc>
          <w:tcPr>
            <w:tcW w:w="1166" w:type="dxa"/>
            <w:tcBorders>
              <w:top w:val="nil"/>
              <w:left w:val="single" w:sz="4" w:space="0" w:color="auto"/>
              <w:bottom w:val="nil"/>
              <w:right w:val="nil"/>
            </w:tcBorders>
            <w:shd w:val="clear" w:color="auto" w:fill="auto"/>
            <w:noWrap/>
            <w:vAlign w:val="bottom"/>
            <w:hideMark/>
          </w:tcPr>
          <w:p w14:paraId="477B420C" w14:textId="77777777" w:rsidR="001E2D72" w:rsidRPr="00105869" w:rsidRDefault="001E2D72" w:rsidP="0068649F">
            <w:pPr>
              <w:jc w:val="center"/>
              <w:rPr>
                <w:sz w:val="22"/>
                <w:szCs w:val="22"/>
                <w:lang w:val="en-GB"/>
              </w:rPr>
            </w:pPr>
            <w:r w:rsidRPr="00105869">
              <w:rPr>
                <w:sz w:val="22"/>
                <w:szCs w:val="22"/>
                <w:lang w:val="en-GB"/>
              </w:rPr>
              <w:t>0.48</w:t>
            </w:r>
          </w:p>
        </w:tc>
        <w:tc>
          <w:tcPr>
            <w:tcW w:w="1167" w:type="dxa"/>
            <w:tcBorders>
              <w:top w:val="nil"/>
              <w:left w:val="single" w:sz="4" w:space="0" w:color="auto"/>
              <w:bottom w:val="nil"/>
              <w:right w:val="nil"/>
            </w:tcBorders>
            <w:shd w:val="clear" w:color="auto" w:fill="auto"/>
            <w:noWrap/>
            <w:vAlign w:val="bottom"/>
            <w:hideMark/>
          </w:tcPr>
          <w:p w14:paraId="5EA1A00C" w14:textId="77777777" w:rsidR="001E2D72" w:rsidRPr="00105869" w:rsidRDefault="001E2D72" w:rsidP="0068649F">
            <w:pPr>
              <w:jc w:val="center"/>
              <w:rPr>
                <w:sz w:val="22"/>
                <w:szCs w:val="22"/>
                <w:lang w:val="en-GB"/>
              </w:rPr>
            </w:pPr>
            <w:r w:rsidRPr="00105869">
              <w:rPr>
                <w:sz w:val="22"/>
                <w:szCs w:val="22"/>
                <w:lang w:val="en-GB"/>
              </w:rPr>
              <w:t>0.296</w:t>
            </w:r>
          </w:p>
        </w:tc>
        <w:tc>
          <w:tcPr>
            <w:tcW w:w="1167" w:type="dxa"/>
            <w:gridSpan w:val="2"/>
            <w:tcBorders>
              <w:top w:val="nil"/>
              <w:left w:val="single" w:sz="4" w:space="0" w:color="auto"/>
              <w:bottom w:val="nil"/>
              <w:right w:val="nil"/>
            </w:tcBorders>
            <w:shd w:val="clear" w:color="auto" w:fill="auto"/>
            <w:noWrap/>
            <w:vAlign w:val="bottom"/>
            <w:hideMark/>
          </w:tcPr>
          <w:p w14:paraId="7985D674" w14:textId="77777777" w:rsidR="001E2D72" w:rsidRPr="00105869" w:rsidRDefault="001E2D72" w:rsidP="0068649F">
            <w:pPr>
              <w:jc w:val="center"/>
              <w:rPr>
                <w:sz w:val="22"/>
                <w:szCs w:val="22"/>
                <w:lang w:val="en-GB"/>
              </w:rPr>
            </w:pPr>
            <w:r w:rsidRPr="00105869">
              <w:rPr>
                <w:sz w:val="22"/>
                <w:szCs w:val="22"/>
                <w:lang w:val="en-GB"/>
              </w:rPr>
              <w:t>0.368</w:t>
            </w:r>
          </w:p>
        </w:tc>
        <w:tc>
          <w:tcPr>
            <w:tcW w:w="1166" w:type="dxa"/>
            <w:gridSpan w:val="2"/>
            <w:tcBorders>
              <w:top w:val="nil"/>
              <w:left w:val="single" w:sz="4" w:space="0" w:color="auto"/>
              <w:bottom w:val="nil"/>
              <w:right w:val="nil"/>
            </w:tcBorders>
            <w:shd w:val="clear" w:color="auto" w:fill="auto"/>
            <w:noWrap/>
            <w:vAlign w:val="bottom"/>
            <w:hideMark/>
          </w:tcPr>
          <w:p w14:paraId="1E812823" w14:textId="77777777" w:rsidR="001E2D72" w:rsidRPr="00105869" w:rsidRDefault="001E2D72" w:rsidP="0068649F">
            <w:pPr>
              <w:jc w:val="center"/>
              <w:rPr>
                <w:sz w:val="22"/>
                <w:szCs w:val="22"/>
                <w:lang w:val="en-GB"/>
              </w:rPr>
            </w:pPr>
            <w:r w:rsidRPr="00105869">
              <w:rPr>
                <w:sz w:val="22"/>
                <w:szCs w:val="22"/>
                <w:lang w:val="en-GB"/>
              </w:rPr>
              <w:t>0.206</w:t>
            </w:r>
          </w:p>
        </w:tc>
        <w:tc>
          <w:tcPr>
            <w:tcW w:w="1167" w:type="dxa"/>
            <w:tcBorders>
              <w:top w:val="nil"/>
              <w:left w:val="single" w:sz="4" w:space="0" w:color="auto"/>
              <w:bottom w:val="nil"/>
              <w:right w:val="nil"/>
            </w:tcBorders>
            <w:shd w:val="clear" w:color="auto" w:fill="auto"/>
            <w:noWrap/>
            <w:vAlign w:val="bottom"/>
            <w:hideMark/>
          </w:tcPr>
          <w:p w14:paraId="5BED9444" w14:textId="77777777" w:rsidR="001E2D72" w:rsidRPr="00105869" w:rsidRDefault="001E2D72" w:rsidP="0068649F">
            <w:pPr>
              <w:jc w:val="center"/>
              <w:rPr>
                <w:sz w:val="22"/>
                <w:szCs w:val="22"/>
                <w:lang w:val="en-GB"/>
              </w:rPr>
            </w:pPr>
            <w:r w:rsidRPr="00105869">
              <w:rPr>
                <w:sz w:val="22"/>
                <w:szCs w:val="22"/>
                <w:lang w:val="en-GB"/>
              </w:rPr>
              <w:t>0.095</w:t>
            </w:r>
          </w:p>
        </w:tc>
        <w:tc>
          <w:tcPr>
            <w:tcW w:w="1189" w:type="dxa"/>
            <w:gridSpan w:val="2"/>
            <w:tcBorders>
              <w:top w:val="nil"/>
              <w:left w:val="single" w:sz="4" w:space="0" w:color="auto"/>
              <w:bottom w:val="nil"/>
              <w:right w:val="single" w:sz="8" w:space="0" w:color="auto"/>
            </w:tcBorders>
            <w:shd w:val="clear" w:color="auto" w:fill="auto"/>
            <w:noWrap/>
            <w:vAlign w:val="bottom"/>
            <w:hideMark/>
          </w:tcPr>
          <w:p w14:paraId="445DCE78" w14:textId="77777777" w:rsidR="001E2D72" w:rsidRPr="00105869" w:rsidRDefault="001E2D72" w:rsidP="0068649F">
            <w:pPr>
              <w:jc w:val="center"/>
              <w:rPr>
                <w:sz w:val="22"/>
                <w:szCs w:val="22"/>
                <w:lang w:val="en-GB"/>
              </w:rPr>
            </w:pPr>
            <w:r w:rsidRPr="00105869">
              <w:rPr>
                <w:sz w:val="22"/>
                <w:szCs w:val="22"/>
                <w:lang w:val="en-GB"/>
              </w:rPr>
              <w:t>0.297</w:t>
            </w:r>
          </w:p>
        </w:tc>
      </w:tr>
      <w:tr w:rsidR="001E2D72" w:rsidRPr="00105869" w14:paraId="1C3DBD20" w14:textId="77777777" w:rsidTr="0068649F">
        <w:trPr>
          <w:trHeight w:val="320"/>
        </w:trPr>
        <w:tc>
          <w:tcPr>
            <w:tcW w:w="4810" w:type="dxa"/>
            <w:tcBorders>
              <w:top w:val="nil"/>
              <w:left w:val="single" w:sz="8" w:space="0" w:color="auto"/>
              <w:bottom w:val="nil"/>
              <w:right w:val="nil"/>
            </w:tcBorders>
            <w:shd w:val="clear" w:color="auto" w:fill="auto"/>
            <w:noWrap/>
            <w:vAlign w:val="bottom"/>
            <w:hideMark/>
          </w:tcPr>
          <w:p w14:paraId="2766ED1F" w14:textId="77777777" w:rsidR="001E2D72" w:rsidRPr="00105869" w:rsidRDefault="001E2D72" w:rsidP="0068649F">
            <w:pPr>
              <w:rPr>
                <w:b/>
                <w:bCs/>
                <w:color w:val="000000"/>
                <w:sz w:val="22"/>
                <w:szCs w:val="22"/>
                <w:lang w:val="en-GB"/>
              </w:rPr>
            </w:pPr>
            <w:r w:rsidRPr="00105869">
              <w:rPr>
                <w:b/>
                <w:bCs/>
                <w:color w:val="000000"/>
                <w:sz w:val="22"/>
                <w:szCs w:val="22"/>
                <w:lang w:val="en-GB"/>
              </w:rPr>
              <w:t>Width radiopacity cranial margin</w:t>
            </w:r>
          </w:p>
        </w:tc>
        <w:tc>
          <w:tcPr>
            <w:tcW w:w="1166" w:type="dxa"/>
            <w:tcBorders>
              <w:top w:val="nil"/>
              <w:left w:val="single" w:sz="4" w:space="0" w:color="auto"/>
              <w:bottom w:val="nil"/>
              <w:right w:val="nil"/>
            </w:tcBorders>
            <w:shd w:val="clear" w:color="auto" w:fill="auto"/>
            <w:noWrap/>
            <w:vAlign w:val="bottom"/>
            <w:hideMark/>
          </w:tcPr>
          <w:p w14:paraId="32A38C1D" w14:textId="77777777" w:rsidR="001E2D72" w:rsidRPr="00105869" w:rsidRDefault="001E2D72" w:rsidP="0068649F">
            <w:pPr>
              <w:jc w:val="center"/>
              <w:rPr>
                <w:sz w:val="22"/>
                <w:szCs w:val="22"/>
                <w:lang w:val="en-GB"/>
              </w:rPr>
            </w:pPr>
            <w:r w:rsidRPr="00105869">
              <w:rPr>
                <w:sz w:val="22"/>
                <w:szCs w:val="22"/>
                <w:lang w:val="en-GB"/>
              </w:rPr>
              <w:t>0.4857</w:t>
            </w:r>
          </w:p>
        </w:tc>
        <w:tc>
          <w:tcPr>
            <w:tcW w:w="1167" w:type="dxa"/>
            <w:gridSpan w:val="2"/>
            <w:tcBorders>
              <w:top w:val="nil"/>
              <w:left w:val="single" w:sz="4" w:space="0" w:color="auto"/>
              <w:bottom w:val="nil"/>
              <w:right w:val="nil"/>
            </w:tcBorders>
            <w:shd w:val="clear" w:color="auto" w:fill="auto"/>
            <w:noWrap/>
            <w:vAlign w:val="bottom"/>
            <w:hideMark/>
          </w:tcPr>
          <w:p w14:paraId="474303CF" w14:textId="77777777" w:rsidR="001E2D72" w:rsidRPr="00105869" w:rsidRDefault="001E2D72" w:rsidP="0068649F">
            <w:pPr>
              <w:jc w:val="center"/>
              <w:rPr>
                <w:sz w:val="22"/>
                <w:szCs w:val="22"/>
                <w:lang w:val="en-GB"/>
              </w:rPr>
            </w:pPr>
            <w:r w:rsidRPr="00105869">
              <w:rPr>
                <w:sz w:val="22"/>
                <w:szCs w:val="22"/>
                <w:lang w:val="en-GB"/>
              </w:rPr>
              <w:t>0.2663</w:t>
            </w:r>
          </w:p>
        </w:tc>
        <w:tc>
          <w:tcPr>
            <w:tcW w:w="1166" w:type="dxa"/>
            <w:tcBorders>
              <w:top w:val="nil"/>
              <w:left w:val="single" w:sz="4" w:space="0" w:color="auto"/>
              <w:bottom w:val="nil"/>
              <w:right w:val="nil"/>
            </w:tcBorders>
            <w:shd w:val="clear" w:color="auto" w:fill="auto"/>
            <w:noWrap/>
            <w:vAlign w:val="bottom"/>
            <w:hideMark/>
          </w:tcPr>
          <w:p w14:paraId="70F5FCC7" w14:textId="77777777" w:rsidR="001E2D72" w:rsidRPr="00105869" w:rsidRDefault="001E2D72" w:rsidP="0068649F">
            <w:pPr>
              <w:jc w:val="center"/>
              <w:rPr>
                <w:sz w:val="22"/>
                <w:szCs w:val="22"/>
                <w:lang w:val="en-GB"/>
              </w:rPr>
            </w:pPr>
            <w:r w:rsidRPr="00105869">
              <w:rPr>
                <w:sz w:val="22"/>
                <w:szCs w:val="22"/>
                <w:lang w:val="en-GB"/>
              </w:rPr>
              <w:t>0.477</w:t>
            </w:r>
          </w:p>
        </w:tc>
        <w:tc>
          <w:tcPr>
            <w:tcW w:w="1167" w:type="dxa"/>
            <w:tcBorders>
              <w:top w:val="nil"/>
              <w:left w:val="single" w:sz="4" w:space="0" w:color="auto"/>
              <w:bottom w:val="nil"/>
              <w:right w:val="nil"/>
            </w:tcBorders>
            <w:shd w:val="clear" w:color="auto" w:fill="auto"/>
            <w:noWrap/>
            <w:vAlign w:val="bottom"/>
            <w:hideMark/>
          </w:tcPr>
          <w:p w14:paraId="27EF63AB" w14:textId="77777777" w:rsidR="001E2D72" w:rsidRPr="00105869" w:rsidRDefault="001E2D72" w:rsidP="0068649F">
            <w:pPr>
              <w:jc w:val="center"/>
              <w:rPr>
                <w:sz w:val="22"/>
                <w:szCs w:val="22"/>
                <w:lang w:val="en-GB"/>
              </w:rPr>
            </w:pPr>
            <w:r w:rsidRPr="00105869">
              <w:rPr>
                <w:sz w:val="22"/>
                <w:szCs w:val="22"/>
                <w:lang w:val="en-GB"/>
              </w:rPr>
              <w:t>0.296</w:t>
            </w:r>
          </w:p>
        </w:tc>
        <w:tc>
          <w:tcPr>
            <w:tcW w:w="1167" w:type="dxa"/>
            <w:gridSpan w:val="2"/>
            <w:tcBorders>
              <w:top w:val="nil"/>
              <w:left w:val="single" w:sz="4" w:space="0" w:color="auto"/>
              <w:bottom w:val="nil"/>
              <w:right w:val="nil"/>
            </w:tcBorders>
            <w:shd w:val="clear" w:color="auto" w:fill="auto"/>
            <w:noWrap/>
            <w:vAlign w:val="bottom"/>
            <w:hideMark/>
          </w:tcPr>
          <w:p w14:paraId="25CF56E3" w14:textId="77777777" w:rsidR="001E2D72" w:rsidRPr="00105869" w:rsidRDefault="001E2D72" w:rsidP="0068649F">
            <w:pPr>
              <w:jc w:val="center"/>
              <w:rPr>
                <w:sz w:val="22"/>
                <w:szCs w:val="22"/>
                <w:lang w:val="en-GB"/>
              </w:rPr>
            </w:pPr>
            <w:r w:rsidRPr="00105869">
              <w:rPr>
                <w:sz w:val="22"/>
                <w:szCs w:val="22"/>
                <w:lang w:val="en-GB"/>
              </w:rPr>
              <w:t>0.418</w:t>
            </w:r>
          </w:p>
        </w:tc>
        <w:tc>
          <w:tcPr>
            <w:tcW w:w="1166" w:type="dxa"/>
            <w:gridSpan w:val="2"/>
            <w:tcBorders>
              <w:top w:val="nil"/>
              <w:left w:val="single" w:sz="4" w:space="0" w:color="auto"/>
              <w:bottom w:val="nil"/>
              <w:right w:val="nil"/>
            </w:tcBorders>
            <w:shd w:val="clear" w:color="auto" w:fill="auto"/>
            <w:noWrap/>
            <w:vAlign w:val="bottom"/>
            <w:hideMark/>
          </w:tcPr>
          <w:p w14:paraId="1E450C0C" w14:textId="77777777" w:rsidR="001E2D72" w:rsidRPr="00105869" w:rsidRDefault="001E2D72" w:rsidP="0068649F">
            <w:pPr>
              <w:jc w:val="center"/>
              <w:rPr>
                <w:sz w:val="22"/>
                <w:szCs w:val="22"/>
                <w:lang w:val="en-GB"/>
              </w:rPr>
            </w:pPr>
            <w:r w:rsidRPr="00105869">
              <w:rPr>
                <w:sz w:val="22"/>
                <w:szCs w:val="22"/>
                <w:lang w:val="en-GB"/>
              </w:rPr>
              <w:t>0.21</w:t>
            </w:r>
          </w:p>
        </w:tc>
        <w:tc>
          <w:tcPr>
            <w:tcW w:w="1167" w:type="dxa"/>
            <w:tcBorders>
              <w:top w:val="nil"/>
              <w:left w:val="single" w:sz="4" w:space="0" w:color="auto"/>
              <w:bottom w:val="nil"/>
              <w:right w:val="nil"/>
            </w:tcBorders>
            <w:shd w:val="clear" w:color="auto" w:fill="auto"/>
            <w:noWrap/>
            <w:vAlign w:val="bottom"/>
            <w:hideMark/>
          </w:tcPr>
          <w:p w14:paraId="59EBEA12" w14:textId="77777777" w:rsidR="001E2D72" w:rsidRPr="00105869" w:rsidRDefault="001E2D72" w:rsidP="0068649F">
            <w:pPr>
              <w:jc w:val="center"/>
              <w:rPr>
                <w:sz w:val="22"/>
                <w:szCs w:val="22"/>
                <w:lang w:val="en-GB"/>
              </w:rPr>
            </w:pPr>
            <w:r w:rsidRPr="00105869">
              <w:rPr>
                <w:sz w:val="22"/>
                <w:szCs w:val="22"/>
                <w:lang w:val="en-GB"/>
              </w:rPr>
              <w:t>0.092</w:t>
            </w:r>
          </w:p>
        </w:tc>
        <w:tc>
          <w:tcPr>
            <w:tcW w:w="1189" w:type="dxa"/>
            <w:gridSpan w:val="2"/>
            <w:tcBorders>
              <w:top w:val="nil"/>
              <w:left w:val="single" w:sz="4" w:space="0" w:color="auto"/>
              <w:bottom w:val="nil"/>
              <w:right w:val="single" w:sz="8" w:space="0" w:color="auto"/>
            </w:tcBorders>
            <w:shd w:val="clear" w:color="auto" w:fill="auto"/>
            <w:noWrap/>
            <w:vAlign w:val="bottom"/>
            <w:hideMark/>
          </w:tcPr>
          <w:p w14:paraId="4A7F99D8" w14:textId="77777777" w:rsidR="001E2D72" w:rsidRPr="00105869" w:rsidRDefault="001E2D72" w:rsidP="0068649F">
            <w:pPr>
              <w:jc w:val="center"/>
              <w:rPr>
                <w:sz w:val="22"/>
                <w:szCs w:val="22"/>
                <w:lang w:val="en-GB"/>
              </w:rPr>
            </w:pPr>
            <w:r w:rsidRPr="00105869">
              <w:rPr>
                <w:sz w:val="22"/>
                <w:szCs w:val="22"/>
                <w:lang w:val="en-GB"/>
              </w:rPr>
              <w:t>0.296</w:t>
            </w:r>
          </w:p>
        </w:tc>
      </w:tr>
      <w:tr w:rsidR="001E2D72" w:rsidRPr="00105869" w14:paraId="687363E9" w14:textId="77777777" w:rsidTr="0068649F">
        <w:trPr>
          <w:trHeight w:val="320"/>
        </w:trPr>
        <w:tc>
          <w:tcPr>
            <w:tcW w:w="4810" w:type="dxa"/>
            <w:tcBorders>
              <w:top w:val="nil"/>
              <w:left w:val="single" w:sz="8" w:space="0" w:color="auto"/>
              <w:bottom w:val="nil"/>
              <w:right w:val="nil"/>
            </w:tcBorders>
            <w:shd w:val="clear" w:color="auto" w:fill="auto"/>
            <w:noWrap/>
            <w:vAlign w:val="bottom"/>
            <w:hideMark/>
          </w:tcPr>
          <w:p w14:paraId="078D3D4F" w14:textId="77777777" w:rsidR="001E2D72" w:rsidRPr="00105869" w:rsidRDefault="001E2D72" w:rsidP="0068649F">
            <w:pPr>
              <w:rPr>
                <w:b/>
                <w:bCs/>
                <w:color w:val="000000"/>
                <w:sz w:val="22"/>
                <w:szCs w:val="22"/>
                <w:lang w:val="en-GB"/>
              </w:rPr>
            </w:pPr>
            <w:r w:rsidRPr="00105869">
              <w:rPr>
                <w:b/>
                <w:bCs/>
                <w:color w:val="000000"/>
                <w:sz w:val="22"/>
                <w:szCs w:val="22"/>
                <w:lang w:val="en-GB"/>
              </w:rPr>
              <w:t>Intensity radiopacity caudal margin</w:t>
            </w:r>
          </w:p>
        </w:tc>
        <w:tc>
          <w:tcPr>
            <w:tcW w:w="1166" w:type="dxa"/>
            <w:tcBorders>
              <w:top w:val="nil"/>
              <w:left w:val="single" w:sz="4" w:space="0" w:color="auto"/>
              <w:bottom w:val="nil"/>
              <w:right w:val="nil"/>
            </w:tcBorders>
            <w:shd w:val="clear" w:color="auto" w:fill="auto"/>
            <w:noWrap/>
            <w:vAlign w:val="bottom"/>
            <w:hideMark/>
          </w:tcPr>
          <w:p w14:paraId="5075BA84" w14:textId="77777777" w:rsidR="001E2D72" w:rsidRPr="00105869" w:rsidRDefault="001E2D72" w:rsidP="0068649F">
            <w:pPr>
              <w:jc w:val="center"/>
              <w:rPr>
                <w:sz w:val="22"/>
                <w:szCs w:val="22"/>
                <w:lang w:val="en-GB"/>
              </w:rPr>
            </w:pPr>
            <w:r w:rsidRPr="00105869">
              <w:rPr>
                <w:sz w:val="22"/>
                <w:szCs w:val="22"/>
                <w:lang w:val="en-GB"/>
              </w:rPr>
              <w:t>0.4858</w:t>
            </w:r>
          </w:p>
        </w:tc>
        <w:tc>
          <w:tcPr>
            <w:tcW w:w="1167" w:type="dxa"/>
            <w:gridSpan w:val="2"/>
            <w:tcBorders>
              <w:top w:val="nil"/>
              <w:left w:val="single" w:sz="4" w:space="0" w:color="auto"/>
              <w:bottom w:val="nil"/>
              <w:right w:val="nil"/>
            </w:tcBorders>
            <w:shd w:val="clear" w:color="auto" w:fill="auto"/>
            <w:noWrap/>
            <w:vAlign w:val="bottom"/>
            <w:hideMark/>
          </w:tcPr>
          <w:p w14:paraId="4F814A58" w14:textId="77777777" w:rsidR="001E2D72" w:rsidRPr="00105869" w:rsidRDefault="001E2D72" w:rsidP="0068649F">
            <w:pPr>
              <w:jc w:val="center"/>
              <w:rPr>
                <w:sz w:val="22"/>
                <w:szCs w:val="22"/>
                <w:lang w:val="en-GB"/>
              </w:rPr>
            </w:pPr>
            <w:r w:rsidRPr="00105869">
              <w:rPr>
                <w:sz w:val="22"/>
                <w:szCs w:val="22"/>
                <w:lang w:val="en-GB"/>
              </w:rPr>
              <w:t>0.3938</w:t>
            </w:r>
          </w:p>
        </w:tc>
        <w:tc>
          <w:tcPr>
            <w:tcW w:w="1166" w:type="dxa"/>
            <w:tcBorders>
              <w:top w:val="nil"/>
              <w:left w:val="single" w:sz="4" w:space="0" w:color="auto"/>
              <w:bottom w:val="nil"/>
              <w:right w:val="nil"/>
            </w:tcBorders>
            <w:shd w:val="clear" w:color="auto" w:fill="auto"/>
            <w:noWrap/>
            <w:vAlign w:val="bottom"/>
            <w:hideMark/>
          </w:tcPr>
          <w:p w14:paraId="2E0DFD7E" w14:textId="77777777" w:rsidR="001E2D72" w:rsidRPr="00105869" w:rsidRDefault="001E2D72" w:rsidP="0068649F">
            <w:pPr>
              <w:jc w:val="center"/>
              <w:rPr>
                <w:sz w:val="22"/>
                <w:szCs w:val="22"/>
                <w:lang w:val="en-GB"/>
              </w:rPr>
            </w:pPr>
            <w:r w:rsidRPr="00105869">
              <w:rPr>
                <w:sz w:val="22"/>
                <w:szCs w:val="22"/>
                <w:lang w:val="en-GB"/>
              </w:rPr>
              <w:t>0.386</w:t>
            </w:r>
          </w:p>
        </w:tc>
        <w:tc>
          <w:tcPr>
            <w:tcW w:w="1167" w:type="dxa"/>
            <w:tcBorders>
              <w:top w:val="nil"/>
              <w:left w:val="single" w:sz="4" w:space="0" w:color="auto"/>
              <w:bottom w:val="nil"/>
              <w:right w:val="nil"/>
            </w:tcBorders>
            <w:shd w:val="clear" w:color="auto" w:fill="auto"/>
            <w:noWrap/>
            <w:vAlign w:val="bottom"/>
            <w:hideMark/>
          </w:tcPr>
          <w:p w14:paraId="69C29759" w14:textId="77777777" w:rsidR="001E2D72" w:rsidRPr="00105869" w:rsidRDefault="001E2D72" w:rsidP="0068649F">
            <w:pPr>
              <w:jc w:val="center"/>
              <w:rPr>
                <w:sz w:val="22"/>
                <w:szCs w:val="22"/>
                <w:lang w:val="en-GB"/>
              </w:rPr>
            </w:pPr>
            <w:r w:rsidRPr="00105869">
              <w:rPr>
                <w:sz w:val="22"/>
                <w:szCs w:val="22"/>
                <w:lang w:val="en-GB"/>
              </w:rPr>
              <w:t>0.321</w:t>
            </w:r>
          </w:p>
        </w:tc>
        <w:tc>
          <w:tcPr>
            <w:tcW w:w="1167" w:type="dxa"/>
            <w:gridSpan w:val="2"/>
            <w:tcBorders>
              <w:top w:val="nil"/>
              <w:left w:val="single" w:sz="4" w:space="0" w:color="auto"/>
              <w:bottom w:val="nil"/>
              <w:right w:val="nil"/>
            </w:tcBorders>
            <w:shd w:val="clear" w:color="auto" w:fill="auto"/>
            <w:noWrap/>
            <w:vAlign w:val="bottom"/>
            <w:hideMark/>
          </w:tcPr>
          <w:p w14:paraId="69352398" w14:textId="77777777" w:rsidR="001E2D72" w:rsidRPr="00105869" w:rsidRDefault="001E2D72" w:rsidP="0068649F">
            <w:pPr>
              <w:jc w:val="center"/>
              <w:rPr>
                <w:sz w:val="22"/>
                <w:szCs w:val="22"/>
                <w:lang w:val="en-GB"/>
              </w:rPr>
            </w:pPr>
            <w:r w:rsidRPr="00105869">
              <w:rPr>
                <w:sz w:val="22"/>
                <w:szCs w:val="22"/>
                <w:lang w:val="en-GB"/>
              </w:rPr>
              <w:t>0.403</w:t>
            </w:r>
          </w:p>
        </w:tc>
        <w:tc>
          <w:tcPr>
            <w:tcW w:w="1166" w:type="dxa"/>
            <w:gridSpan w:val="2"/>
            <w:tcBorders>
              <w:top w:val="nil"/>
              <w:left w:val="single" w:sz="4" w:space="0" w:color="auto"/>
              <w:bottom w:val="nil"/>
              <w:right w:val="nil"/>
            </w:tcBorders>
            <w:shd w:val="clear" w:color="auto" w:fill="auto"/>
            <w:noWrap/>
            <w:vAlign w:val="bottom"/>
            <w:hideMark/>
          </w:tcPr>
          <w:p w14:paraId="36A37E7F" w14:textId="77777777" w:rsidR="001E2D72" w:rsidRPr="00105869" w:rsidRDefault="001E2D72" w:rsidP="0068649F">
            <w:pPr>
              <w:jc w:val="center"/>
              <w:rPr>
                <w:sz w:val="22"/>
                <w:szCs w:val="22"/>
                <w:lang w:val="en-GB"/>
              </w:rPr>
            </w:pPr>
            <w:r w:rsidRPr="00105869">
              <w:rPr>
                <w:sz w:val="22"/>
                <w:szCs w:val="22"/>
                <w:lang w:val="en-GB"/>
              </w:rPr>
              <w:t>0.266</w:t>
            </w:r>
          </w:p>
        </w:tc>
        <w:tc>
          <w:tcPr>
            <w:tcW w:w="1167" w:type="dxa"/>
            <w:tcBorders>
              <w:top w:val="nil"/>
              <w:left w:val="single" w:sz="4" w:space="0" w:color="auto"/>
              <w:bottom w:val="nil"/>
              <w:right w:val="nil"/>
            </w:tcBorders>
            <w:shd w:val="clear" w:color="auto" w:fill="auto"/>
            <w:noWrap/>
            <w:vAlign w:val="bottom"/>
            <w:hideMark/>
          </w:tcPr>
          <w:p w14:paraId="3938A6C7" w14:textId="77777777" w:rsidR="001E2D72" w:rsidRPr="00105869" w:rsidRDefault="001E2D72" w:rsidP="0068649F">
            <w:pPr>
              <w:jc w:val="center"/>
              <w:rPr>
                <w:sz w:val="22"/>
                <w:szCs w:val="22"/>
                <w:lang w:val="en-GB"/>
              </w:rPr>
            </w:pPr>
            <w:r w:rsidRPr="00105869">
              <w:rPr>
                <w:sz w:val="22"/>
                <w:szCs w:val="22"/>
                <w:lang w:val="en-GB"/>
              </w:rPr>
              <w:t>0.119</w:t>
            </w:r>
          </w:p>
        </w:tc>
        <w:tc>
          <w:tcPr>
            <w:tcW w:w="1189" w:type="dxa"/>
            <w:gridSpan w:val="2"/>
            <w:tcBorders>
              <w:top w:val="nil"/>
              <w:left w:val="single" w:sz="4" w:space="0" w:color="auto"/>
              <w:bottom w:val="nil"/>
              <w:right w:val="single" w:sz="8" w:space="0" w:color="auto"/>
            </w:tcBorders>
            <w:shd w:val="clear" w:color="auto" w:fill="auto"/>
            <w:noWrap/>
            <w:vAlign w:val="bottom"/>
            <w:hideMark/>
          </w:tcPr>
          <w:p w14:paraId="4D62F590" w14:textId="77777777" w:rsidR="001E2D72" w:rsidRPr="00105869" w:rsidRDefault="001E2D72" w:rsidP="0068649F">
            <w:pPr>
              <w:jc w:val="center"/>
              <w:rPr>
                <w:sz w:val="22"/>
                <w:szCs w:val="22"/>
                <w:lang w:val="en-GB"/>
              </w:rPr>
            </w:pPr>
            <w:r w:rsidRPr="00105869">
              <w:rPr>
                <w:sz w:val="22"/>
                <w:szCs w:val="22"/>
                <w:lang w:val="en-GB"/>
              </w:rPr>
              <w:t>0.286</w:t>
            </w:r>
          </w:p>
        </w:tc>
      </w:tr>
      <w:tr w:rsidR="001E2D72" w:rsidRPr="00105869" w14:paraId="2E8FBFEA" w14:textId="77777777" w:rsidTr="0068649F">
        <w:trPr>
          <w:trHeight w:val="320"/>
        </w:trPr>
        <w:tc>
          <w:tcPr>
            <w:tcW w:w="4810" w:type="dxa"/>
            <w:tcBorders>
              <w:top w:val="nil"/>
              <w:left w:val="single" w:sz="8" w:space="0" w:color="auto"/>
              <w:bottom w:val="nil"/>
              <w:right w:val="nil"/>
            </w:tcBorders>
            <w:shd w:val="clear" w:color="auto" w:fill="auto"/>
            <w:noWrap/>
            <w:vAlign w:val="bottom"/>
            <w:hideMark/>
          </w:tcPr>
          <w:p w14:paraId="2DCCD03D" w14:textId="77777777" w:rsidR="001E2D72" w:rsidRPr="00105869" w:rsidRDefault="001E2D72" w:rsidP="0068649F">
            <w:pPr>
              <w:rPr>
                <w:b/>
                <w:bCs/>
                <w:color w:val="000000"/>
                <w:sz w:val="22"/>
                <w:szCs w:val="22"/>
                <w:lang w:val="en-GB"/>
              </w:rPr>
            </w:pPr>
            <w:r w:rsidRPr="00105869">
              <w:rPr>
                <w:b/>
                <w:bCs/>
                <w:color w:val="000000"/>
                <w:sz w:val="22"/>
                <w:szCs w:val="22"/>
                <w:lang w:val="en-GB"/>
              </w:rPr>
              <w:t>Width radiopacity caudal margin</w:t>
            </w:r>
          </w:p>
        </w:tc>
        <w:tc>
          <w:tcPr>
            <w:tcW w:w="1166" w:type="dxa"/>
            <w:tcBorders>
              <w:top w:val="nil"/>
              <w:left w:val="single" w:sz="4" w:space="0" w:color="auto"/>
              <w:bottom w:val="nil"/>
              <w:right w:val="nil"/>
            </w:tcBorders>
            <w:shd w:val="clear" w:color="auto" w:fill="auto"/>
            <w:noWrap/>
            <w:vAlign w:val="bottom"/>
            <w:hideMark/>
          </w:tcPr>
          <w:p w14:paraId="255D91E6" w14:textId="77777777" w:rsidR="001E2D72" w:rsidRPr="00105869" w:rsidRDefault="001E2D72" w:rsidP="0068649F">
            <w:pPr>
              <w:jc w:val="center"/>
              <w:rPr>
                <w:sz w:val="22"/>
                <w:szCs w:val="22"/>
                <w:lang w:val="en-GB"/>
              </w:rPr>
            </w:pPr>
            <w:r w:rsidRPr="00105869">
              <w:rPr>
                <w:sz w:val="22"/>
                <w:szCs w:val="22"/>
                <w:lang w:val="en-GB"/>
              </w:rPr>
              <w:t>0.4113</w:t>
            </w:r>
          </w:p>
        </w:tc>
        <w:tc>
          <w:tcPr>
            <w:tcW w:w="1167" w:type="dxa"/>
            <w:gridSpan w:val="2"/>
            <w:tcBorders>
              <w:top w:val="nil"/>
              <w:left w:val="single" w:sz="4" w:space="0" w:color="auto"/>
              <w:bottom w:val="nil"/>
              <w:right w:val="nil"/>
            </w:tcBorders>
            <w:shd w:val="clear" w:color="auto" w:fill="auto"/>
            <w:noWrap/>
            <w:vAlign w:val="bottom"/>
            <w:hideMark/>
          </w:tcPr>
          <w:p w14:paraId="11B2E0F3" w14:textId="77777777" w:rsidR="001E2D72" w:rsidRPr="00105869" w:rsidRDefault="001E2D72" w:rsidP="0068649F">
            <w:pPr>
              <w:jc w:val="center"/>
              <w:rPr>
                <w:sz w:val="22"/>
                <w:szCs w:val="22"/>
                <w:lang w:val="en-GB"/>
              </w:rPr>
            </w:pPr>
            <w:r w:rsidRPr="00105869">
              <w:rPr>
                <w:sz w:val="22"/>
                <w:szCs w:val="22"/>
                <w:lang w:val="en-GB"/>
              </w:rPr>
              <w:t>0.3144</w:t>
            </w:r>
          </w:p>
        </w:tc>
        <w:tc>
          <w:tcPr>
            <w:tcW w:w="1166" w:type="dxa"/>
            <w:tcBorders>
              <w:top w:val="nil"/>
              <w:left w:val="single" w:sz="4" w:space="0" w:color="auto"/>
              <w:bottom w:val="nil"/>
              <w:right w:val="nil"/>
            </w:tcBorders>
            <w:shd w:val="clear" w:color="auto" w:fill="auto"/>
            <w:noWrap/>
            <w:vAlign w:val="bottom"/>
            <w:hideMark/>
          </w:tcPr>
          <w:p w14:paraId="166C8D31" w14:textId="77777777" w:rsidR="001E2D72" w:rsidRPr="00105869" w:rsidRDefault="001E2D72" w:rsidP="0068649F">
            <w:pPr>
              <w:jc w:val="center"/>
              <w:rPr>
                <w:sz w:val="22"/>
                <w:szCs w:val="22"/>
                <w:lang w:val="en-GB"/>
              </w:rPr>
            </w:pPr>
            <w:r w:rsidRPr="00105869">
              <w:rPr>
                <w:sz w:val="22"/>
                <w:szCs w:val="22"/>
                <w:lang w:val="en-GB"/>
              </w:rPr>
              <w:t>0.384</w:t>
            </w:r>
          </w:p>
        </w:tc>
        <w:tc>
          <w:tcPr>
            <w:tcW w:w="1167" w:type="dxa"/>
            <w:tcBorders>
              <w:top w:val="nil"/>
              <w:left w:val="single" w:sz="4" w:space="0" w:color="auto"/>
              <w:bottom w:val="nil"/>
              <w:right w:val="nil"/>
            </w:tcBorders>
            <w:shd w:val="clear" w:color="auto" w:fill="auto"/>
            <w:noWrap/>
            <w:vAlign w:val="bottom"/>
            <w:hideMark/>
          </w:tcPr>
          <w:p w14:paraId="5D714C24" w14:textId="77777777" w:rsidR="001E2D72" w:rsidRPr="00105869" w:rsidRDefault="001E2D72" w:rsidP="0068649F">
            <w:pPr>
              <w:jc w:val="center"/>
              <w:rPr>
                <w:sz w:val="22"/>
                <w:szCs w:val="22"/>
                <w:lang w:val="en-GB"/>
              </w:rPr>
            </w:pPr>
            <w:r w:rsidRPr="00105869">
              <w:rPr>
                <w:sz w:val="22"/>
                <w:szCs w:val="22"/>
                <w:lang w:val="en-GB"/>
              </w:rPr>
              <w:t>0.319</w:t>
            </w:r>
          </w:p>
        </w:tc>
        <w:tc>
          <w:tcPr>
            <w:tcW w:w="1167" w:type="dxa"/>
            <w:gridSpan w:val="2"/>
            <w:tcBorders>
              <w:top w:val="nil"/>
              <w:left w:val="single" w:sz="4" w:space="0" w:color="auto"/>
              <w:bottom w:val="nil"/>
              <w:right w:val="nil"/>
            </w:tcBorders>
            <w:shd w:val="clear" w:color="auto" w:fill="auto"/>
            <w:noWrap/>
            <w:vAlign w:val="bottom"/>
            <w:hideMark/>
          </w:tcPr>
          <w:p w14:paraId="5E82FBE2" w14:textId="77777777" w:rsidR="001E2D72" w:rsidRPr="00105869" w:rsidRDefault="001E2D72" w:rsidP="0068649F">
            <w:pPr>
              <w:jc w:val="center"/>
              <w:rPr>
                <w:sz w:val="22"/>
                <w:szCs w:val="22"/>
                <w:lang w:val="en-GB"/>
              </w:rPr>
            </w:pPr>
            <w:r w:rsidRPr="00105869">
              <w:rPr>
                <w:sz w:val="22"/>
                <w:szCs w:val="22"/>
                <w:lang w:val="en-GB"/>
              </w:rPr>
              <w:t>0.308</w:t>
            </w:r>
          </w:p>
        </w:tc>
        <w:tc>
          <w:tcPr>
            <w:tcW w:w="1166" w:type="dxa"/>
            <w:gridSpan w:val="2"/>
            <w:tcBorders>
              <w:top w:val="nil"/>
              <w:left w:val="single" w:sz="4" w:space="0" w:color="auto"/>
              <w:bottom w:val="nil"/>
              <w:right w:val="nil"/>
            </w:tcBorders>
            <w:shd w:val="clear" w:color="auto" w:fill="auto"/>
            <w:noWrap/>
            <w:vAlign w:val="bottom"/>
            <w:hideMark/>
          </w:tcPr>
          <w:p w14:paraId="62060223" w14:textId="77777777" w:rsidR="001E2D72" w:rsidRPr="00105869" w:rsidRDefault="001E2D72" w:rsidP="0068649F">
            <w:pPr>
              <w:jc w:val="center"/>
              <w:rPr>
                <w:sz w:val="22"/>
                <w:szCs w:val="22"/>
                <w:lang w:val="en-GB"/>
              </w:rPr>
            </w:pPr>
            <w:r w:rsidRPr="00105869">
              <w:rPr>
                <w:sz w:val="22"/>
                <w:szCs w:val="22"/>
                <w:lang w:val="en-GB"/>
              </w:rPr>
              <w:t>0.205</w:t>
            </w:r>
          </w:p>
        </w:tc>
        <w:tc>
          <w:tcPr>
            <w:tcW w:w="1167" w:type="dxa"/>
            <w:tcBorders>
              <w:top w:val="nil"/>
              <w:left w:val="single" w:sz="4" w:space="0" w:color="auto"/>
              <w:bottom w:val="nil"/>
              <w:right w:val="nil"/>
            </w:tcBorders>
            <w:shd w:val="clear" w:color="auto" w:fill="auto"/>
            <w:noWrap/>
            <w:vAlign w:val="bottom"/>
            <w:hideMark/>
          </w:tcPr>
          <w:p w14:paraId="1B8CEE48" w14:textId="77777777" w:rsidR="001E2D72" w:rsidRPr="00105869" w:rsidRDefault="001E2D72" w:rsidP="0068649F">
            <w:pPr>
              <w:jc w:val="center"/>
              <w:rPr>
                <w:sz w:val="22"/>
                <w:szCs w:val="22"/>
                <w:lang w:val="en-GB"/>
              </w:rPr>
            </w:pPr>
            <w:r w:rsidRPr="00105869">
              <w:rPr>
                <w:sz w:val="22"/>
                <w:szCs w:val="22"/>
                <w:lang w:val="en-GB"/>
              </w:rPr>
              <w:t>0.119</w:t>
            </w:r>
          </w:p>
        </w:tc>
        <w:tc>
          <w:tcPr>
            <w:tcW w:w="1189" w:type="dxa"/>
            <w:gridSpan w:val="2"/>
            <w:tcBorders>
              <w:top w:val="nil"/>
              <w:left w:val="single" w:sz="4" w:space="0" w:color="auto"/>
              <w:bottom w:val="nil"/>
              <w:right w:val="single" w:sz="8" w:space="0" w:color="auto"/>
            </w:tcBorders>
            <w:shd w:val="clear" w:color="auto" w:fill="auto"/>
            <w:noWrap/>
            <w:vAlign w:val="bottom"/>
            <w:hideMark/>
          </w:tcPr>
          <w:p w14:paraId="089DF369" w14:textId="77777777" w:rsidR="001E2D72" w:rsidRPr="00105869" w:rsidRDefault="001E2D72" w:rsidP="0068649F">
            <w:pPr>
              <w:jc w:val="center"/>
              <w:rPr>
                <w:sz w:val="22"/>
                <w:szCs w:val="22"/>
                <w:lang w:val="en-GB"/>
              </w:rPr>
            </w:pPr>
            <w:r w:rsidRPr="00105869">
              <w:rPr>
                <w:sz w:val="22"/>
                <w:szCs w:val="22"/>
                <w:lang w:val="en-GB"/>
              </w:rPr>
              <w:t>0.286</w:t>
            </w:r>
          </w:p>
        </w:tc>
      </w:tr>
      <w:tr w:rsidR="001E2D72" w:rsidRPr="00105869" w14:paraId="74353BCF" w14:textId="77777777" w:rsidTr="0068649F">
        <w:trPr>
          <w:trHeight w:val="320"/>
        </w:trPr>
        <w:tc>
          <w:tcPr>
            <w:tcW w:w="4810" w:type="dxa"/>
            <w:tcBorders>
              <w:top w:val="nil"/>
              <w:left w:val="single" w:sz="8" w:space="0" w:color="auto"/>
              <w:bottom w:val="nil"/>
              <w:right w:val="nil"/>
            </w:tcBorders>
            <w:shd w:val="clear" w:color="auto" w:fill="auto"/>
            <w:noWrap/>
            <w:vAlign w:val="bottom"/>
            <w:hideMark/>
          </w:tcPr>
          <w:p w14:paraId="5BC23365" w14:textId="77777777" w:rsidR="001E2D72" w:rsidRPr="00105869" w:rsidRDefault="001E2D72" w:rsidP="0068649F">
            <w:pPr>
              <w:rPr>
                <w:b/>
                <w:bCs/>
                <w:color w:val="000000"/>
                <w:sz w:val="22"/>
                <w:szCs w:val="22"/>
                <w:lang w:val="en-GB"/>
              </w:rPr>
            </w:pPr>
            <w:r w:rsidRPr="00105869">
              <w:rPr>
                <w:b/>
                <w:bCs/>
                <w:color w:val="000000"/>
                <w:sz w:val="22"/>
                <w:szCs w:val="22"/>
                <w:lang w:val="en-GB"/>
              </w:rPr>
              <w:t>Osseous-cyst-like-lesion cranial margin</w:t>
            </w:r>
          </w:p>
        </w:tc>
        <w:tc>
          <w:tcPr>
            <w:tcW w:w="1166" w:type="dxa"/>
            <w:tcBorders>
              <w:top w:val="nil"/>
              <w:left w:val="single" w:sz="4" w:space="0" w:color="auto"/>
              <w:bottom w:val="nil"/>
              <w:right w:val="nil"/>
            </w:tcBorders>
            <w:shd w:val="clear" w:color="auto" w:fill="auto"/>
            <w:noWrap/>
            <w:vAlign w:val="bottom"/>
            <w:hideMark/>
          </w:tcPr>
          <w:p w14:paraId="443A9D28" w14:textId="77777777" w:rsidR="001E2D72" w:rsidRPr="00105869" w:rsidRDefault="001E2D72" w:rsidP="0068649F">
            <w:pPr>
              <w:jc w:val="center"/>
              <w:rPr>
                <w:sz w:val="22"/>
                <w:szCs w:val="22"/>
                <w:lang w:val="en-GB"/>
              </w:rPr>
            </w:pPr>
            <w:r w:rsidRPr="00105869">
              <w:rPr>
                <w:sz w:val="22"/>
                <w:szCs w:val="22"/>
                <w:lang w:val="en-GB"/>
              </w:rPr>
              <w:t>0.3229</w:t>
            </w:r>
          </w:p>
        </w:tc>
        <w:tc>
          <w:tcPr>
            <w:tcW w:w="1167" w:type="dxa"/>
            <w:gridSpan w:val="2"/>
            <w:tcBorders>
              <w:top w:val="nil"/>
              <w:left w:val="single" w:sz="4" w:space="0" w:color="auto"/>
              <w:bottom w:val="nil"/>
              <w:right w:val="nil"/>
            </w:tcBorders>
            <w:shd w:val="clear" w:color="auto" w:fill="auto"/>
            <w:noWrap/>
            <w:vAlign w:val="bottom"/>
            <w:hideMark/>
          </w:tcPr>
          <w:p w14:paraId="17ABDDDA" w14:textId="77777777" w:rsidR="001E2D72" w:rsidRPr="00105869" w:rsidRDefault="001E2D72" w:rsidP="0068649F">
            <w:pPr>
              <w:jc w:val="center"/>
              <w:rPr>
                <w:sz w:val="22"/>
                <w:szCs w:val="22"/>
                <w:lang w:val="en-GB"/>
              </w:rPr>
            </w:pPr>
            <w:r w:rsidRPr="00105869">
              <w:rPr>
                <w:sz w:val="22"/>
                <w:szCs w:val="22"/>
                <w:lang w:val="en-GB"/>
              </w:rPr>
              <w:t>0.1949</w:t>
            </w:r>
          </w:p>
        </w:tc>
        <w:tc>
          <w:tcPr>
            <w:tcW w:w="1166" w:type="dxa"/>
            <w:tcBorders>
              <w:top w:val="nil"/>
              <w:left w:val="single" w:sz="4" w:space="0" w:color="auto"/>
              <w:bottom w:val="nil"/>
              <w:right w:val="nil"/>
            </w:tcBorders>
            <w:shd w:val="clear" w:color="auto" w:fill="auto"/>
            <w:noWrap/>
            <w:vAlign w:val="bottom"/>
            <w:hideMark/>
          </w:tcPr>
          <w:p w14:paraId="376AB143" w14:textId="77777777" w:rsidR="001E2D72" w:rsidRPr="00105869" w:rsidRDefault="001E2D72" w:rsidP="0068649F">
            <w:pPr>
              <w:jc w:val="center"/>
              <w:rPr>
                <w:sz w:val="22"/>
                <w:szCs w:val="22"/>
                <w:lang w:val="en-GB"/>
              </w:rPr>
            </w:pPr>
            <w:r w:rsidRPr="00105869">
              <w:rPr>
                <w:sz w:val="22"/>
                <w:szCs w:val="22"/>
                <w:lang w:val="en-GB"/>
              </w:rPr>
              <w:t>0.312</w:t>
            </w:r>
          </w:p>
        </w:tc>
        <w:tc>
          <w:tcPr>
            <w:tcW w:w="1167" w:type="dxa"/>
            <w:tcBorders>
              <w:top w:val="nil"/>
              <w:left w:val="single" w:sz="4" w:space="0" w:color="auto"/>
              <w:bottom w:val="nil"/>
              <w:right w:val="nil"/>
            </w:tcBorders>
            <w:shd w:val="clear" w:color="auto" w:fill="auto"/>
            <w:noWrap/>
            <w:vAlign w:val="bottom"/>
            <w:hideMark/>
          </w:tcPr>
          <w:p w14:paraId="131F329B" w14:textId="77777777" w:rsidR="001E2D72" w:rsidRPr="00105869" w:rsidRDefault="001E2D72" w:rsidP="0068649F">
            <w:pPr>
              <w:jc w:val="center"/>
              <w:rPr>
                <w:sz w:val="22"/>
                <w:szCs w:val="22"/>
                <w:lang w:val="en-GB"/>
              </w:rPr>
            </w:pPr>
            <w:r w:rsidRPr="00105869">
              <w:rPr>
                <w:sz w:val="22"/>
                <w:szCs w:val="22"/>
                <w:lang w:val="en-GB"/>
              </w:rPr>
              <w:t>0.127</w:t>
            </w:r>
          </w:p>
        </w:tc>
        <w:tc>
          <w:tcPr>
            <w:tcW w:w="1167" w:type="dxa"/>
            <w:gridSpan w:val="2"/>
            <w:tcBorders>
              <w:top w:val="nil"/>
              <w:left w:val="single" w:sz="4" w:space="0" w:color="auto"/>
              <w:bottom w:val="nil"/>
              <w:right w:val="nil"/>
            </w:tcBorders>
            <w:shd w:val="clear" w:color="auto" w:fill="auto"/>
            <w:noWrap/>
            <w:vAlign w:val="bottom"/>
            <w:hideMark/>
          </w:tcPr>
          <w:p w14:paraId="2EE520ED" w14:textId="77777777" w:rsidR="001E2D72" w:rsidRPr="00105869" w:rsidRDefault="001E2D72" w:rsidP="0068649F">
            <w:pPr>
              <w:jc w:val="center"/>
              <w:rPr>
                <w:sz w:val="22"/>
                <w:szCs w:val="22"/>
                <w:lang w:val="en-GB"/>
              </w:rPr>
            </w:pPr>
            <w:r w:rsidRPr="00105869">
              <w:rPr>
                <w:sz w:val="22"/>
                <w:szCs w:val="22"/>
                <w:lang w:val="en-GB"/>
              </w:rPr>
              <w:t>0.198</w:t>
            </w:r>
          </w:p>
        </w:tc>
        <w:tc>
          <w:tcPr>
            <w:tcW w:w="1166" w:type="dxa"/>
            <w:gridSpan w:val="2"/>
            <w:tcBorders>
              <w:top w:val="nil"/>
              <w:left w:val="single" w:sz="4" w:space="0" w:color="auto"/>
              <w:bottom w:val="nil"/>
              <w:right w:val="nil"/>
            </w:tcBorders>
            <w:shd w:val="clear" w:color="auto" w:fill="auto"/>
            <w:noWrap/>
            <w:vAlign w:val="bottom"/>
            <w:hideMark/>
          </w:tcPr>
          <w:p w14:paraId="272CFBEA" w14:textId="77777777" w:rsidR="001E2D72" w:rsidRPr="00105869" w:rsidRDefault="001E2D72" w:rsidP="0068649F">
            <w:pPr>
              <w:jc w:val="center"/>
              <w:rPr>
                <w:sz w:val="22"/>
                <w:szCs w:val="22"/>
                <w:lang w:val="en-GB"/>
              </w:rPr>
            </w:pPr>
            <w:r w:rsidRPr="00105869">
              <w:rPr>
                <w:sz w:val="22"/>
                <w:szCs w:val="22"/>
                <w:lang w:val="en-GB"/>
              </w:rPr>
              <w:t>0.186</w:t>
            </w:r>
          </w:p>
        </w:tc>
        <w:tc>
          <w:tcPr>
            <w:tcW w:w="1167" w:type="dxa"/>
            <w:tcBorders>
              <w:top w:val="nil"/>
              <w:left w:val="single" w:sz="4" w:space="0" w:color="auto"/>
              <w:bottom w:val="nil"/>
              <w:right w:val="nil"/>
            </w:tcBorders>
            <w:shd w:val="clear" w:color="auto" w:fill="auto"/>
            <w:noWrap/>
            <w:vAlign w:val="bottom"/>
            <w:hideMark/>
          </w:tcPr>
          <w:p w14:paraId="03C9155B" w14:textId="77777777" w:rsidR="001E2D72" w:rsidRPr="00105869" w:rsidRDefault="001E2D72" w:rsidP="0068649F">
            <w:pPr>
              <w:jc w:val="center"/>
              <w:rPr>
                <w:sz w:val="22"/>
                <w:szCs w:val="22"/>
                <w:lang w:val="en-GB"/>
              </w:rPr>
            </w:pPr>
            <w:proofErr w:type="spellStart"/>
            <w:r w:rsidRPr="00105869">
              <w:rPr>
                <w:sz w:val="22"/>
                <w:szCs w:val="22"/>
                <w:lang w:val="en-GB"/>
              </w:rPr>
              <w:t>n.s</w:t>
            </w:r>
            <w:proofErr w:type="spellEnd"/>
            <w:r w:rsidRPr="00105869">
              <w:rPr>
                <w:sz w:val="22"/>
                <w:szCs w:val="22"/>
                <w:lang w:val="en-GB"/>
              </w:rPr>
              <w:t>.</w:t>
            </w:r>
            <w:r w:rsidRPr="00105869">
              <w:rPr>
                <w:rFonts w:ascii="Arial" w:hAnsi="Arial" w:cs="Arial"/>
                <w:color w:val="1C1D1E"/>
                <w:sz w:val="21"/>
                <w:szCs w:val="21"/>
                <w:shd w:val="clear" w:color="auto" w:fill="FFFFFF"/>
                <w:vertAlign w:val="superscript"/>
                <w:lang w:val="en-GB"/>
              </w:rPr>
              <w:t xml:space="preserve"> †</w:t>
            </w:r>
          </w:p>
        </w:tc>
        <w:tc>
          <w:tcPr>
            <w:tcW w:w="1189" w:type="dxa"/>
            <w:gridSpan w:val="2"/>
            <w:tcBorders>
              <w:top w:val="nil"/>
              <w:left w:val="single" w:sz="4" w:space="0" w:color="auto"/>
              <w:bottom w:val="nil"/>
              <w:right w:val="single" w:sz="8" w:space="0" w:color="auto"/>
            </w:tcBorders>
            <w:shd w:val="clear" w:color="auto" w:fill="auto"/>
            <w:noWrap/>
            <w:vAlign w:val="bottom"/>
            <w:hideMark/>
          </w:tcPr>
          <w:p w14:paraId="5444F343" w14:textId="77777777" w:rsidR="001E2D72" w:rsidRPr="00105869" w:rsidRDefault="001E2D72" w:rsidP="0068649F">
            <w:pPr>
              <w:jc w:val="center"/>
              <w:rPr>
                <w:sz w:val="22"/>
                <w:szCs w:val="22"/>
                <w:lang w:val="en-GB"/>
              </w:rPr>
            </w:pPr>
            <w:r w:rsidRPr="00105869">
              <w:rPr>
                <w:sz w:val="22"/>
                <w:szCs w:val="22"/>
                <w:lang w:val="en-GB"/>
              </w:rPr>
              <w:t>0.075</w:t>
            </w:r>
          </w:p>
        </w:tc>
      </w:tr>
      <w:tr w:rsidR="001E2D72" w:rsidRPr="00105869" w14:paraId="0245DA12" w14:textId="77777777" w:rsidTr="0068649F">
        <w:trPr>
          <w:trHeight w:val="320"/>
        </w:trPr>
        <w:tc>
          <w:tcPr>
            <w:tcW w:w="4810" w:type="dxa"/>
            <w:tcBorders>
              <w:top w:val="nil"/>
              <w:left w:val="single" w:sz="8" w:space="0" w:color="auto"/>
              <w:bottom w:val="nil"/>
              <w:right w:val="nil"/>
            </w:tcBorders>
            <w:shd w:val="clear" w:color="auto" w:fill="auto"/>
            <w:noWrap/>
            <w:vAlign w:val="bottom"/>
            <w:hideMark/>
          </w:tcPr>
          <w:p w14:paraId="394478AC" w14:textId="77777777" w:rsidR="001E2D72" w:rsidRPr="00105869" w:rsidRDefault="001E2D72" w:rsidP="0068649F">
            <w:pPr>
              <w:rPr>
                <w:b/>
                <w:bCs/>
                <w:color w:val="000000"/>
                <w:sz w:val="22"/>
                <w:szCs w:val="22"/>
                <w:lang w:val="en-GB"/>
              </w:rPr>
            </w:pPr>
            <w:r w:rsidRPr="00105869">
              <w:rPr>
                <w:b/>
                <w:bCs/>
                <w:color w:val="000000"/>
                <w:sz w:val="22"/>
                <w:szCs w:val="22"/>
                <w:lang w:val="en-GB"/>
              </w:rPr>
              <w:t>Osseous-cyst-like-lesion caudal margin</w:t>
            </w:r>
          </w:p>
        </w:tc>
        <w:tc>
          <w:tcPr>
            <w:tcW w:w="1166" w:type="dxa"/>
            <w:tcBorders>
              <w:top w:val="nil"/>
              <w:left w:val="single" w:sz="4" w:space="0" w:color="auto"/>
              <w:bottom w:val="nil"/>
              <w:right w:val="nil"/>
            </w:tcBorders>
            <w:shd w:val="clear" w:color="auto" w:fill="auto"/>
            <w:noWrap/>
            <w:vAlign w:val="bottom"/>
            <w:hideMark/>
          </w:tcPr>
          <w:p w14:paraId="12D63DB9" w14:textId="77777777" w:rsidR="001E2D72" w:rsidRPr="00105869" w:rsidRDefault="001E2D72" w:rsidP="0068649F">
            <w:pPr>
              <w:jc w:val="center"/>
              <w:rPr>
                <w:sz w:val="22"/>
                <w:szCs w:val="22"/>
                <w:lang w:val="en-GB"/>
              </w:rPr>
            </w:pPr>
            <w:r w:rsidRPr="00105869">
              <w:rPr>
                <w:sz w:val="22"/>
                <w:szCs w:val="22"/>
                <w:lang w:val="en-GB"/>
              </w:rPr>
              <w:t>0.4362</w:t>
            </w:r>
          </w:p>
        </w:tc>
        <w:tc>
          <w:tcPr>
            <w:tcW w:w="1167" w:type="dxa"/>
            <w:gridSpan w:val="2"/>
            <w:tcBorders>
              <w:top w:val="nil"/>
              <w:left w:val="single" w:sz="4" w:space="0" w:color="auto"/>
              <w:bottom w:val="nil"/>
              <w:right w:val="nil"/>
            </w:tcBorders>
            <w:shd w:val="clear" w:color="auto" w:fill="auto"/>
            <w:noWrap/>
            <w:vAlign w:val="bottom"/>
            <w:hideMark/>
          </w:tcPr>
          <w:p w14:paraId="400A9083" w14:textId="77777777" w:rsidR="001E2D72" w:rsidRPr="00105869" w:rsidRDefault="001E2D72" w:rsidP="0068649F">
            <w:pPr>
              <w:jc w:val="center"/>
              <w:rPr>
                <w:sz w:val="22"/>
                <w:szCs w:val="22"/>
                <w:lang w:val="en-GB"/>
              </w:rPr>
            </w:pPr>
            <w:r w:rsidRPr="00105869">
              <w:rPr>
                <w:sz w:val="22"/>
                <w:szCs w:val="22"/>
                <w:lang w:val="en-GB"/>
              </w:rPr>
              <w:t>0.1672</w:t>
            </w:r>
          </w:p>
        </w:tc>
        <w:tc>
          <w:tcPr>
            <w:tcW w:w="1166" w:type="dxa"/>
            <w:tcBorders>
              <w:top w:val="nil"/>
              <w:left w:val="single" w:sz="4" w:space="0" w:color="auto"/>
              <w:bottom w:val="nil"/>
              <w:right w:val="nil"/>
            </w:tcBorders>
            <w:shd w:val="clear" w:color="auto" w:fill="auto"/>
            <w:noWrap/>
            <w:vAlign w:val="bottom"/>
            <w:hideMark/>
          </w:tcPr>
          <w:p w14:paraId="7056D52B" w14:textId="77777777" w:rsidR="001E2D72" w:rsidRPr="00105869" w:rsidRDefault="001E2D72" w:rsidP="0068649F">
            <w:pPr>
              <w:jc w:val="center"/>
              <w:rPr>
                <w:sz w:val="22"/>
                <w:szCs w:val="22"/>
                <w:lang w:val="en-GB"/>
              </w:rPr>
            </w:pPr>
            <w:r w:rsidRPr="00105869">
              <w:rPr>
                <w:sz w:val="22"/>
                <w:szCs w:val="22"/>
                <w:lang w:val="en-GB"/>
              </w:rPr>
              <w:t>0.499</w:t>
            </w:r>
          </w:p>
        </w:tc>
        <w:tc>
          <w:tcPr>
            <w:tcW w:w="1167" w:type="dxa"/>
            <w:tcBorders>
              <w:top w:val="nil"/>
              <w:left w:val="single" w:sz="4" w:space="0" w:color="auto"/>
              <w:bottom w:val="nil"/>
              <w:right w:val="nil"/>
            </w:tcBorders>
            <w:shd w:val="clear" w:color="auto" w:fill="auto"/>
            <w:noWrap/>
            <w:vAlign w:val="bottom"/>
            <w:hideMark/>
          </w:tcPr>
          <w:p w14:paraId="4E3CBBD2" w14:textId="77777777" w:rsidR="001E2D72" w:rsidRPr="00105869" w:rsidRDefault="001E2D72" w:rsidP="0068649F">
            <w:pPr>
              <w:jc w:val="center"/>
              <w:rPr>
                <w:sz w:val="22"/>
                <w:szCs w:val="22"/>
                <w:lang w:val="en-GB"/>
              </w:rPr>
            </w:pPr>
            <w:r w:rsidRPr="00105869">
              <w:rPr>
                <w:sz w:val="22"/>
                <w:szCs w:val="22"/>
                <w:lang w:val="en-GB"/>
              </w:rPr>
              <w:t>0.108</w:t>
            </w:r>
          </w:p>
        </w:tc>
        <w:tc>
          <w:tcPr>
            <w:tcW w:w="1167" w:type="dxa"/>
            <w:gridSpan w:val="2"/>
            <w:tcBorders>
              <w:top w:val="nil"/>
              <w:left w:val="single" w:sz="4" w:space="0" w:color="auto"/>
              <w:bottom w:val="nil"/>
              <w:right w:val="nil"/>
            </w:tcBorders>
            <w:shd w:val="clear" w:color="auto" w:fill="auto"/>
            <w:noWrap/>
            <w:vAlign w:val="bottom"/>
            <w:hideMark/>
          </w:tcPr>
          <w:p w14:paraId="0AFE4208" w14:textId="77777777" w:rsidR="001E2D72" w:rsidRPr="00105869" w:rsidRDefault="001E2D72" w:rsidP="0068649F">
            <w:pPr>
              <w:jc w:val="center"/>
              <w:rPr>
                <w:sz w:val="22"/>
                <w:szCs w:val="22"/>
                <w:lang w:val="en-GB"/>
              </w:rPr>
            </w:pPr>
            <w:r w:rsidRPr="00105869">
              <w:rPr>
                <w:sz w:val="22"/>
                <w:szCs w:val="22"/>
                <w:lang w:val="en-GB"/>
              </w:rPr>
              <w:t>0.399</w:t>
            </w:r>
          </w:p>
        </w:tc>
        <w:tc>
          <w:tcPr>
            <w:tcW w:w="1166" w:type="dxa"/>
            <w:gridSpan w:val="2"/>
            <w:tcBorders>
              <w:top w:val="nil"/>
              <w:left w:val="single" w:sz="4" w:space="0" w:color="auto"/>
              <w:bottom w:val="nil"/>
              <w:right w:val="nil"/>
            </w:tcBorders>
            <w:shd w:val="clear" w:color="auto" w:fill="auto"/>
            <w:noWrap/>
            <w:vAlign w:val="bottom"/>
            <w:hideMark/>
          </w:tcPr>
          <w:p w14:paraId="5737DF1B" w14:textId="77777777" w:rsidR="001E2D72" w:rsidRPr="00105869" w:rsidRDefault="001E2D72" w:rsidP="0068649F">
            <w:pPr>
              <w:jc w:val="center"/>
              <w:rPr>
                <w:sz w:val="22"/>
                <w:szCs w:val="22"/>
                <w:lang w:val="en-GB"/>
              </w:rPr>
            </w:pPr>
            <w:r w:rsidRPr="00105869">
              <w:rPr>
                <w:sz w:val="22"/>
                <w:szCs w:val="22"/>
                <w:lang w:val="en-GB"/>
              </w:rPr>
              <w:t>0.181</w:t>
            </w:r>
          </w:p>
        </w:tc>
        <w:tc>
          <w:tcPr>
            <w:tcW w:w="1167" w:type="dxa"/>
            <w:tcBorders>
              <w:top w:val="nil"/>
              <w:left w:val="single" w:sz="4" w:space="0" w:color="auto"/>
              <w:bottom w:val="nil"/>
              <w:right w:val="nil"/>
            </w:tcBorders>
            <w:shd w:val="clear" w:color="auto" w:fill="auto"/>
            <w:noWrap/>
            <w:vAlign w:val="bottom"/>
            <w:hideMark/>
          </w:tcPr>
          <w:p w14:paraId="1577037A" w14:textId="77777777" w:rsidR="001E2D72" w:rsidRPr="00105869" w:rsidRDefault="001E2D72" w:rsidP="0068649F">
            <w:pPr>
              <w:jc w:val="center"/>
              <w:rPr>
                <w:sz w:val="22"/>
                <w:szCs w:val="22"/>
                <w:lang w:val="en-GB"/>
              </w:rPr>
            </w:pPr>
            <w:proofErr w:type="spellStart"/>
            <w:r w:rsidRPr="00105869">
              <w:rPr>
                <w:sz w:val="22"/>
                <w:szCs w:val="22"/>
                <w:lang w:val="en-GB"/>
              </w:rPr>
              <w:t>n.s</w:t>
            </w:r>
            <w:proofErr w:type="spellEnd"/>
            <w:r w:rsidRPr="00105869">
              <w:rPr>
                <w:sz w:val="22"/>
                <w:szCs w:val="22"/>
                <w:lang w:val="en-GB"/>
              </w:rPr>
              <w:t>.</w:t>
            </w:r>
            <w:r w:rsidRPr="00105869">
              <w:rPr>
                <w:rFonts w:ascii="Arial" w:hAnsi="Arial" w:cs="Arial"/>
                <w:color w:val="1C1D1E"/>
                <w:sz w:val="21"/>
                <w:szCs w:val="21"/>
                <w:shd w:val="clear" w:color="auto" w:fill="FFFFFF"/>
                <w:vertAlign w:val="superscript"/>
                <w:lang w:val="en-GB"/>
              </w:rPr>
              <w:t xml:space="preserve"> †</w:t>
            </w:r>
          </w:p>
        </w:tc>
        <w:tc>
          <w:tcPr>
            <w:tcW w:w="1189" w:type="dxa"/>
            <w:gridSpan w:val="2"/>
            <w:tcBorders>
              <w:top w:val="nil"/>
              <w:left w:val="single" w:sz="4" w:space="0" w:color="auto"/>
              <w:bottom w:val="nil"/>
              <w:right w:val="single" w:sz="8" w:space="0" w:color="auto"/>
            </w:tcBorders>
            <w:shd w:val="clear" w:color="auto" w:fill="auto"/>
            <w:noWrap/>
            <w:vAlign w:val="bottom"/>
            <w:hideMark/>
          </w:tcPr>
          <w:p w14:paraId="11CD0BAE" w14:textId="77777777" w:rsidR="001E2D72" w:rsidRPr="00105869" w:rsidRDefault="001E2D72" w:rsidP="0068649F">
            <w:pPr>
              <w:jc w:val="center"/>
              <w:rPr>
                <w:sz w:val="22"/>
                <w:szCs w:val="22"/>
                <w:lang w:val="en-GB"/>
              </w:rPr>
            </w:pPr>
            <w:proofErr w:type="spellStart"/>
            <w:r w:rsidRPr="00105869">
              <w:rPr>
                <w:sz w:val="22"/>
                <w:szCs w:val="22"/>
                <w:lang w:val="en-GB"/>
              </w:rPr>
              <w:t>n.s</w:t>
            </w:r>
            <w:proofErr w:type="spellEnd"/>
            <w:r w:rsidRPr="00105869">
              <w:rPr>
                <w:sz w:val="22"/>
                <w:szCs w:val="22"/>
                <w:lang w:val="en-GB"/>
              </w:rPr>
              <w:t>.</w:t>
            </w:r>
            <w:r w:rsidRPr="00105869">
              <w:rPr>
                <w:rFonts w:ascii="Arial" w:hAnsi="Arial" w:cs="Arial"/>
                <w:color w:val="1C1D1E"/>
                <w:sz w:val="21"/>
                <w:szCs w:val="21"/>
                <w:shd w:val="clear" w:color="auto" w:fill="FFFFFF"/>
                <w:vertAlign w:val="superscript"/>
                <w:lang w:val="en-GB"/>
              </w:rPr>
              <w:t xml:space="preserve"> †</w:t>
            </w:r>
          </w:p>
        </w:tc>
      </w:tr>
      <w:tr w:rsidR="001E2D72" w:rsidRPr="00105869" w14:paraId="60C26129" w14:textId="77777777" w:rsidTr="0068649F">
        <w:trPr>
          <w:trHeight w:val="320"/>
        </w:trPr>
        <w:tc>
          <w:tcPr>
            <w:tcW w:w="4810" w:type="dxa"/>
            <w:tcBorders>
              <w:top w:val="nil"/>
              <w:left w:val="single" w:sz="8" w:space="0" w:color="auto"/>
              <w:bottom w:val="nil"/>
              <w:right w:val="nil"/>
            </w:tcBorders>
            <w:shd w:val="clear" w:color="auto" w:fill="auto"/>
            <w:noWrap/>
            <w:vAlign w:val="bottom"/>
            <w:hideMark/>
          </w:tcPr>
          <w:p w14:paraId="4CCB9F6F" w14:textId="77777777" w:rsidR="001E2D72" w:rsidRPr="00105869" w:rsidRDefault="001E2D72" w:rsidP="0068649F">
            <w:pPr>
              <w:rPr>
                <w:b/>
                <w:bCs/>
                <w:color w:val="000000"/>
                <w:sz w:val="22"/>
                <w:szCs w:val="22"/>
                <w:lang w:val="en-GB"/>
              </w:rPr>
            </w:pPr>
            <w:r w:rsidRPr="00105869">
              <w:rPr>
                <w:b/>
                <w:bCs/>
                <w:color w:val="000000"/>
                <w:sz w:val="22"/>
                <w:szCs w:val="22"/>
                <w:lang w:val="en-GB"/>
              </w:rPr>
              <w:t>Radiolucency Cranial margin</w:t>
            </w:r>
          </w:p>
        </w:tc>
        <w:tc>
          <w:tcPr>
            <w:tcW w:w="1166" w:type="dxa"/>
            <w:tcBorders>
              <w:top w:val="nil"/>
              <w:left w:val="single" w:sz="4" w:space="0" w:color="auto"/>
              <w:bottom w:val="nil"/>
              <w:right w:val="nil"/>
            </w:tcBorders>
            <w:shd w:val="clear" w:color="auto" w:fill="auto"/>
            <w:noWrap/>
            <w:vAlign w:val="bottom"/>
            <w:hideMark/>
          </w:tcPr>
          <w:p w14:paraId="3AB03653" w14:textId="77777777" w:rsidR="001E2D72" w:rsidRPr="00105869" w:rsidRDefault="001E2D72" w:rsidP="0068649F">
            <w:pPr>
              <w:jc w:val="center"/>
              <w:rPr>
                <w:sz w:val="22"/>
                <w:szCs w:val="22"/>
                <w:lang w:val="en-GB"/>
              </w:rPr>
            </w:pPr>
            <w:r w:rsidRPr="00105869">
              <w:rPr>
                <w:sz w:val="22"/>
                <w:szCs w:val="22"/>
                <w:lang w:val="en-GB"/>
              </w:rPr>
              <w:t>0.2771</w:t>
            </w:r>
          </w:p>
        </w:tc>
        <w:tc>
          <w:tcPr>
            <w:tcW w:w="1167" w:type="dxa"/>
            <w:gridSpan w:val="2"/>
            <w:tcBorders>
              <w:top w:val="nil"/>
              <w:left w:val="single" w:sz="4" w:space="0" w:color="auto"/>
              <w:bottom w:val="nil"/>
              <w:right w:val="nil"/>
            </w:tcBorders>
            <w:shd w:val="clear" w:color="auto" w:fill="auto"/>
            <w:noWrap/>
            <w:vAlign w:val="bottom"/>
            <w:hideMark/>
          </w:tcPr>
          <w:p w14:paraId="1520E632" w14:textId="77777777" w:rsidR="001E2D72" w:rsidRPr="00105869" w:rsidRDefault="001E2D72" w:rsidP="0068649F">
            <w:pPr>
              <w:jc w:val="center"/>
              <w:rPr>
                <w:sz w:val="22"/>
                <w:szCs w:val="22"/>
                <w:lang w:val="en-GB"/>
              </w:rPr>
            </w:pPr>
            <w:r w:rsidRPr="00105869">
              <w:rPr>
                <w:sz w:val="22"/>
                <w:szCs w:val="22"/>
                <w:lang w:val="en-GB"/>
              </w:rPr>
              <w:t>0.2087</w:t>
            </w:r>
          </w:p>
        </w:tc>
        <w:tc>
          <w:tcPr>
            <w:tcW w:w="1166" w:type="dxa"/>
            <w:tcBorders>
              <w:top w:val="nil"/>
              <w:left w:val="single" w:sz="4" w:space="0" w:color="auto"/>
              <w:bottom w:val="nil"/>
              <w:right w:val="nil"/>
            </w:tcBorders>
            <w:shd w:val="clear" w:color="auto" w:fill="auto"/>
            <w:noWrap/>
            <w:vAlign w:val="bottom"/>
            <w:hideMark/>
          </w:tcPr>
          <w:p w14:paraId="2A2BD00D" w14:textId="77777777" w:rsidR="001E2D72" w:rsidRPr="00105869" w:rsidRDefault="001E2D72" w:rsidP="0068649F">
            <w:pPr>
              <w:jc w:val="center"/>
              <w:rPr>
                <w:sz w:val="22"/>
                <w:szCs w:val="22"/>
                <w:lang w:val="en-GB"/>
              </w:rPr>
            </w:pPr>
            <w:r w:rsidRPr="00105869">
              <w:rPr>
                <w:sz w:val="22"/>
                <w:szCs w:val="22"/>
                <w:lang w:val="en-GB"/>
              </w:rPr>
              <w:t>0.245</w:t>
            </w:r>
          </w:p>
        </w:tc>
        <w:tc>
          <w:tcPr>
            <w:tcW w:w="1167" w:type="dxa"/>
            <w:tcBorders>
              <w:top w:val="nil"/>
              <w:left w:val="single" w:sz="4" w:space="0" w:color="auto"/>
              <w:bottom w:val="nil"/>
              <w:right w:val="nil"/>
            </w:tcBorders>
            <w:shd w:val="clear" w:color="auto" w:fill="auto"/>
            <w:noWrap/>
            <w:vAlign w:val="bottom"/>
            <w:hideMark/>
          </w:tcPr>
          <w:p w14:paraId="6DD94BED" w14:textId="77777777" w:rsidR="001E2D72" w:rsidRPr="00105869" w:rsidRDefault="001E2D72" w:rsidP="0068649F">
            <w:pPr>
              <w:jc w:val="center"/>
              <w:rPr>
                <w:sz w:val="22"/>
                <w:szCs w:val="22"/>
                <w:lang w:val="en-GB"/>
              </w:rPr>
            </w:pPr>
            <w:r w:rsidRPr="00105869">
              <w:rPr>
                <w:sz w:val="22"/>
                <w:szCs w:val="22"/>
                <w:lang w:val="en-GB"/>
              </w:rPr>
              <w:t>0.215</w:t>
            </w:r>
          </w:p>
        </w:tc>
        <w:tc>
          <w:tcPr>
            <w:tcW w:w="1167" w:type="dxa"/>
            <w:gridSpan w:val="2"/>
            <w:tcBorders>
              <w:top w:val="nil"/>
              <w:left w:val="single" w:sz="4" w:space="0" w:color="auto"/>
              <w:bottom w:val="nil"/>
              <w:right w:val="nil"/>
            </w:tcBorders>
            <w:shd w:val="clear" w:color="auto" w:fill="auto"/>
            <w:noWrap/>
            <w:vAlign w:val="bottom"/>
            <w:hideMark/>
          </w:tcPr>
          <w:p w14:paraId="4442AEB2" w14:textId="77777777" w:rsidR="001E2D72" w:rsidRPr="00105869" w:rsidRDefault="001E2D72" w:rsidP="0068649F">
            <w:pPr>
              <w:jc w:val="center"/>
              <w:rPr>
                <w:sz w:val="22"/>
                <w:szCs w:val="22"/>
                <w:lang w:val="en-GB"/>
              </w:rPr>
            </w:pPr>
            <w:r w:rsidRPr="00105869">
              <w:rPr>
                <w:sz w:val="22"/>
                <w:szCs w:val="22"/>
                <w:lang w:val="en-GB"/>
              </w:rPr>
              <w:t>0.225</w:t>
            </w:r>
          </w:p>
        </w:tc>
        <w:tc>
          <w:tcPr>
            <w:tcW w:w="1166" w:type="dxa"/>
            <w:gridSpan w:val="2"/>
            <w:tcBorders>
              <w:top w:val="nil"/>
              <w:left w:val="single" w:sz="4" w:space="0" w:color="auto"/>
              <w:bottom w:val="nil"/>
              <w:right w:val="nil"/>
            </w:tcBorders>
            <w:shd w:val="clear" w:color="auto" w:fill="auto"/>
            <w:noWrap/>
            <w:vAlign w:val="bottom"/>
            <w:hideMark/>
          </w:tcPr>
          <w:p w14:paraId="4D34B635" w14:textId="77777777" w:rsidR="001E2D72" w:rsidRPr="00105869" w:rsidRDefault="001E2D72" w:rsidP="0068649F">
            <w:pPr>
              <w:jc w:val="center"/>
              <w:rPr>
                <w:sz w:val="22"/>
                <w:szCs w:val="22"/>
                <w:lang w:val="en-GB"/>
              </w:rPr>
            </w:pPr>
            <w:r w:rsidRPr="00105869">
              <w:rPr>
                <w:sz w:val="22"/>
                <w:szCs w:val="22"/>
                <w:lang w:val="en-GB"/>
              </w:rPr>
              <w:t>0.127</w:t>
            </w:r>
          </w:p>
        </w:tc>
        <w:tc>
          <w:tcPr>
            <w:tcW w:w="1167" w:type="dxa"/>
            <w:tcBorders>
              <w:top w:val="nil"/>
              <w:left w:val="single" w:sz="4" w:space="0" w:color="auto"/>
              <w:bottom w:val="nil"/>
              <w:right w:val="nil"/>
            </w:tcBorders>
            <w:shd w:val="clear" w:color="auto" w:fill="auto"/>
            <w:noWrap/>
            <w:vAlign w:val="bottom"/>
            <w:hideMark/>
          </w:tcPr>
          <w:p w14:paraId="7A3EFD65" w14:textId="77777777" w:rsidR="001E2D72" w:rsidRPr="00105869" w:rsidRDefault="001E2D72" w:rsidP="0068649F">
            <w:pPr>
              <w:jc w:val="center"/>
              <w:rPr>
                <w:sz w:val="22"/>
                <w:szCs w:val="22"/>
                <w:lang w:val="en-GB"/>
              </w:rPr>
            </w:pPr>
            <w:r w:rsidRPr="00105869">
              <w:rPr>
                <w:sz w:val="22"/>
                <w:szCs w:val="22"/>
                <w:lang w:val="en-GB"/>
              </w:rPr>
              <w:t>0.079</w:t>
            </w:r>
          </w:p>
        </w:tc>
        <w:tc>
          <w:tcPr>
            <w:tcW w:w="1189" w:type="dxa"/>
            <w:gridSpan w:val="2"/>
            <w:tcBorders>
              <w:top w:val="nil"/>
              <w:left w:val="single" w:sz="4" w:space="0" w:color="auto"/>
              <w:bottom w:val="nil"/>
              <w:right w:val="single" w:sz="8" w:space="0" w:color="auto"/>
            </w:tcBorders>
            <w:shd w:val="clear" w:color="auto" w:fill="auto"/>
            <w:noWrap/>
            <w:vAlign w:val="bottom"/>
            <w:hideMark/>
          </w:tcPr>
          <w:p w14:paraId="5D8C0C58" w14:textId="77777777" w:rsidR="001E2D72" w:rsidRPr="00105869" w:rsidRDefault="001E2D72" w:rsidP="0068649F">
            <w:pPr>
              <w:jc w:val="center"/>
              <w:rPr>
                <w:sz w:val="22"/>
                <w:szCs w:val="22"/>
                <w:lang w:val="en-GB"/>
              </w:rPr>
            </w:pPr>
            <w:r w:rsidRPr="00105869">
              <w:rPr>
                <w:sz w:val="22"/>
                <w:szCs w:val="22"/>
                <w:lang w:val="en-GB"/>
              </w:rPr>
              <w:t>0.157</w:t>
            </w:r>
          </w:p>
        </w:tc>
      </w:tr>
      <w:tr w:rsidR="001E2D72" w:rsidRPr="00105869" w14:paraId="03C74B91" w14:textId="77777777" w:rsidTr="0068649F">
        <w:trPr>
          <w:trHeight w:val="340"/>
        </w:trPr>
        <w:tc>
          <w:tcPr>
            <w:tcW w:w="4810" w:type="dxa"/>
            <w:tcBorders>
              <w:top w:val="nil"/>
              <w:left w:val="single" w:sz="8" w:space="0" w:color="auto"/>
              <w:bottom w:val="single" w:sz="8" w:space="0" w:color="auto"/>
              <w:right w:val="nil"/>
            </w:tcBorders>
            <w:shd w:val="clear" w:color="auto" w:fill="auto"/>
            <w:noWrap/>
            <w:vAlign w:val="bottom"/>
            <w:hideMark/>
          </w:tcPr>
          <w:p w14:paraId="1C164FE4" w14:textId="77777777" w:rsidR="001E2D72" w:rsidRPr="00105869" w:rsidRDefault="001E2D72" w:rsidP="0068649F">
            <w:pPr>
              <w:rPr>
                <w:b/>
                <w:bCs/>
                <w:color w:val="000000"/>
                <w:sz w:val="22"/>
                <w:szCs w:val="22"/>
                <w:lang w:val="en-GB"/>
              </w:rPr>
            </w:pPr>
            <w:r w:rsidRPr="00105869">
              <w:rPr>
                <w:b/>
                <w:bCs/>
                <w:color w:val="000000"/>
                <w:sz w:val="22"/>
                <w:szCs w:val="22"/>
                <w:lang w:val="en-GB"/>
              </w:rPr>
              <w:t>Radiolucency Caudal margin</w:t>
            </w:r>
          </w:p>
        </w:tc>
        <w:tc>
          <w:tcPr>
            <w:tcW w:w="1166" w:type="dxa"/>
            <w:tcBorders>
              <w:top w:val="nil"/>
              <w:left w:val="single" w:sz="4" w:space="0" w:color="auto"/>
              <w:bottom w:val="single" w:sz="8" w:space="0" w:color="auto"/>
              <w:right w:val="nil"/>
            </w:tcBorders>
            <w:shd w:val="clear" w:color="auto" w:fill="auto"/>
            <w:noWrap/>
            <w:vAlign w:val="bottom"/>
            <w:hideMark/>
          </w:tcPr>
          <w:p w14:paraId="1F03AA2F" w14:textId="77777777" w:rsidR="001E2D72" w:rsidRPr="00105869" w:rsidRDefault="001E2D72" w:rsidP="0068649F">
            <w:pPr>
              <w:jc w:val="center"/>
              <w:rPr>
                <w:sz w:val="22"/>
                <w:szCs w:val="22"/>
                <w:lang w:val="en-GB"/>
              </w:rPr>
            </w:pPr>
            <w:r w:rsidRPr="00105869">
              <w:rPr>
                <w:sz w:val="22"/>
                <w:szCs w:val="22"/>
                <w:lang w:val="en-GB"/>
              </w:rPr>
              <w:t>0.273</w:t>
            </w:r>
          </w:p>
        </w:tc>
        <w:tc>
          <w:tcPr>
            <w:tcW w:w="1167" w:type="dxa"/>
            <w:gridSpan w:val="2"/>
            <w:tcBorders>
              <w:top w:val="nil"/>
              <w:left w:val="single" w:sz="4" w:space="0" w:color="auto"/>
              <w:bottom w:val="single" w:sz="8" w:space="0" w:color="auto"/>
              <w:right w:val="nil"/>
            </w:tcBorders>
            <w:shd w:val="clear" w:color="auto" w:fill="auto"/>
            <w:noWrap/>
            <w:vAlign w:val="bottom"/>
            <w:hideMark/>
          </w:tcPr>
          <w:p w14:paraId="6AA48412" w14:textId="77777777" w:rsidR="001E2D72" w:rsidRPr="00105869" w:rsidRDefault="001E2D72" w:rsidP="0068649F">
            <w:pPr>
              <w:jc w:val="center"/>
              <w:rPr>
                <w:sz w:val="22"/>
                <w:szCs w:val="22"/>
                <w:lang w:val="en-GB"/>
              </w:rPr>
            </w:pPr>
            <w:r w:rsidRPr="00105869">
              <w:rPr>
                <w:sz w:val="22"/>
                <w:szCs w:val="22"/>
                <w:lang w:val="en-GB"/>
              </w:rPr>
              <w:t>0.107</w:t>
            </w:r>
          </w:p>
        </w:tc>
        <w:tc>
          <w:tcPr>
            <w:tcW w:w="1166" w:type="dxa"/>
            <w:tcBorders>
              <w:top w:val="nil"/>
              <w:left w:val="single" w:sz="4" w:space="0" w:color="auto"/>
              <w:bottom w:val="single" w:sz="8" w:space="0" w:color="auto"/>
              <w:right w:val="nil"/>
            </w:tcBorders>
            <w:shd w:val="clear" w:color="auto" w:fill="auto"/>
            <w:noWrap/>
            <w:vAlign w:val="bottom"/>
            <w:hideMark/>
          </w:tcPr>
          <w:p w14:paraId="446B8CD1" w14:textId="77777777" w:rsidR="001E2D72" w:rsidRPr="00105869" w:rsidRDefault="001E2D72" w:rsidP="0068649F">
            <w:pPr>
              <w:jc w:val="center"/>
              <w:rPr>
                <w:sz w:val="22"/>
                <w:szCs w:val="22"/>
                <w:lang w:val="en-GB"/>
              </w:rPr>
            </w:pPr>
            <w:r w:rsidRPr="00105869">
              <w:rPr>
                <w:sz w:val="22"/>
                <w:szCs w:val="22"/>
                <w:lang w:val="en-GB"/>
              </w:rPr>
              <w:t>0.262</w:t>
            </w:r>
          </w:p>
        </w:tc>
        <w:tc>
          <w:tcPr>
            <w:tcW w:w="1167" w:type="dxa"/>
            <w:tcBorders>
              <w:top w:val="nil"/>
              <w:left w:val="single" w:sz="4" w:space="0" w:color="auto"/>
              <w:bottom w:val="single" w:sz="8" w:space="0" w:color="auto"/>
              <w:right w:val="nil"/>
            </w:tcBorders>
            <w:shd w:val="clear" w:color="auto" w:fill="auto"/>
            <w:noWrap/>
            <w:vAlign w:val="bottom"/>
            <w:hideMark/>
          </w:tcPr>
          <w:p w14:paraId="6D060571" w14:textId="77777777" w:rsidR="001E2D72" w:rsidRPr="00105869" w:rsidRDefault="001E2D72" w:rsidP="0068649F">
            <w:pPr>
              <w:jc w:val="center"/>
              <w:rPr>
                <w:sz w:val="22"/>
                <w:szCs w:val="22"/>
                <w:lang w:val="en-GB"/>
              </w:rPr>
            </w:pPr>
            <w:r w:rsidRPr="00105869">
              <w:rPr>
                <w:sz w:val="22"/>
                <w:szCs w:val="22"/>
                <w:lang w:val="en-GB"/>
              </w:rPr>
              <w:t>0.029</w:t>
            </w:r>
          </w:p>
        </w:tc>
        <w:tc>
          <w:tcPr>
            <w:tcW w:w="1167" w:type="dxa"/>
            <w:gridSpan w:val="2"/>
            <w:tcBorders>
              <w:top w:val="nil"/>
              <w:left w:val="single" w:sz="4" w:space="0" w:color="auto"/>
              <w:bottom w:val="single" w:sz="8" w:space="0" w:color="auto"/>
              <w:right w:val="nil"/>
            </w:tcBorders>
            <w:shd w:val="clear" w:color="auto" w:fill="auto"/>
            <w:noWrap/>
            <w:vAlign w:val="bottom"/>
            <w:hideMark/>
          </w:tcPr>
          <w:p w14:paraId="1B0B9FE3" w14:textId="77777777" w:rsidR="001E2D72" w:rsidRPr="00105869" w:rsidRDefault="001E2D72" w:rsidP="0068649F">
            <w:pPr>
              <w:jc w:val="center"/>
              <w:rPr>
                <w:sz w:val="22"/>
                <w:szCs w:val="22"/>
                <w:lang w:val="en-GB"/>
              </w:rPr>
            </w:pPr>
            <w:r w:rsidRPr="00105869">
              <w:rPr>
                <w:sz w:val="22"/>
                <w:szCs w:val="22"/>
                <w:lang w:val="en-GB"/>
              </w:rPr>
              <w:t>0.262</w:t>
            </w:r>
          </w:p>
        </w:tc>
        <w:tc>
          <w:tcPr>
            <w:tcW w:w="1166" w:type="dxa"/>
            <w:gridSpan w:val="2"/>
            <w:tcBorders>
              <w:top w:val="nil"/>
              <w:left w:val="single" w:sz="4" w:space="0" w:color="auto"/>
              <w:bottom w:val="single" w:sz="8" w:space="0" w:color="auto"/>
              <w:right w:val="nil"/>
            </w:tcBorders>
            <w:shd w:val="clear" w:color="auto" w:fill="auto"/>
            <w:noWrap/>
            <w:vAlign w:val="bottom"/>
            <w:hideMark/>
          </w:tcPr>
          <w:p w14:paraId="2801873B" w14:textId="77777777" w:rsidR="001E2D72" w:rsidRPr="00105869" w:rsidRDefault="001E2D72" w:rsidP="0068649F">
            <w:pPr>
              <w:jc w:val="center"/>
              <w:rPr>
                <w:sz w:val="22"/>
                <w:szCs w:val="22"/>
                <w:lang w:val="en-GB"/>
              </w:rPr>
            </w:pPr>
            <w:r w:rsidRPr="00105869">
              <w:rPr>
                <w:sz w:val="22"/>
                <w:szCs w:val="22"/>
                <w:lang w:val="en-GB"/>
              </w:rPr>
              <w:t>0.117</w:t>
            </w:r>
          </w:p>
        </w:tc>
        <w:tc>
          <w:tcPr>
            <w:tcW w:w="1167" w:type="dxa"/>
            <w:tcBorders>
              <w:top w:val="nil"/>
              <w:left w:val="single" w:sz="4" w:space="0" w:color="auto"/>
              <w:bottom w:val="single" w:sz="8" w:space="0" w:color="auto"/>
              <w:right w:val="nil"/>
            </w:tcBorders>
            <w:shd w:val="clear" w:color="auto" w:fill="auto"/>
            <w:noWrap/>
            <w:vAlign w:val="bottom"/>
            <w:hideMark/>
          </w:tcPr>
          <w:p w14:paraId="5DADAC03" w14:textId="77777777" w:rsidR="001E2D72" w:rsidRPr="00105869" w:rsidRDefault="001E2D72" w:rsidP="0068649F">
            <w:pPr>
              <w:jc w:val="center"/>
              <w:rPr>
                <w:sz w:val="22"/>
                <w:szCs w:val="22"/>
                <w:lang w:val="en-GB"/>
              </w:rPr>
            </w:pPr>
            <w:proofErr w:type="spellStart"/>
            <w:r w:rsidRPr="00105869">
              <w:rPr>
                <w:sz w:val="22"/>
                <w:szCs w:val="22"/>
                <w:lang w:val="en-GB"/>
              </w:rPr>
              <w:t>n.s</w:t>
            </w:r>
            <w:proofErr w:type="spellEnd"/>
            <w:r w:rsidRPr="00105869">
              <w:rPr>
                <w:sz w:val="22"/>
                <w:szCs w:val="22"/>
                <w:lang w:val="en-GB"/>
              </w:rPr>
              <w:t>.</w:t>
            </w:r>
            <w:r w:rsidRPr="00105869">
              <w:rPr>
                <w:rFonts w:ascii="Arial" w:hAnsi="Arial" w:cs="Arial"/>
                <w:color w:val="1C1D1E"/>
                <w:sz w:val="21"/>
                <w:szCs w:val="21"/>
                <w:shd w:val="clear" w:color="auto" w:fill="FFFFFF"/>
                <w:vertAlign w:val="superscript"/>
                <w:lang w:val="en-GB"/>
              </w:rPr>
              <w:t xml:space="preserve"> †</w:t>
            </w:r>
          </w:p>
        </w:tc>
        <w:tc>
          <w:tcPr>
            <w:tcW w:w="1189" w:type="dxa"/>
            <w:gridSpan w:val="2"/>
            <w:tcBorders>
              <w:top w:val="nil"/>
              <w:left w:val="single" w:sz="4" w:space="0" w:color="auto"/>
              <w:bottom w:val="single" w:sz="8" w:space="0" w:color="auto"/>
              <w:right w:val="single" w:sz="8" w:space="0" w:color="auto"/>
            </w:tcBorders>
            <w:shd w:val="clear" w:color="auto" w:fill="auto"/>
            <w:noWrap/>
            <w:vAlign w:val="bottom"/>
            <w:hideMark/>
          </w:tcPr>
          <w:p w14:paraId="6AACD72A" w14:textId="77777777" w:rsidR="001E2D72" w:rsidRPr="00105869" w:rsidRDefault="001E2D72" w:rsidP="0068649F">
            <w:pPr>
              <w:jc w:val="center"/>
              <w:rPr>
                <w:sz w:val="22"/>
                <w:szCs w:val="22"/>
                <w:lang w:val="en-GB"/>
              </w:rPr>
            </w:pPr>
            <w:r w:rsidRPr="00105869">
              <w:rPr>
                <w:sz w:val="22"/>
                <w:szCs w:val="22"/>
                <w:lang w:val="en-GB"/>
              </w:rPr>
              <w:t>0.047</w:t>
            </w:r>
          </w:p>
        </w:tc>
      </w:tr>
    </w:tbl>
    <w:p w14:paraId="36C07252" w14:textId="67A29E3C" w:rsidR="001E2D72" w:rsidRPr="00105869" w:rsidRDefault="001E2D72" w:rsidP="00105869">
      <w:pPr>
        <w:spacing w:line="480" w:lineRule="auto"/>
        <w:rPr>
          <w:b/>
          <w:bCs/>
          <w:lang w:val="en-GB"/>
        </w:rPr>
      </w:pPr>
    </w:p>
    <w:p w14:paraId="343BD735" w14:textId="77777777" w:rsidR="00575A81" w:rsidRDefault="00575A81">
      <w:pPr>
        <w:spacing w:line="480" w:lineRule="auto"/>
        <w:rPr>
          <w:lang w:val="en-GB"/>
        </w:rPr>
        <w:sectPr w:rsidR="00575A81" w:rsidSect="00575A81">
          <w:pgSz w:w="16840" w:h="11900" w:orient="landscape"/>
          <w:pgMar w:top="1417" w:right="1417" w:bottom="1417" w:left="1417" w:header="708" w:footer="708" w:gutter="0"/>
          <w:lnNumType w:countBy="1" w:restart="continuous"/>
          <w:cols w:space="708"/>
          <w:docGrid w:linePitch="360"/>
        </w:sectPr>
      </w:pPr>
    </w:p>
    <w:p w14:paraId="6DF9B012" w14:textId="77C35D86" w:rsidR="00DD7179" w:rsidRPr="00D5527C" w:rsidRDefault="00C31BD3">
      <w:pPr>
        <w:spacing w:line="480" w:lineRule="auto"/>
        <w:rPr>
          <w:b/>
          <w:bCs/>
          <w:lang w:val="en-GB"/>
        </w:rPr>
      </w:pPr>
      <w:r w:rsidRPr="00D5527C">
        <w:rPr>
          <w:b/>
          <w:bCs/>
          <w:lang w:val="en-GB"/>
        </w:rPr>
        <w:lastRenderedPageBreak/>
        <w:t>Agreement of combined parameters</w:t>
      </w:r>
    </w:p>
    <w:p w14:paraId="3726D031" w14:textId="7E55F42C" w:rsidR="001A15BB" w:rsidRPr="00105869" w:rsidRDefault="00C85C8D" w:rsidP="001A15BB">
      <w:pPr>
        <w:spacing w:line="480" w:lineRule="auto"/>
        <w:rPr>
          <w:i/>
          <w:iCs/>
          <w:lang w:val="en-GB"/>
        </w:rPr>
      </w:pPr>
      <w:r w:rsidRPr="00105869">
        <w:rPr>
          <w:lang w:val="en-GB"/>
        </w:rPr>
        <w:t xml:space="preserve">An overview of all Spearman correlation coefficients is shown in Table </w:t>
      </w:r>
      <w:r w:rsidR="000134C0">
        <w:rPr>
          <w:lang w:val="en-GB"/>
        </w:rPr>
        <w:t>4</w:t>
      </w:r>
      <w:r w:rsidRPr="00105869">
        <w:rPr>
          <w:lang w:val="en-GB"/>
        </w:rPr>
        <w:t xml:space="preserve">. </w:t>
      </w:r>
      <w:r w:rsidR="00A22CE5" w:rsidRPr="00105869">
        <w:rPr>
          <w:lang w:val="en-GB"/>
        </w:rPr>
        <w:t>C</w:t>
      </w:r>
      <w:r w:rsidR="00B30294" w:rsidRPr="00105869">
        <w:rPr>
          <w:lang w:val="en-GB"/>
        </w:rPr>
        <w:t>orrelation</w:t>
      </w:r>
      <w:r w:rsidR="006F5163" w:rsidRPr="00105869">
        <w:rPr>
          <w:lang w:val="en-GB"/>
        </w:rPr>
        <w:t xml:space="preserve"> </w:t>
      </w:r>
      <w:r w:rsidR="00B30294" w:rsidRPr="00105869">
        <w:rPr>
          <w:lang w:val="en-GB"/>
        </w:rPr>
        <w:t xml:space="preserve">of the sum of modelling of craniodorsal and cranioventral part of the </w:t>
      </w:r>
      <w:r w:rsidR="00170CC8" w:rsidRPr="00105869">
        <w:rPr>
          <w:lang w:val="en-GB"/>
        </w:rPr>
        <w:t>SP</w:t>
      </w:r>
      <w:r w:rsidR="00B30294" w:rsidRPr="00105869">
        <w:rPr>
          <w:lang w:val="en-GB"/>
        </w:rPr>
        <w:t xml:space="preserve"> </w:t>
      </w:r>
      <w:r w:rsidR="002D43E5">
        <w:rPr>
          <w:lang w:val="en-GB"/>
        </w:rPr>
        <w:t xml:space="preserve">(Modelling Cranial SP) </w:t>
      </w:r>
      <w:r w:rsidR="00B30294" w:rsidRPr="00105869">
        <w:rPr>
          <w:lang w:val="en-GB"/>
        </w:rPr>
        <w:t xml:space="preserve">was moderate to </w:t>
      </w:r>
      <w:r w:rsidR="00FA1DC1" w:rsidRPr="00105869">
        <w:rPr>
          <w:lang w:val="en-GB"/>
        </w:rPr>
        <w:t>good (</w:t>
      </w:r>
      <w:proofErr w:type="spellStart"/>
      <w:r w:rsidR="00FA1DC1" w:rsidRPr="00105869">
        <w:rPr>
          <w:lang w:val="en-GB"/>
        </w:rPr>
        <w:t>S</w:t>
      </w:r>
      <w:r w:rsidR="00FA1DC1" w:rsidRPr="00105869">
        <w:rPr>
          <w:vertAlign w:val="subscript"/>
          <w:lang w:val="en-GB"/>
        </w:rPr>
        <w:t>intra</w:t>
      </w:r>
      <w:proofErr w:type="spellEnd"/>
      <w:r w:rsidR="00FA1DC1" w:rsidRPr="00105869">
        <w:rPr>
          <w:lang w:val="en-GB"/>
        </w:rPr>
        <w:t>=0.60, S</w:t>
      </w:r>
      <w:r w:rsidR="00FA1DC1" w:rsidRPr="00105869">
        <w:rPr>
          <w:vertAlign w:val="subscript"/>
          <w:lang w:val="en-GB"/>
        </w:rPr>
        <w:t>inter</w:t>
      </w:r>
      <w:r w:rsidR="00FA1DC1" w:rsidRPr="00105869">
        <w:rPr>
          <w:lang w:val="en-GB"/>
        </w:rPr>
        <w:t>=0.45)</w:t>
      </w:r>
      <w:r w:rsidR="006A761A" w:rsidRPr="00105869">
        <w:rPr>
          <w:lang w:val="en-GB"/>
        </w:rPr>
        <w:t xml:space="preserve">. </w:t>
      </w:r>
      <w:r w:rsidR="006F5163" w:rsidRPr="00105869">
        <w:rPr>
          <w:lang w:val="en-GB"/>
        </w:rPr>
        <w:t xml:space="preserve">This was slightly less for </w:t>
      </w:r>
      <w:r w:rsidR="002D43E5">
        <w:rPr>
          <w:lang w:val="en-GB"/>
        </w:rPr>
        <w:t xml:space="preserve">Modelling Caudal SP </w:t>
      </w:r>
      <w:r w:rsidR="00FA1DC1" w:rsidRPr="00105869">
        <w:rPr>
          <w:lang w:val="en-GB"/>
        </w:rPr>
        <w:t>(</w:t>
      </w:r>
      <w:proofErr w:type="spellStart"/>
      <w:r w:rsidR="00FA1DC1" w:rsidRPr="00105869">
        <w:rPr>
          <w:lang w:val="en-GB"/>
        </w:rPr>
        <w:t>S</w:t>
      </w:r>
      <w:r w:rsidR="00FA1DC1" w:rsidRPr="00105869">
        <w:rPr>
          <w:vertAlign w:val="subscript"/>
          <w:lang w:val="en-GB"/>
        </w:rPr>
        <w:t>intra</w:t>
      </w:r>
      <w:proofErr w:type="spellEnd"/>
      <w:r w:rsidR="00FA1DC1" w:rsidRPr="00105869">
        <w:rPr>
          <w:lang w:val="en-GB"/>
        </w:rPr>
        <w:t>=0.56, S</w:t>
      </w:r>
      <w:r w:rsidR="00FA1DC1" w:rsidRPr="00105869">
        <w:rPr>
          <w:vertAlign w:val="subscript"/>
          <w:lang w:val="en-GB"/>
        </w:rPr>
        <w:t>inter</w:t>
      </w:r>
      <w:r w:rsidR="00FA1DC1" w:rsidRPr="00105869">
        <w:rPr>
          <w:lang w:val="en-GB"/>
        </w:rPr>
        <w:t xml:space="preserve">=0.27) </w:t>
      </w:r>
      <w:r w:rsidR="007D12FC" w:rsidRPr="00105869">
        <w:rPr>
          <w:lang w:val="en-GB"/>
        </w:rPr>
        <w:t xml:space="preserve">and </w:t>
      </w:r>
      <w:r w:rsidR="002D43E5">
        <w:rPr>
          <w:lang w:val="en-GB"/>
        </w:rPr>
        <w:t>Modelling Total SP</w:t>
      </w:r>
      <w:r w:rsidR="00FA1DC1" w:rsidRPr="00105869">
        <w:rPr>
          <w:lang w:val="en-GB"/>
        </w:rPr>
        <w:t xml:space="preserve"> (</w:t>
      </w:r>
      <w:proofErr w:type="spellStart"/>
      <w:r w:rsidR="00FA1DC1" w:rsidRPr="00105869">
        <w:rPr>
          <w:lang w:val="en-GB"/>
        </w:rPr>
        <w:t>S</w:t>
      </w:r>
      <w:r w:rsidR="00FA1DC1" w:rsidRPr="00105869">
        <w:rPr>
          <w:vertAlign w:val="subscript"/>
          <w:lang w:val="en-GB"/>
        </w:rPr>
        <w:t>intra</w:t>
      </w:r>
      <w:proofErr w:type="spellEnd"/>
      <w:r w:rsidR="00FA1DC1" w:rsidRPr="00105869">
        <w:rPr>
          <w:lang w:val="en-GB"/>
        </w:rPr>
        <w:t>=0.63 S</w:t>
      </w:r>
      <w:r w:rsidR="00FA1DC1" w:rsidRPr="00105869">
        <w:rPr>
          <w:vertAlign w:val="subscript"/>
          <w:lang w:val="en-GB"/>
        </w:rPr>
        <w:t>inter</w:t>
      </w:r>
      <w:r w:rsidR="00FA1DC1" w:rsidRPr="00105869">
        <w:rPr>
          <w:lang w:val="en-GB"/>
        </w:rPr>
        <w:t>=0.37)</w:t>
      </w:r>
      <w:r w:rsidR="007D12FC" w:rsidRPr="00105869">
        <w:rPr>
          <w:lang w:val="en-GB"/>
        </w:rPr>
        <w:t>, which were both moderate</w:t>
      </w:r>
      <w:r w:rsidR="00FA1DC1" w:rsidRPr="00105869">
        <w:rPr>
          <w:lang w:val="en-GB"/>
        </w:rPr>
        <w:t xml:space="preserve"> to fair</w:t>
      </w:r>
      <w:r w:rsidR="007D12FC" w:rsidRPr="00105869">
        <w:rPr>
          <w:lang w:val="en-GB"/>
        </w:rPr>
        <w:t xml:space="preserve">. </w:t>
      </w:r>
      <w:r w:rsidR="00B30294" w:rsidRPr="00105869">
        <w:rPr>
          <w:lang w:val="en-GB"/>
        </w:rPr>
        <w:t xml:space="preserve">Correlations for agreement </w:t>
      </w:r>
      <w:r w:rsidR="007E120E">
        <w:rPr>
          <w:lang w:val="en-GB"/>
        </w:rPr>
        <w:t>of</w:t>
      </w:r>
      <w:r w:rsidR="007E120E" w:rsidRPr="00105869">
        <w:rPr>
          <w:lang w:val="en-GB"/>
        </w:rPr>
        <w:t xml:space="preserve"> </w:t>
      </w:r>
      <w:r w:rsidR="00B30294" w:rsidRPr="00105869">
        <w:rPr>
          <w:lang w:val="en-GB"/>
        </w:rPr>
        <w:t xml:space="preserve">the sum of intensity and width of </w:t>
      </w:r>
      <w:r w:rsidRPr="00105869">
        <w:rPr>
          <w:lang w:val="en-GB"/>
        </w:rPr>
        <w:t>radio</w:t>
      </w:r>
      <w:r w:rsidR="00B30294" w:rsidRPr="00105869">
        <w:rPr>
          <w:lang w:val="en-GB"/>
        </w:rPr>
        <w:t xml:space="preserve">pacities </w:t>
      </w:r>
      <w:r w:rsidR="007E120E">
        <w:rPr>
          <w:lang w:val="en-GB"/>
        </w:rPr>
        <w:t xml:space="preserve">cranially and caudally </w:t>
      </w:r>
      <w:r w:rsidR="002D43E5">
        <w:rPr>
          <w:lang w:val="en-GB"/>
        </w:rPr>
        <w:t xml:space="preserve">(Radiopacity total SP) </w:t>
      </w:r>
      <w:r w:rsidR="00B30294" w:rsidRPr="00105869">
        <w:rPr>
          <w:lang w:val="en-GB"/>
        </w:rPr>
        <w:t xml:space="preserve">was fair to moderate </w:t>
      </w:r>
      <w:r w:rsidR="006F2073" w:rsidRPr="00105869">
        <w:rPr>
          <w:lang w:val="en-GB"/>
        </w:rPr>
        <w:t>(</w:t>
      </w:r>
      <w:proofErr w:type="spellStart"/>
      <w:r w:rsidR="006F2073" w:rsidRPr="00105869">
        <w:rPr>
          <w:lang w:val="en-GB"/>
        </w:rPr>
        <w:t>S</w:t>
      </w:r>
      <w:r w:rsidR="006F2073" w:rsidRPr="00105869">
        <w:rPr>
          <w:vertAlign w:val="subscript"/>
          <w:lang w:val="en-GB"/>
        </w:rPr>
        <w:t>intra</w:t>
      </w:r>
      <w:proofErr w:type="spellEnd"/>
      <w:r w:rsidR="006F2073" w:rsidRPr="00105869">
        <w:rPr>
          <w:lang w:val="en-GB"/>
        </w:rPr>
        <w:t>=0.54 and S</w:t>
      </w:r>
      <w:r w:rsidR="006F2073" w:rsidRPr="00105869">
        <w:rPr>
          <w:vertAlign w:val="subscript"/>
          <w:lang w:val="en-GB"/>
        </w:rPr>
        <w:t>inter</w:t>
      </w:r>
      <w:r w:rsidR="006F2073" w:rsidRPr="00105869">
        <w:rPr>
          <w:lang w:val="en-GB"/>
        </w:rPr>
        <w:t xml:space="preserve">=0.35) </w:t>
      </w:r>
      <w:r w:rsidR="00B30294" w:rsidRPr="00105869">
        <w:rPr>
          <w:lang w:val="en-GB"/>
        </w:rPr>
        <w:t>and almost similar to agreements when separately graded</w:t>
      </w:r>
      <w:r w:rsidR="006F2073" w:rsidRPr="00105869">
        <w:rPr>
          <w:lang w:val="en-GB"/>
        </w:rPr>
        <w:t xml:space="preserve"> (</w:t>
      </w:r>
      <w:r w:rsidR="002D43E5">
        <w:rPr>
          <w:lang w:val="en-GB"/>
        </w:rPr>
        <w:t>Radiopacity Cranial SP</w:t>
      </w:r>
      <w:r w:rsidR="006F2073" w:rsidRPr="00105869">
        <w:rPr>
          <w:lang w:val="en-GB"/>
        </w:rPr>
        <w:t xml:space="preserve">: </w:t>
      </w:r>
      <w:proofErr w:type="spellStart"/>
      <w:r w:rsidR="006F2073" w:rsidRPr="00105869">
        <w:rPr>
          <w:lang w:val="en-GB"/>
        </w:rPr>
        <w:t>S</w:t>
      </w:r>
      <w:r w:rsidR="006F2073" w:rsidRPr="00105869">
        <w:rPr>
          <w:vertAlign w:val="subscript"/>
          <w:lang w:val="en-GB"/>
        </w:rPr>
        <w:t>intra</w:t>
      </w:r>
      <w:proofErr w:type="spellEnd"/>
      <w:r w:rsidR="006F2073" w:rsidRPr="00105869">
        <w:rPr>
          <w:lang w:val="en-GB"/>
        </w:rPr>
        <w:t>=0.52 and S</w:t>
      </w:r>
      <w:r w:rsidR="006F2073" w:rsidRPr="00105869">
        <w:rPr>
          <w:vertAlign w:val="subscript"/>
          <w:lang w:val="en-GB"/>
        </w:rPr>
        <w:t>inter</w:t>
      </w:r>
      <w:r w:rsidR="006F2073" w:rsidRPr="00105869">
        <w:rPr>
          <w:lang w:val="en-GB"/>
        </w:rPr>
        <w:t xml:space="preserve">=0.31, </w:t>
      </w:r>
      <w:r w:rsidR="002D43E5">
        <w:rPr>
          <w:lang w:val="en-GB"/>
        </w:rPr>
        <w:t>Radiopacity Caudal SP</w:t>
      </w:r>
      <w:r w:rsidR="006F2073" w:rsidRPr="00105869">
        <w:rPr>
          <w:lang w:val="en-GB"/>
        </w:rPr>
        <w:t xml:space="preserve">: </w:t>
      </w:r>
      <w:proofErr w:type="spellStart"/>
      <w:r w:rsidR="006F2073" w:rsidRPr="00105869">
        <w:rPr>
          <w:lang w:val="en-GB"/>
        </w:rPr>
        <w:t>S</w:t>
      </w:r>
      <w:r w:rsidR="006F2073" w:rsidRPr="00105869">
        <w:rPr>
          <w:vertAlign w:val="subscript"/>
          <w:lang w:val="en-GB"/>
        </w:rPr>
        <w:t>intra</w:t>
      </w:r>
      <w:proofErr w:type="spellEnd"/>
      <w:r w:rsidR="006F2073" w:rsidRPr="00105869">
        <w:rPr>
          <w:lang w:val="en-GB"/>
        </w:rPr>
        <w:t>=0.51 and S</w:t>
      </w:r>
      <w:r w:rsidR="006F2073" w:rsidRPr="00105869">
        <w:rPr>
          <w:vertAlign w:val="subscript"/>
          <w:lang w:val="en-GB"/>
        </w:rPr>
        <w:t>inter</w:t>
      </w:r>
      <w:r w:rsidR="006F2073" w:rsidRPr="00105869">
        <w:rPr>
          <w:lang w:val="en-GB"/>
        </w:rPr>
        <w:t>=0.38)</w:t>
      </w:r>
      <w:r w:rsidR="00B30294" w:rsidRPr="00105869">
        <w:rPr>
          <w:lang w:val="en-GB"/>
        </w:rPr>
        <w:t xml:space="preserve">. </w:t>
      </w:r>
    </w:p>
    <w:p w14:paraId="776733D4" w14:textId="5C1B84C1" w:rsidR="00EE002F" w:rsidRPr="00105869" w:rsidRDefault="00EE002F">
      <w:pPr>
        <w:spacing w:line="480" w:lineRule="auto"/>
        <w:rPr>
          <w:lang w:val="en-GB"/>
        </w:rPr>
      </w:pPr>
    </w:p>
    <w:p w14:paraId="4DA8A1A0" w14:textId="38B96D3A" w:rsidR="007876BD" w:rsidRPr="00105869" w:rsidRDefault="00603214">
      <w:pPr>
        <w:spacing w:line="480" w:lineRule="auto"/>
        <w:rPr>
          <w:lang w:val="en-GB"/>
        </w:rPr>
      </w:pPr>
      <w:r w:rsidRPr="00105869">
        <w:rPr>
          <w:lang w:val="en-GB"/>
        </w:rPr>
        <w:t>For</w:t>
      </w:r>
      <w:r w:rsidR="00CD1622" w:rsidRPr="00105869">
        <w:rPr>
          <w:lang w:val="en-GB"/>
        </w:rPr>
        <w:t xml:space="preserve"> </w:t>
      </w:r>
      <w:r w:rsidR="00C71D6C" w:rsidRPr="00105869">
        <w:rPr>
          <w:lang w:val="en-GB"/>
        </w:rPr>
        <w:t>combination of parameters per</w:t>
      </w:r>
      <w:r w:rsidR="00CD1622" w:rsidRPr="00105869">
        <w:rPr>
          <w:lang w:val="en-GB"/>
        </w:rPr>
        <w:t xml:space="preserve"> </w:t>
      </w:r>
      <w:r w:rsidR="00D5527C">
        <w:rPr>
          <w:lang w:val="en-GB"/>
        </w:rPr>
        <w:t>SP</w:t>
      </w:r>
      <w:r w:rsidR="00170CC8" w:rsidRPr="00105869">
        <w:rPr>
          <w:lang w:val="en-GB"/>
        </w:rPr>
        <w:t>,</w:t>
      </w:r>
      <w:r w:rsidR="00C71D6C" w:rsidRPr="00105869">
        <w:rPr>
          <w:lang w:val="en-GB"/>
        </w:rPr>
        <w:t xml:space="preserve"> </w:t>
      </w:r>
      <w:r w:rsidR="00170CC8" w:rsidRPr="00105869">
        <w:rPr>
          <w:lang w:val="en-GB"/>
        </w:rPr>
        <w:t>a</w:t>
      </w:r>
      <w:r w:rsidR="00CD1622" w:rsidRPr="00105869">
        <w:rPr>
          <w:lang w:val="en-GB"/>
        </w:rPr>
        <w:t xml:space="preserve">ll dorsal abnormalities </w:t>
      </w:r>
      <w:r w:rsidR="002D43E5">
        <w:rPr>
          <w:lang w:val="en-GB"/>
        </w:rPr>
        <w:t xml:space="preserve">(Total Dorsal radiographic abnormalities) </w:t>
      </w:r>
      <w:r w:rsidR="00EC4DED" w:rsidRPr="00105869">
        <w:rPr>
          <w:lang w:val="en-GB"/>
        </w:rPr>
        <w:t>revealed</w:t>
      </w:r>
      <w:r w:rsidR="00CD1622" w:rsidRPr="00105869">
        <w:rPr>
          <w:lang w:val="en-GB"/>
        </w:rPr>
        <w:t xml:space="preserve"> moderate to good</w:t>
      </w:r>
      <w:r w:rsidR="00EC4DED" w:rsidRPr="00105869">
        <w:rPr>
          <w:lang w:val="en-GB"/>
        </w:rPr>
        <w:t xml:space="preserve"> </w:t>
      </w:r>
      <w:r w:rsidR="007D12FC" w:rsidRPr="00105869">
        <w:rPr>
          <w:lang w:val="en-GB"/>
        </w:rPr>
        <w:t>agreement</w:t>
      </w:r>
      <w:r w:rsidR="006F2073" w:rsidRPr="00105869">
        <w:rPr>
          <w:lang w:val="en-GB"/>
        </w:rPr>
        <w:t xml:space="preserve"> (</w:t>
      </w:r>
      <w:proofErr w:type="spellStart"/>
      <w:r w:rsidR="006F2073" w:rsidRPr="00105869">
        <w:rPr>
          <w:lang w:val="en-GB"/>
        </w:rPr>
        <w:t>S</w:t>
      </w:r>
      <w:r w:rsidR="006F2073" w:rsidRPr="00105869">
        <w:rPr>
          <w:vertAlign w:val="subscript"/>
          <w:lang w:val="en-GB"/>
        </w:rPr>
        <w:t>intra</w:t>
      </w:r>
      <w:proofErr w:type="spellEnd"/>
      <w:r w:rsidR="006F2073" w:rsidRPr="00105869">
        <w:rPr>
          <w:lang w:val="en-GB"/>
        </w:rPr>
        <w:t>=0.68 and S</w:t>
      </w:r>
      <w:r w:rsidR="006F2073" w:rsidRPr="00105869">
        <w:rPr>
          <w:vertAlign w:val="subscript"/>
          <w:lang w:val="en-GB"/>
        </w:rPr>
        <w:t>inter</w:t>
      </w:r>
      <w:r w:rsidR="006F2073" w:rsidRPr="00105869">
        <w:rPr>
          <w:lang w:val="en-GB"/>
        </w:rPr>
        <w:t>=0.46)</w:t>
      </w:r>
      <w:r w:rsidR="00CD1622" w:rsidRPr="00105869">
        <w:rPr>
          <w:lang w:val="en-GB"/>
        </w:rPr>
        <w:t>.</w:t>
      </w:r>
      <w:r w:rsidR="00F1690E" w:rsidRPr="00105869">
        <w:rPr>
          <w:lang w:val="en-GB"/>
        </w:rPr>
        <w:t xml:space="preserve"> </w:t>
      </w:r>
      <w:r w:rsidR="00F21673" w:rsidRPr="00105869">
        <w:rPr>
          <w:lang w:val="en-GB"/>
        </w:rPr>
        <w:t>C</w:t>
      </w:r>
      <w:r w:rsidR="00F1690E" w:rsidRPr="00105869">
        <w:rPr>
          <w:lang w:val="en-GB"/>
        </w:rPr>
        <w:t xml:space="preserve">ranial </w:t>
      </w:r>
      <w:r w:rsidR="007D12FC" w:rsidRPr="00105869">
        <w:rPr>
          <w:lang w:val="en-GB"/>
        </w:rPr>
        <w:t xml:space="preserve">and caudal </w:t>
      </w:r>
      <w:r w:rsidR="00F1690E" w:rsidRPr="00105869">
        <w:rPr>
          <w:lang w:val="en-GB"/>
        </w:rPr>
        <w:t>abnormalities revealed good intra</w:t>
      </w:r>
      <w:r w:rsidR="00F21673" w:rsidRPr="00105869">
        <w:rPr>
          <w:lang w:val="en-GB"/>
        </w:rPr>
        <w:t>-</w:t>
      </w:r>
      <w:r w:rsidR="00F1690E" w:rsidRPr="00105869">
        <w:rPr>
          <w:lang w:val="en-GB"/>
        </w:rPr>
        <w:t xml:space="preserve">observer correlations </w:t>
      </w:r>
      <w:r w:rsidR="007D12FC" w:rsidRPr="00105869">
        <w:rPr>
          <w:lang w:val="en-GB"/>
        </w:rPr>
        <w:t>but only fair correlations on inter-observer agreement</w:t>
      </w:r>
      <w:r w:rsidR="006F2073" w:rsidRPr="00105869">
        <w:rPr>
          <w:lang w:val="en-GB"/>
        </w:rPr>
        <w:t xml:space="preserve"> (</w:t>
      </w:r>
      <w:r w:rsidR="002D43E5">
        <w:rPr>
          <w:lang w:val="en-GB"/>
        </w:rPr>
        <w:t>Total Cranial radiographic abnormalities</w:t>
      </w:r>
      <w:r w:rsidR="006F2073" w:rsidRPr="00105869">
        <w:rPr>
          <w:lang w:val="en-GB"/>
        </w:rPr>
        <w:t xml:space="preserve">: </w:t>
      </w:r>
      <w:proofErr w:type="spellStart"/>
      <w:r w:rsidR="006F2073" w:rsidRPr="00105869">
        <w:rPr>
          <w:lang w:val="en-GB"/>
        </w:rPr>
        <w:t>S</w:t>
      </w:r>
      <w:r w:rsidR="006F2073" w:rsidRPr="00105869">
        <w:rPr>
          <w:vertAlign w:val="subscript"/>
          <w:lang w:val="en-GB"/>
        </w:rPr>
        <w:t>intra</w:t>
      </w:r>
      <w:proofErr w:type="spellEnd"/>
      <w:r w:rsidR="006F2073" w:rsidRPr="00105869">
        <w:rPr>
          <w:lang w:val="en-GB"/>
        </w:rPr>
        <w:t xml:space="preserve"> 0.61 and S</w:t>
      </w:r>
      <w:r w:rsidR="006F2073" w:rsidRPr="00105869">
        <w:rPr>
          <w:vertAlign w:val="subscript"/>
          <w:lang w:val="en-GB"/>
        </w:rPr>
        <w:t>inter</w:t>
      </w:r>
      <w:r w:rsidR="006F2073" w:rsidRPr="00105869">
        <w:rPr>
          <w:lang w:val="en-GB"/>
        </w:rPr>
        <w:t xml:space="preserve">=0.37, </w:t>
      </w:r>
      <w:r w:rsidR="002D43E5">
        <w:rPr>
          <w:lang w:val="en-GB"/>
        </w:rPr>
        <w:t>Total Caudal radiographic abnormalities</w:t>
      </w:r>
      <w:r w:rsidR="006F2073" w:rsidRPr="00105869">
        <w:rPr>
          <w:lang w:val="en-GB"/>
        </w:rPr>
        <w:t xml:space="preserve">: </w:t>
      </w:r>
      <w:proofErr w:type="spellStart"/>
      <w:r w:rsidR="006F2073" w:rsidRPr="00105869">
        <w:rPr>
          <w:lang w:val="en-GB"/>
        </w:rPr>
        <w:t>S</w:t>
      </w:r>
      <w:r w:rsidR="006F2073" w:rsidRPr="00105869">
        <w:rPr>
          <w:vertAlign w:val="subscript"/>
          <w:lang w:val="en-GB"/>
        </w:rPr>
        <w:t>intra</w:t>
      </w:r>
      <w:proofErr w:type="spellEnd"/>
      <w:r w:rsidR="006F2073" w:rsidRPr="00105869">
        <w:rPr>
          <w:lang w:val="en-GB"/>
        </w:rPr>
        <w:t>=0.57 and S</w:t>
      </w:r>
      <w:r w:rsidR="006F2073" w:rsidRPr="00105869">
        <w:rPr>
          <w:vertAlign w:val="subscript"/>
          <w:lang w:val="en-GB"/>
        </w:rPr>
        <w:t>inter</w:t>
      </w:r>
      <w:r w:rsidR="006F2073" w:rsidRPr="00105869">
        <w:rPr>
          <w:lang w:val="en-GB"/>
        </w:rPr>
        <w:t>=0.28)</w:t>
      </w:r>
      <w:r w:rsidR="007D12FC" w:rsidRPr="00105869">
        <w:rPr>
          <w:lang w:val="en-GB"/>
        </w:rPr>
        <w:t xml:space="preserve">. </w:t>
      </w:r>
      <w:r w:rsidR="00EE002F" w:rsidRPr="00105869">
        <w:rPr>
          <w:lang w:val="en-GB"/>
        </w:rPr>
        <w:t xml:space="preserve">Combining different </w:t>
      </w:r>
      <w:r w:rsidR="007E120E">
        <w:rPr>
          <w:lang w:val="en-GB"/>
        </w:rPr>
        <w:t xml:space="preserve">clinically related </w:t>
      </w:r>
      <w:r w:rsidR="00EE002F" w:rsidRPr="00105869">
        <w:rPr>
          <w:lang w:val="en-GB"/>
        </w:rPr>
        <w:t>parameters</w:t>
      </w:r>
      <w:r w:rsidR="007E120E">
        <w:rPr>
          <w:lang w:val="en-GB"/>
        </w:rPr>
        <w:t xml:space="preserve"> in a single SP</w:t>
      </w:r>
      <w:r w:rsidR="002D43E5">
        <w:rPr>
          <w:lang w:val="en-GB"/>
        </w:rPr>
        <w:t xml:space="preserve"> (Total SP radiographic abnormalities)</w:t>
      </w:r>
      <w:r w:rsidR="00F1690E" w:rsidRPr="00105869">
        <w:rPr>
          <w:lang w:val="en-GB"/>
        </w:rPr>
        <w:t>,</w:t>
      </w:r>
      <w:r w:rsidR="007876BD" w:rsidRPr="00105869">
        <w:rPr>
          <w:lang w:val="en-GB"/>
        </w:rPr>
        <w:t xml:space="preserve"> </w:t>
      </w:r>
      <w:r w:rsidR="007E120E">
        <w:rPr>
          <w:lang w:val="en-GB"/>
        </w:rPr>
        <w:t xml:space="preserve">as previously explained, </w:t>
      </w:r>
      <w:r w:rsidR="00EE002F" w:rsidRPr="00105869">
        <w:rPr>
          <w:lang w:val="en-GB"/>
        </w:rPr>
        <w:t>show</w:t>
      </w:r>
      <w:r w:rsidR="007D12FC" w:rsidRPr="00105869">
        <w:rPr>
          <w:lang w:val="en-GB"/>
        </w:rPr>
        <w:t>ed moderate</w:t>
      </w:r>
      <w:r w:rsidR="006F2073" w:rsidRPr="00105869">
        <w:rPr>
          <w:lang w:val="en-GB"/>
        </w:rPr>
        <w:t xml:space="preserve"> to fair</w:t>
      </w:r>
      <w:r w:rsidR="007D12FC" w:rsidRPr="00105869">
        <w:rPr>
          <w:lang w:val="en-GB"/>
        </w:rPr>
        <w:t xml:space="preserve"> </w:t>
      </w:r>
      <w:r w:rsidR="00EE002F" w:rsidRPr="00105869">
        <w:rPr>
          <w:lang w:val="en-GB"/>
        </w:rPr>
        <w:t>results</w:t>
      </w:r>
      <w:r w:rsidR="006F2073" w:rsidRPr="00105869">
        <w:rPr>
          <w:lang w:val="en-GB"/>
        </w:rPr>
        <w:t xml:space="preserve"> (</w:t>
      </w:r>
      <w:proofErr w:type="spellStart"/>
      <w:r w:rsidR="006F2073" w:rsidRPr="00105869">
        <w:rPr>
          <w:lang w:val="en-GB"/>
        </w:rPr>
        <w:t>S</w:t>
      </w:r>
      <w:r w:rsidR="006F2073" w:rsidRPr="00105869">
        <w:rPr>
          <w:vertAlign w:val="subscript"/>
          <w:lang w:val="en-GB"/>
        </w:rPr>
        <w:t>intra</w:t>
      </w:r>
      <w:proofErr w:type="spellEnd"/>
      <w:r w:rsidR="006F2073" w:rsidRPr="00105869">
        <w:rPr>
          <w:lang w:val="en-GB"/>
        </w:rPr>
        <w:t>=0.58 and S</w:t>
      </w:r>
      <w:r w:rsidR="006F2073" w:rsidRPr="00105869">
        <w:rPr>
          <w:vertAlign w:val="subscript"/>
          <w:lang w:val="en-GB"/>
        </w:rPr>
        <w:t>inter</w:t>
      </w:r>
      <w:r w:rsidR="006F2073" w:rsidRPr="00105869">
        <w:rPr>
          <w:lang w:val="en-GB"/>
        </w:rPr>
        <w:t>=0.36)</w:t>
      </w:r>
      <w:r w:rsidR="00EE002F" w:rsidRPr="00105869">
        <w:rPr>
          <w:lang w:val="en-GB"/>
        </w:rPr>
        <w:t>.</w:t>
      </w:r>
      <w:r w:rsidR="005B1266" w:rsidRPr="00105869">
        <w:rPr>
          <w:lang w:val="en-GB"/>
        </w:rPr>
        <w:t xml:space="preserve"> </w:t>
      </w:r>
      <w:r w:rsidR="007876BD" w:rsidRPr="00105869">
        <w:rPr>
          <w:lang w:val="en-GB"/>
        </w:rPr>
        <w:t xml:space="preserve">Finally, the </w:t>
      </w:r>
      <w:r w:rsidR="002D43E5">
        <w:rPr>
          <w:lang w:val="en-GB"/>
        </w:rPr>
        <w:t>T</w:t>
      </w:r>
      <w:r w:rsidR="007876BD" w:rsidRPr="00105869">
        <w:rPr>
          <w:lang w:val="en-GB"/>
        </w:rPr>
        <w:t xml:space="preserve">otal </w:t>
      </w:r>
      <w:r w:rsidR="002D43E5">
        <w:rPr>
          <w:lang w:val="en-GB"/>
        </w:rPr>
        <w:t>Back</w:t>
      </w:r>
      <w:r w:rsidR="007876BD" w:rsidRPr="00105869">
        <w:rPr>
          <w:lang w:val="en-GB"/>
        </w:rPr>
        <w:t xml:space="preserve"> radiographic abnormalities per horse (involving the sums of all </w:t>
      </w:r>
      <w:r w:rsidR="00D5527C">
        <w:rPr>
          <w:lang w:val="en-GB"/>
        </w:rPr>
        <w:t>SP</w:t>
      </w:r>
      <w:r w:rsidR="007876BD" w:rsidRPr="00105869">
        <w:rPr>
          <w:lang w:val="en-GB"/>
        </w:rPr>
        <w:t xml:space="preserve">), was found </w:t>
      </w:r>
      <w:r w:rsidRPr="00105869">
        <w:rPr>
          <w:lang w:val="en-GB"/>
        </w:rPr>
        <w:t xml:space="preserve">to be </w:t>
      </w:r>
      <w:r w:rsidR="007876BD" w:rsidRPr="00105869">
        <w:rPr>
          <w:lang w:val="en-GB"/>
        </w:rPr>
        <w:t>moderate</w:t>
      </w:r>
      <w:r w:rsidR="006F2073" w:rsidRPr="00105869">
        <w:rPr>
          <w:lang w:val="en-GB"/>
        </w:rPr>
        <w:t xml:space="preserve"> (</w:t>
      </w:r>
      <w:proofErr w:type="spellStart"/>
      <w:r w:rsidR="006F2073" w:rsidRPr="00105869">
        <w:rPr>
          <w:lang w:val="en-GB"/>
        </w:rPr>
        <w:t>S</w:t>
      </w:r>
      <w:r w:rsidR="006F2073" w:rsidRPr="00105869">
        <w:rPr>
          <w:vertAlign w:val="subscript"/>
          <w:lang w:val="en-GB"/>
        </w:rPr>
        <w:t>intra</w:t>
      </w:r>
      <w:proofErr w:type="spellEnd"/>
      <w:r w:rsidR="006F2073" w:rsidRPr="00105869">
        <w:rPr>
          <w:lang w:val="en-GB"/>
        </w:rPr>
        <w:t>=0.49 and S</w:t>
      </w:r>
      <w:r w:rsidR="006F2073" w:rsidRPr="00105869">
        <w:rPr>
          <w:vertAlign w:val="subscript"/>
          <w:lang w:val="en-GB"/>
        </w:rPr>
        <w:t>inter</w:t>
      </w:r>
      <w:r w:rsidR="006F2073" w:rsidRPr="00105869">
        <w:rPr>
          <w:lang w:val="en-GB"/>
        </w:rPr>
        <w:t>=0.39)</w:t>
      </w:r>
      <w:r w:rsidR="007D12FC" w:rsidRPr="00105869">
        <w:rPr>
          <w:lang w:val="en-GB"/>
        </w:rPr>
        <w:t>.</w:t>
      </w:r>
    </w:p>
    <w:p w14:paraId="6D7A2F17" w14:textId="1399610C" w:rsidR="007876BD" w:rsidRDefault="007876BD">
      <w:pPr>
        <w:spacing w:line="480" w:lineRule="auto"/>
        <w:rPr>
          <w:lang w:val="en-GB"/>
        </w:rPr>
      </w:pPr>
    </w:p>
    <w:p w14:paraId="248C7D04" w14:textId="0AF78FD8" w:rsidR="002F15F8" w:rsidRPr="00105869" w:rsidRDefault="002F15F8" w:rsidP="002F15F8">
      <w:pPr>
        <w:spacing w:line="480" w:lineRule="auto"/>
        <w:rPr>
          <w:lang w:val="en-GB"/>
        </w:rPr>
      </w:pPr>
      <w:bookmarkStart w:id="18" w:name="OLE_LINK29"/>
      <w:bookmarkStart w:id="19" w:name="OLE_LINK30"/>
      <w:r w:rsidRPr="000B4056">
        <w:rPr>
          <w:b/>
          <w:bCs/>
          <w:lang w:val="en-GB"/>
        </w:rPr>
        <w:t xml:space="preserve">TABLE </w:t>
      </w:r>
      <w:r>
        <w:rPr>
          <w:b/>
          <w:bCs/>
          <w:lang w:val="en-GB"/>
        </w:rPr>
        <w:t>4</w:t>
      </w:r>
      <w:r w:rsidRPr="002D62C1">
        <w:rPr>
          <w:b/>
          <w:bCs/>
          <w:lang w:val="en-GB"/>
        </w:rPr>
        <w:t>:</w:t>
      </w:r>
      <w:r w:rsidRPr="00105869">
        <w:rPr>
          <w:lang w:val="en-GB"/>
        </w:rPr>
        <w:t xml:space="preserve"> </w:t>
      </w:r>
      <w:r w:rsidR="00C03406">
        <w:rPr>
          <w:lang w:val="en-GB"/>
        </w:rPr>
        <w:t xml:space="preserve">Inter- and intra-observer agreement of combined parameters. </w:t>
      </w:r>
      <w:r w:rsidRPr="00105869">
        <w:rPr>
          <w:lang w:val="en-GB"/>
        </w:rPr>
        <w:t>Spearman correlation coefficient for agreement of the average of the sum of certain specific radiographic alterations. (P&lt;0.05). SP= Spinous process</w:t>
      </w:r>
      <w:r w:rsidRPr="00105869">
        <w:rPr>
          <w:rFonts w:ascii="Arial" w:hAnsi="Arial" w:cs="Arial"/>
          <w:color w:val="1C1D1E"/>
          <w:sz w:val="21"/>
          <w:szCs w:val="21"/>
          <w:shd w:val="clear" w:color="auto" w:fill="FFFFFF"/>
          <w:vertAlign w:val="superscript"/>
          <w:lang w:val="en-GB"/>
        </w:rPr>
        <w:t>†</w:t>
      </w:r>
      <w:r w:rsidRPr="00105869">
        <w:rPr>
          <w:lang w:val="en-GB"/>
        </w:rPr>
        <w:t xml:space="preserve">. Total </w:t>
      </w:r>
      <w:r w:rsidRPr="00105869">
        <w:rPr>
          <w:rFonts w:ascii="Times Roman" w:hAnsi="Times Roman" w:cs="Times Roman"/>
          <w:color w:val="000000" w:themeColor="text1"/>
          <w:lang w:val="en-GB"/>
        </w:rPr>
        <w:t xml:space="preserve">Dorsal = </w:t>
      </w:r>
      <w:proofErr w:type="spellStart"/>
      <w:r w:rsidRPr="00105869">
        <w:rPr>
          <w:lang w:val="en-GB"/>
        </w:rPr>
        <w:t>DoMod</w:t>
      </w:r>
      <w:proofErr w:type="spellEnd"/>
      <w:r w:rsidRPr="00105869">
        <w:rPr>
          <w:lang w:val="en-GB"/>
        </w:rPr>
        <w:t xml:space="preserve">, </w:t>
      </w:r>
      <w:proofErr w:type="spellStart"/>
      <w:r w:rsidRPr="00105869">
        <w:rPr>
          <w:lang w:val="en-GB"/>
        </w:rPr>
        <w:t>IsolDo</w:t>
      </w:r>
      <w:proofErr w:type="spellEnd"/>
      <w:r w:rsidRPr="00105869">
        <w:rPr>
          <w:lang w:val="en-GB"/>
        </w:rPr>
        <w:t xml:space="preserve"> and </w:t>
      </w:r>
      <w:proofErr w:type="spellStart"/>
      <w:r w:rsidRPr="00105869">
        <w:rPr>
          <w:lang w:val="en-GB"/>
        </w:rPr>
        <w:t>DoNose</w:t>
      </w:r>
      <w:proofErr w:type="spellEnd"/>
      <w:r w:rsidRPr="00105869">
        <w:rPr>
          <w:rFonts w:ascii="Times Roman" w:hAnsi="Times Roman" w:cs="Times Roman"/>
          <w:color w:val="000000" w:themeColor="text1"/>
          <w:lang w:val="en-GB"/>
        </w:rPr>
        <w:t xml:space="preserve">, Total </w:t>
      </w:r>
      <w:r w:rsidRPr="00105869">
        <w:rPr>
          <w:lang w:val="en-GB"/>
        </w:rPr>
        <w:t xml:space="preserve">Cranial/Caudal = </w:t>
      </w:r>
      <w:proofErr w:type="spellStart"/>
      <w:r w:rsidRPr="00105869">
        <w:rPr>
          <w:lang w:val="en-GB"/>
        </w:rPr>
        <w:t>CrDMod</w:t>
      </w:r>
      <w:proofErr w:type="spellEnd"/>
      <w:r w:rsidRPr="00105869">
        <w:rPr>
          <w:lang w:val="en-GB"/>
        </w:rPr>
        <w:t>/</w:t>
      </w:r>
      <w:proofErr w:type="spellStart"/>
      <w:r w:rsidRPr="00105869">
        <w:rPr>
          <w:lang w:val="en-GB"/>
        </w:rPr>
        <w:t>CaDMod</w:t>
      </w:r>
      <w:proofErr w:type="spellEnd"/>
      <w:r w:rsidRPr="00105869">
        <w:rPr>
          <w:lang w:val="en-GB"/>
        </w:rPr>
        <w:t xml:space="preserve">, </w:t>
      </w:r>
      <w:proofErr w:type="spellStart"/>
      <w:r w:rsidRPr="00105869">
        <w:rPr>
          <w:lang w:val="en-GB"/>
        </w:rPr>
        <w:t>CrVMod</w:t>
      </w:r>
      <w:proofErr w:type="spellEnd"/>
      <w:r w:rsidRPr="00105869">
        <w:rPr>
          <w:lang w:val="en-GB"/>
        </w:rPr>
        <w:t>/</w:t>
      </w:r>
      <w:proofErr w:type="spellStart"/>
      <w:r w:rsidRPr="00105869">
        <w:rPr>
          <w:lang w:val="en-GB"/>
        </w:rPr>
        <w:t>CaVMod</w:t>
      </w:r>
      <w:proofErr w:type="spellEnd"/>
      <w:r w:rsidRPr="00105869">
        <w:rPr>
          <w:lang w:val="en-GB"/>
        </w:rPr>
        <w:t xml:space="preserve">, </w:t>
      </w:r>
      <w:proofErr w:type="spellStart"/>
      <w:r w:rsidRPr="00105869">
        <w:rPr>
          <w:lang w:val="en-GB"/>
        </w:rPr>
        <w:t>InOpCr</w:t>
      </w:r>
      <w:proofErr w:type="spellEnd"/>
      <w:r w:rsidRPr="00105869">
        <w:rPr>
          <w:lang w:val="en-GB"/>
        </w:rPr>
        <w:t>/</w:t>
      </w:r>
      <w:proofErr w:type="spellStart"/>
      <w:r w:rsidRPr="00105869">
        <w:rPr>
          <w:lang w:val="en-GB"/>
        </w:rPr>
        <w:t>InOpCa</w:t>
      </w:r>
      <w:proofErr w:type="spellEnd"/>
      <w:r w:rsidRPr="00105869">
        <w:rPr>
          <w:lang w:val="en-GB"/>
        </w:rPr>
        <w:t xml:space="preserve"> and </w:t>
      </w:r>
      <w:proofErr w:type="spellStart"/>
      <w:r w:rsidRPr="00105869">
        <w:rPr>
          <w:lang w:val="en-GB"/>
        </w:rPr>
        <w:lastRenderedPageBreak/>
        <w:t>LucencyCr</w:t>
      </w:r>
      <w:proofErr w:type="spellEnd"/>
      <w:r w:rsidRPr="00105869">
        <w:rPr>
          <w:lang w:val="en-GB"/>
        </w:rPr>
        <w:t>/</w:t>
      </w:r>
      <w:proofErr w:type="spellStart"/>
      <w:r w:rsidRPr="00105869">
        <w:rPr>
          <w:lang w:val="en-GB"/>
        </w:rPr>
        <w:t>LucencyCa</w:t>
      </w:r>
      <w:proofErr w:type="spellEnd"/>
      <w:r w:rsidRPr="00105869">
        <w:rPr>
          <w:lang w:val="en-GB"/>
        </w:rPr>
        <w:t xml:space="preserve">, Total SP = </w:t>
      </w:r>
      <w:proofErr w:type="spellStart"/>
      <w:r w:rsidRPr="00105869">
        <w:rPr>
          <w:rFonts w:ascii="Times Roman" w:hAnsi="Times Roman" w:cs="Times Roman"/>
          <w:color w:val="000000" w:themeColor="text1"/>
          <w:lang w:val="en-GB"/>
        </w:rPr>
        <w:t>CrDMod</w:t>
      </w:r>
      <w:proofErr w:type="spellEnd"/>
      <w:r w:rsidRPr="00105869">
        <w:rPr>
          <w:rFonts w:ascii="Times Roman" w:hAnsi="Times Roman" w:cs="Times Roman"/>
          <w:color w:val="000000" w:themeColor="text1"/>
          <w:lang w:val="en-GB"/>
        </w:rPr>
        <w:t xml:space="preserve">, </w:t>
      </w:r>
      <w:proofErr w:type="spellStart"/>
      <w:r w:rsidRPr="00105869">
        <w:rPr>
          <w:rFonts w:ascii="Times Roman" w:hAnsi="Times Roman" w:cs="Times Roman"/>
          <w:color w:val="000000" w:themeColor="text1"/>
          <w:lang w:val="en-GB"/>
        </w:rPr>
        <w:t>CaDMod</w:t>
      </w:r>
      <w:proofErr w:type="spellEnd"/>
      <w:r w:rsidRPr="00105869">
        <w:rPr>
          <w:rFonts w:ascii="Times Roman" w:hAnsi="Times Roman" w:cs="Times Roman"/>
          <w:color w:val="000000" w:themeColor="text1"/>
          <w:lang w:val="en-GB"/>
        </w:rPr>
        <w:t xml:space="preserve">, </w:t>
      </w:r>
      <w:proofErr w:type="spellStart"/>
      <w:r w:rsidRPr="00105869">
        <w:rPr>
          <w:rFonts w:ascii="Times Roman" w:hAnsi="Times Roman" w:cs="Times Roman"/>
          <w:color w:val="000000" w:themeColor="text1"/>
          <w:lang w:val="en-GB"/>
        </w:rPr>
        <w:t>InOpCr</w:t>
      </w:r>
      <w:proofErr w:type="spellEnd"/>
      <w:r w:rsidRPr="00105869">
        <w:rPr>
          <w:rFonts w:ascii="Times Roman" w:hAnsi="Times Roman" w:cs="Times Roman"/>
          <w:color w:val="000000" w:themeColor="text1"/>
          <w:lang w:val="en-GB"/>
        </w:rPr>
        <w:t xml:space="preserve">, </w:t>
      </w:r>
      <w:proofErr w:type="spellStart"/>
      <w:r w:rsidRPr="00105869">
        <w:rPr>
          <w:rFonts w:ascii="Times Roman" w:hAnsi="Times Roman" w:cs="Times Roman"/>
          <w:color w:val="000000" w:themeColor="text1"/>
          <w:lang w:val="en-GB"/>
        </w:rPr>
        <w:t>InOpCa</w:t>
      </w:r>
      <w:proofErr w:type="spellEnd"/>
      <w:r w:rsidRPr="00105869">
        <w:rPr>
          <w:rFonts w:ascii="Times Roman" w:hAnsi="Times Roman" w:cs="Times Roman"/>
          <w:color w:val="000000" w:themeColor="text1"/>
          <w:lang w:val="en-GB"/>
        </w:rPr>
        <w:t xml:space="preserve">, </w:t>
      </w:r>
      <w:proofErr w:type="spellStart"/>
      <w:r w:rsidRPr="00105869">
        <w:rPr>
          <w:rFonts w:ascii="Times Roman" w:hAnsi="Times Roman" w:cs="Times Roman"/>
          <w:color w:val="000000" w:themeColor="text1"/>
          <w:lang w:val="en-GB"/>
        </w:rPr>
        <w:t>WidthOpCr</w:t>
      </w:r>
      <w:proofErr w:type="spellEnd"/>
      <w:r w:rsidRPr="00105869">
        <w:rPr>
          <w:rFonts w:ascii="Times Roman" w:hAnsi="Times Roman" w:cs="Times Roman"/>
          <w:color w:val="000000" w:themeColor="text1"/>
          <w:lang w:val="en-GB"/>
        </w:rPr>
        <w:t xml:space="preserve">, </w:t>
      </w:r>
      <w:proofErr w:type="spellStart"/>
      <w:r w:rsidRPr="00105869">
        <w:rPr>
          <w:rFonts w:ascii="Times Roman" w:hAnsi="Times Roman" w:cs="Times Roman"/>
          <w:color w:val="000000" w:themeColor="text1"/>
          <w:lang w:val="en-GB"/>
        </w:rPr>
        <w:t>WidthOpCa</w:t>
      </w:r>
      <w:proofErr w:type="spellEnd"/>
      <w:r w:rsidRPr="00105869">
        <w:rPr>
          <w:rFonts w:ascii="Times Roman" w:hAnsi="Times Roman" w:cs="Times Roman"/>
          <w:color w:val="000000" w:themeColor="text1"/>
          <w:lang w:val="en-GB"/>
        </w:rPr>
        <w:t xml:space="preserve">, </w:t>
      </w:r>
      <w:proofErr w:type="spellStart"/>
      <w:r w:rsidRPr="00105869">
        <w:rPr>
          <w:rFonts w:ascii="Times Roman" w:hAnsi="Times Roman" w:cs="Times Roman"/>
          <w:color w:val="000000" w:themeColor="text1"/>
          <w:lang w:val="en-GB"/>
        </w:rPr>
        <w:t>OCCLCr</w:t>
      </w:r>
      <w:proofErr w:type="spellEnd"/>
      <w:r w:rsidRPr="00105869">
        <w:rPr>
          <w:rFonts w:ascii="Times Roman" w:hAnsi="Times Roman" w:cs="Times Roman"/>
          <w:color w:val="000000" w:themeColor="text1"/>
          <w:lang w:val="en-GB"/>
        </w:rPr>
        <w:t xml:space="preserve">, </w:t>
      </w:r>
      <w:proofErr w:type="spellStart"/>
      <w:r w:rsidRPr="00105869">
        <w:rPr>
          <w:rFonts w:ascii="Times Roman" w:hAnsi="Times Roman" w:cs="Times Roman"/>
          <w:color w:val="000000" w:themeColor="text1"/>
          <w:lang w:val="en-GB"/>
        </w:rPr>
        <w:t>OCCLCa</w:t>
      </w:r>
      <w:proofErr w:type="spellEnd"/>
      <w:r w:rsidRPr="00105869">
        <w:rPr>
          <w:rFonts w:ascii="Times Roman" w:hAnsi="Times Roman" w:cs="Times Roman"/>
          <w:color w:val="000000" w:themeColor="text1"/>
          <w:lang w:val="en-GB"/>
        </w:rPr>
        <w:t xml:space="preserve"> (for definition of abbreviations see table 1). </w:t>
      </w:r>
    </w:p>
    <w:tbl>
      <w:tblPr>
        <w:tblW w:w="8820" w:type="dxa"/>
        <w:tblCellMar>
          <w:left w:w="70" w:type="dxa"/>
          <w:right w:w="70" w:type="dxa"/>
        </w:tblCellMar>
        <w:tblLook w:val="04A0" w:firstRow="1" w:lastRow="0" w:firstColumn="1" w:lastColumn="0" w:noHBand="0" w:noVBand="1"/>
      </w:tblPr>
      <w:tblGrid>
        <w:gridCol w:w="5420"/>
        <w:gridCol w:w="1700"/>
        <w:gridCol w:w="1700"/>
      </w:tblGrid>
      <w:tr w:rsidR="002F15F8" w:rsidRPr="00105869" w14:paraId="5246D008" w14:textId="77777777" w:rsidTr="00C6150D">
        <w:trPr>
          <w:trHeight w:val="340"/>
        </w:trPr>
        <w:tc>
          <w:tcPr>
            <w:tcW w:w="5420" w:type="dxa"/>
            <w:tcBorders>
              <w:top w:val="single" w:sz="8" w:space="0" w:color="auto"/>
              <w:left w:val="single" w:sz="8" w:space="0" w:color="auto"/>
              <w:bottom w:val="double" w:sz="6" w:space="0" w:color="auto"/>
              <w:right w:val="nil"/>
            </w:tcBorders>
            <w:shd w:val="clear" w:color="auto" w:fill="auto"/>
            <w:noWrap/>
            <w:vAlign w:val="bottom"/>
            <w:hideMark/>
          </w:tcPr>
          <w:bookmarkEnd w:id="18"/>
          <w:bookmarkEnd w:id="19"/>
          <w:p w14:paraId="3CA4D600" w14:textId="77777777" w:rsidR="002F15F8" w:rsidRPr="00105869" w:rsidRDefault="002F15F8" w:rsidP="00C6150D">
            <w:pPr>
              <w:rPr>
                <w:color w:val="000000"/>
                <w:lang w:val="en-GB"/>
              </w:rPr>
            </w:pPr>
            <w:r w:rsidRPr="00105869">
              <w:rPr>
                <w:color w:val="000000"/>
                <w:lang w:val="en-GB"/>
              </w:rPr>
              <w:t> </w:t>
            </w:r>
          </w:p>
        </w:tc>
        <w:tc>
          <w:tcPr>
            <w:tcW w:w="1700" w:type="dxa"/>
            <w:tcBorders>
              <w:top w:val="single" w:sz="8" w:space="0" w:color="auto"/>
              <w:left w:val="nil"/>
              <w:bottom w:val="double" w:sz="6" w:space="0" w:color="auto"/>
              <w:right w:val="nil"/>
            </w:tcBorders>
            <w:shd w:val="clear" w:color="auto" w:fill="auto"/>
            <w:noWrap/>
            <w:vAlign w:val="bottom"/>
            <w:hideMark/>
          </w:tcPr>
          <w:p w14:paraId="1AB285C9" w14:textId="77777777" w:rsidR="002F15F8" w:rsidRPr="00105869" w:rsidRDefault="002F15F8" w:rsidP="00C6150D">
            <w:pPr>
              <w:jc w:val="center"/>
              <w:rPr>
                <w:b/>
                <w:bCs/>
                <w:color w:val="000000"/>
                <w:lang w:val="en-GB"/>
              </w:rPr>
            </w:pPr>
            <w:r w:rsidRPr="00105869">
              <w:rPr>
                <w:b/>
                <w:bCs/>
                <w:color w:val="000000"/>
                <w:lang w:val="en-GB"/>
              </w:rPr>
              <w:t>Intra-Spearman</w:t>
            </w:r>
          </w:p>
        </w:tc>
        <w:tc>
          <w:tcPr>
            <w:tcW w:w="1700" w:type="dxa"/>
            <w:tcBorders>
              <w:top w:val="single" w:sz="8" w:space="0" w:color="auto"/>
              <w:left w:val="nil"/>
              <w:bottom w:val="double" w:sz="6" w:space="0" w:color="auto"/>
              <w:right w:val="single" w:sz="8" w:space="0" w:color="auto"/>
            </w:tcBorders>
            <w:shd w:val="clear" w:color="auto" w:fill="auto"/>
            <w:noWrap/>
            <w:vAlign w:val="bottom"/>
            <w:hideMark/>
          </w:tcPr>
          <w:p w14:paraId="4DC323F2" w14:textId="77777777" w:rsidR="002F15F8" w:rsidRPr="00105869" w:rsidRDefault="002F15F8" w:rsidP="00C6150D">
            <w:pPr>
              <w:jc w:val="center"/>
              <w:rPr>
                <w:b/>
                <w:bCs/>
                <w:color w:val="000000"/>
                <w:lang w:val="en-GB"/>
              </w:rPr>
            </w:pPr>
            <w:r w:rsidRPr="00105869">
              <w:rPr>
                <w:b/>
                <w:bCs/>
                <w:color w:val="000000"/>
                <w:lang w:val="en-GB"/>
              </w:rPr>
              <w:t>Inter-Spearman</w:t>
            </w:r>
          </w:p>
        </w:tc>
      </w:tr>
      <w:tr w:rsidR="002F15F8" w:rsidRPr="00105869" w14:paraId="3ACCB285" w14:textId="77777777" w:rsidTr="00C6150D">
        <w:trPr>
          <w:trHeight w:val="340"/>
        </w:trPr>
        <w:tc>
          <w:tcPr>
            <w:tcW w:w="5420" w:type="dxa"/>
            <w:tcBorders>
              <w:top w:val="nil"/>
              <w:left w:val="single" w:sz="8" w:space="0" w:color="auto"/>
              <w:bottom w:val="nil"/>
              <w:right w:val="nil"/>
            </w:tcBorders>
            <w:shd w:val="clear" w:color="auto" w:fill="auto"/>
            <w:noWrap/>
            <w:vAlign w:val="bottom"/>
            <w:hideMark/>
          </w:tcPr>
          <w:p w14:paraId="01A7A9F0" w14:textId="77777777" w:rsidR="002F15F8" w:rsidRPr="00105869" w:rsidRDefault="002F15F8" w:rsidP="00C6150D">
            <w:pPr>
              <w:rPr>
                <w:b/>
                <w:bCs/>
                <w:lang w:val="en-GB"/>
              </w:rPr>
            </w:pPr>
            <w:r w:rsidRPr="00105869">
              <w:rPr>
                <w:b/>
                <w:bCs/>
                <w:lang w:val="en-GB"/>
              </w:rPr>
              <w:t>Modelling Cranial SP</w:t>
            </w:r>
            <w:r w:rsidRPr="00105869">
              <w:rPr>
                <w:rFonts w:ascii="Arial" w:hAnsi="Arial" w:cs="Arial"/>
                <w:color w:val="1C1D1E"/>
                <w:sz w:val="21"/>
                <w:szCs w:val="21"/>
                <w:shd w:val="clear" w:color="auto" w:fill="FFFFFF"/>
                <w:vertAlign w:val="superscript"/>
                <w:lang w:val="en-GB"/>
              </w:rPr>
              <w:t>†</w:t>
            </w:r>
            <w:r w:rsidRPr="00105869">
              <w:rPr>
                <w:b/>
                <w:bCs/>
                <w:lang w:val="en-GB"/>
              </w:rPr>
              <w:t xml:space="preserve"> (dorsal &amp; ventral)</w:t>
            </w:r>
          </w:p>
        </w:tc>
        <w:tc>
          <w:tcPr>
            <w:tcW w:w="1700" w:type="dxa"/>
            <w:tcBorders>
              <w:top w:val="nil"/>
              <w:left w:val="nil"/>
              <w:bottom w:val="nil"/>
              <w:right w:val="nil"/>
            </w:tcBorders>
            <w:shd w:val="clear" w:color="auto" w:fill="auto"/>
            <w:noWrap/>
            <w:vAlign w:val="bottom"/>
            <w:hideMark/>
          </w:tcPr>
          <w:p w14:paraId="182F064D" w14:textId="77777777" w:rsidR="002F15F8" w:rsidRPr="00105869" w:rsidRDefault="002F15F8" w:rsidP="00C6150D">
            <w:pPr>
              <w:jc w:val="center"/>
              <w:rPr>
                <w:lang w:val="en-GB"/>
              </w:rPr>
            </w:pPr>
            <w:r w:rsidRPr="00105869">
              <w:rPr>
                <w:lang w:val="en-GB"/>
              </w:rPr>
              <w:t>0.603</w:t>
            </w:r>
          </w:p>
        </w:tc>
        <w:tc>
          <w:tcPr>
            <w:tcW w:w="1700" w:type="dxa"/>
            <w:tcBorders>
              <w:top w:val="nil"/>
              <w:left w:val="nil"/>
              <w:bottom w:val="nil"/>
              <w:right w:val="single" w:sz="8" w:space="0" w:color="auto"/>
            </w:tcBorders>
            <w:shd w:val="clear" w:color="auto" w:fill="auto"/>
            <w:noWrap/>
            <w:vAlign w:val="bottom"/>
            <w:hideMark/>
          </w:tcPr>
          <w:p w14:paraId="5F116E98" w14:textId="77777777" w:rsidR="002F15F8" w:rsidRPr="00105869" w:rsidRDefault="002F15F8" w:rsidP="00C6150D">
            <w:pPr>
              <w:jc w:val="center"/>
              <w:rPr>
                <w:lang w:val="en-GB"/>
              </w:rPr>
            </w:pPr>
            <w:r w:rsidRPr="00105869">
              <w:rPr>
                <w:lang w:val="en-GB"/>
              </w:rPr>
              <w:t>0.45</w:t>
            </w:r>
          </w:p>
        </w:tc>
      </w:tr>
      <w:tr w:rsidR="002F15F8" w:rsidRPr="00105869" w14:paraId="7F20D793" w14:textId="77777777" w:rsidTr="00C6150D">
        <w:trPr>
          <w:trHeight w:val="320"/>
        </w:trPr>
        <w:tc>
          <w:tcPr>
            <w:tcW w:w="5420" w:type="dxa"/>
            <w:tcBorders>
              <w:top w:val="nil"/>
              <w:left w:val="single" w:sz="8" w:space="0" w:color="auto"/>
              <w:bottom w:val="nil"/>
              <w:right w:val="nil"/>
            </w:tcBorders>
            <w:shd w:val="clear" w:color="auto" w:fill="auto"/>
            <w:noWrap/>
            <w:vAlign w:val="bottom"/>
            <w:hideMark/>
          </w:tcPr>
          <w:p w14:paraId="59E96CAF" w14:textId="77777777" w:rsidR="002F15F8" w:rsidRPr="00105869" w:rsidRDefault="002F15F8" w:rsidP="00C6150D">
            <w:pPr>
              <w:rPr>
                <w:b/>
                <w:bCs/>
                <w:lang w:val="en-GB"/>
              </w:rPr>
            </w:pPr>
            <w:r w:rsidRPr="00105869">
              <w:rPr>
                <w:b/>
                <w:bCs/>
                <w:lang w:val="en-GB"/>
              </w:rPr>
              <w:t>Modelling Caudal SP</w:t>
            </w:r>
            <w:r w:rsidRPr="00105869">
              <w:rPr>
                <w:rFonts w:ascii="Arial" w:hAnsi="Arial" w:cs="Arial"/>
                <w:color w:val="1C1D1E"/>
                <w:sz w:val="21"/>
                <w:szCs w:val="21"/>
                <w:shd w:val="clear" w:color="auto" w:fill="FFFFFF"/>
                <w:vertAlign w:val="superscript"/>
                <w:lang w:val="en-GB"/>
              </w:rPr>
              <w:t>†</w:t>
            </w:r>
            <w:r w:rsidRPr="00105869">
              <w:rPr>
                <w:b/>
                <w:bCs/>
                <w:lang w:val="en-GB"/>
              </w:rPr>
              <w:t xml:space="preserve"> (dorsal &amp; ventral)</w:t>
            </w:r>
          </w:p>
        </w:tc>
        <w:tc>
          <w:tcPr>
            <w:tcW w:w="1700" w:type="dxa"/>
            <w:tcBorders>
              <w:top w:val="nil"/>
              <w:left w:val="nil"/>
              <w:bottom w:val="nil"/>
              <w:right w:val="nil"/>
            </w:tcBorders>
            <w:shd w:val="clear" w:color="auto" w:fill="auto"/>
            <w:noWrap/>
            <w:vAlign w:val="bottom"/>
            <w:hideMark/>
          </w:tcPr>
          <w:p w14:paraId="6AFB63A4" w14:textId="77777777" w:rsidR="002F15F8" w:rsidRPr="00105869" w:rsidRDefault="002F15F8" w:rsidP="00C6150D">
            <w:pPr>
              <w:jc w:val="center"/>
              <w:rPr>
                <w:lang w:val="en-GB"/>
              </w:rPr>
            </w:pPr>
            <w:r w:rsidRPr="00105869">
              <w:rPr>
                <w:lang w:val="en-GB"/>
              </w:rPr>
              <w:t>0.562</w:t>
            </w:r>
          </w:p>
        </w:tc>
        <w:tc>
          <w:tcPr>
            <w:tcW w:w="1700" w:type="dxa"/>
            <w:tcBorders>
              <w:top w:val="nil"/>
              <w:left w:val="nil"/>
              <w:bottom w:val="nil"/>
              <w:right w:val="single" w:sz="8" w:space="0" w:color="auto"/>
            </w:tcBorders>
            <w:shd w:val="clear" w:color="auto" w:fill="auto"/>
            <w:noWrap/>
            <w:vAlign w:val="bottom"/>
            <w:hideMark/>
          </w:tcPr>
          <w:p w14:paraId="492A8443" w14:textId="77777777" w:rsidR="002F15F8" w:rsidRPr="00105869" w:rsidRDefault="002F15F8" w:rsidP="00C6150D">
            <w:pPr>
              <w:jc w:val="center"/>
              <w:rPr>
                <w:lang w:val="en-GB"/>
              </w:rPr>
            </w:pPr>
            <w:r w:rsidRPr="00105869">
              <w:rPr>
                <w:lang w:val="en-GB"/>
              </w:rPr>
              <w:t>0.274</w:t>
            </w:r>
          </w:p>
        </w:tc>
      </w:tr>
      <w:tr w:rsidR="002F15F8" w:rsidRPr="00105869" w14:paraId="35656715" w14:textId="77777777" w:rsidTr="00C6150D">
        <w:trPr>
          <w:trHeight w:val="320"/>
        </w:trPr>
        <w:tc>
          <w:tcPr>
            <w:tcW w:w="5420" w:type="dxa"/>
            <w:tcBorders>
              <w:top w:val="nil"/>
              <w:left w:val="single" w:sz="8" w:space="0" w:color="auto"/>
              <w:bottom w:val="nil"/>
              <w:right w:val="nil"/>
            </w:tcBorders>
            <w:shd w:val="clear" w:color="auto" w:fill="auto"/>
            <w:noWrap/>
            <w:vAlign w:val="bottom"/>
            <w:hideMark/>
          </w:tcPr>
          <w:p w14:paraId="29FB2F6B" w14:textId="77777777" w:rsidR="002F15F8" w:rsidRPr="00105869" w:rsidRDefault="002F15F8" w:rsidP="00C6150D">
            <w:pPr>
              <w:rPr>
                <w:b/>
                <w:bCs/>
                <w:lang w:val="en-GB"/>
              </w:rPr>
            </w:pPr>
            <w:r w:rsidRPr="00105869">
              <w:rPr>
                <w:b/>
                <w:bCs/>
                <w:lang w:val="en-GB"/>
              </w:rPr>
              <w:t>Modelling Total SP</w:t>
            </w:r>
            <w:r w:rsidRPr="00105869">
              <w:rPr>
                <w:rFonts w:ascii="Arial" w:hAnsi="Arial" w:cs="Arial"/>
                <w:color w:val="1C1D1E"/>
                <w:sz w:val="21"/>
                <w:szCs w:val="21"/>
                <w:shd w:val="clear" w:color="auto" w:fill="FFFFFF"/>
                <w:vertAlign w:val="superscript"/>
                <w:lang w:val="en-GB"/>
              </w:rPr>
              <w:t>†</w:t>
            </w:r>
            <w:r w:rsidRPr="00105869">
              <w:rPr>
                <w:b/>
                <w:bCs/>
                <w:lang w:val="en-GB"/>
              </w:rPr>
              <w:t xml:space="preserve"> (cranial and caudal)</w:t>
            </w:r>
          </w:p>
        </w:tc>
        <w:tc>
          <w:tcPr>
            <w:tcW w:w="1700" w:type="dxa"/>
            <w:tcBorders>
              <w:top w:val="nil"/>
              <w:left w:val="nil"/>
              <w:bottom w:val="nil"/>
              <w:right w:val="nil"/>
            </w:tcBorders>
            <w:shd w:val="clear" w:color="auto" w:fill="auto"/>
            <w:noWrap/>
            <w:vAlign w:val="bottom"/>
            <w:hideMark/>
          </w:tcPr>
          <w:p w14:paraId="2456F005" w14:textId="77777777" w:rsidR="002F15F8" w:rsidRPr="00105869" w:rsidRDefault="002F15F8" w:rsidP="00C6150D">
            <w:pPr>
              <w:jc w:val="center"/>
              <w:rPr>
                <w:lang w:val="en-GB"/>
              </w:rPr>
            </w:pPr>
            <w:r w:rsidRPr="00105869">
              <w:rPr>
                <w:lang w:val="en-GB"/>
              </w:rPr>
              <w:t>0.631</w:t>
            </w:r>
          </w:p>
        </w:tc>
        <w:tc>
          <w:tcPr>
            <w:tcW w:w="1700" w:type="dxa"/>
            <w:tcBorders>
              <w:top w:val="nil"/>
              <w:left w:val="nil"/>
              <w:bottom w:val="nil"/>
              <w:right w:val="single" w:sz="8" w:space="0" w:color="auto"/>
            </w:tcBorders>
            <w:shd w:val="clear" w:color="auto" w:fill="auto"/>
            <w:noWrap/>
            <w:vAlign w:val="bottom"/>
            <w:hideMark/>
          </w:tcPr>
          <w:p w14:paraId="3642A29E" w14:textId="77777777" w:rsidR="002F15F8" w:rsidRPr="00105869" w:rsidRDefault="002F15F8" w:rsidP="00C6150D">
            <w:pPr>
              <w:jc w:val="center"/>
              <w:rPr>
                <w:lang w:val="en-GB"/>
              </w:rPr>
            </w:pPr>
            <w:r w:rsidRPr="00105869">
              <w:rPr>
                <w:lang w:val="en-GB"/>
              </w:rPr>
              <w:t>0.367</w:t>
            </w:r>
          </w:p>
        </w:tc>
      </w:tr>
      <w:tr w:rsidR="002F15F8" w:rsidRPr="00105869" w14:paraId="0559DB6F" w14:textId="77777777" w:rsidTr="00C6150D">
        <w:trPr>
          <w:trHeight w:val="320"/>
        </w:trPr>
        <w:tc>
          <w:tcPr>
            <w:tcW w:w="5420" w:type="dxa"/>
            <w:tcBorders>
              <w:top w:val="nil"/>
              <w:left w:val="single" w:sz="8" w:space="0" w:color="auto"/>
              <w:bottom w:val="nil"/>
              <w:right w:val="nil"/>
            </w:tcBorders>
            <w:shd w:val="clear" w:color="auto" w:fill="auto"/>
            <w:noWrap/>
            <w:vAlign w:val="bottom"/>
            <w:hideMark/>
          </w:tcPr>
          <w:p w14:paraId="0E3068BF" w14:textId="77777777" w:rsidR="002F15F8" w:rsidRPr="00105869" w:rsidRDefault="002F15F8" w:rsidP="00C6150D">
            <w:pPr>
              <w:rPr>
                <w:b/>
                <w:bCs/>
                <w:lang w:val="en-GB"/>
              </w:rPr>
            </w:pPr>
            <w:r w:rsidRPr="00105869">
              <w:rPr>
                <w:b/>
                <w:bCs/>
                <w:lang w:val="en-GB"/>
              </w:rPr>
              <w:t>Modelling Total SP</w:t>
            </w:r>
            <w:r w:rsidRPr="00105869">
              <w:rPr>
                <w:rFonts w:ascii="Arial" w:hAnsi="Arial" w:cs="Arial"/>
                <w:color w:val="1C1D1E"/>
                <w:sz w:val="21"/>
                <w:szCs w:val="21"/>
                <w:shd w:val="clear" w:color="auto" w:fill="FFFFFF"/>
                <w:vertAlign w:val="superscript"/>
                <w:lang w:val="en-GB"/>
              </w:rPr>
              <w:t>†</w:t>
            </w:r>
            <w:r w:rsidRPr="00105869">
              <w:rPr>
                <w:b/>
                <w:bCs/>
                <w:lang w:val="en-GB"/>
              </w:rPr>
              <w:t xml:space="preserve"> incl. Dorsal</w:t>
            </w:r>
          </w:p>
        </w:tc>
        <w:tc>
          <w:tcPr>
            <w:tcW w:w="1700" w:type="dxa"/>
            <w:tcBorders>
              <w:top w:val="nil"/>
              <w:left w:val="nil"/>
              <w:bottom w:val="nil"/>
              <w:right w:val="nil"/>
            </w:tcBorders>
            <w:shd w:val="clear" w:color="auto" w:fill="auto"/>
            <w:noWrap/>
            <w:vAlign w:val="bottom"/>
            <w:hideMark/>
          </w:tcPr>
          <w:p w14:paraId="722F323D" w14:textId="77777777" w:rsidR="002F15F8" w:rsidRPr="00105869" w:rsidRDefault="002F15F8" w:rsidP="00C6150D">
            <w:pPr>
              <w:jc w:val="center"/>
              <w:rPr>
                <w:lang w:val="en-GB"/>
              </w:rPr>
            </w:pPr>
            <w:r w:rsidRPr="00105869">
              <w:rPr>
                <w:lang w:val="en-GB"/>
              </w:rPr>
              <w:t>0.606</w:t>
            </w:r>
          </w:p>
        </w:tc>
        <w:tc>
          <w:tcPr>
            <w:tcW w:w="1700" w:type="dxa"/>
            <w:tcBorders>
              <w:top w:val="nil"/>
              <w:left w:val="nil"/>
              <w:bottom w:val="nil"/>
              <w:right w:val="single" w:sz="8" w:space="0" w:color="auto"/>
            </w:tcBorders>
            <w:shd w:val="clear" w:color="auto" w:fill="auto"/>
            <w:noWrap/>
            <w:vAlign w:val="bottom"/>
            <w:hideMark/>
          </w:tcPr>
          <w:p w14:paraId="17A7399C" w14:textId="77777777" w:rsidR="002F15F8" w:rsidRPr="00105869" w:rsidRDefault="002F15F8" w:rsidP="00C6150D">
            <w:pPr>
              <w:jc w:val="center"/>
              <w:rPr>
                <w:lang w:val="en-GB"/>
              </w:rPr>
            </w:pPr>
            <w:r w:rsidRPr="00105869">
              <w:rPr>
                <w:lang w:val="en-GB"/>
              </w:rPr>
              <w:t>0.285</w:t>
            </w:r>
          </w:p>
        </w:tc>
      </w:tr>
      <w:tr w:rsidR="002F15F8" w:rsidRPr="00105869" w14:paraId="379D16C2" w14:textId="77777777" w:rsidTr="00C6150D">
        <w:trPr>
          <w:trHeight w:val="320"/>
        </w:trPr>
        <w:tc>
          <w:tcPr>
            <w:tcW w:w="5420" w:type="dxa"/>
            <w:tcBorders>
              <w:top w:val="nil"/>
              <w:left w:val="single" w:sz="8" w:space="0" w:color="auto"/>
              <w:bottom w:val="nil"/>
              <w:right w:val="nil"/>
            </w:tcBorders>
            <w:shd w:val="clear" w:color="auto" w:fill="auto"/>
            <w:noWrap/>
            <w:vAlign w:val="bottom"/>
            <w:hideMark/>
          </w:tcPr>
          <w:p w14:paraId="6343E8EB" w14:textId="77777777" w:rsidR="002F15F8" w:rsidRPr="00105869" w:rsidRDefault="002F15F8" w:rsidP="00C6150D">
            <w:pPr>
              <w:rPr>
                <w:color w:val="000000"/>
                <w:lang w:val="en-GB"/>
              </w:rPr>
            </w:pPr>
            <w:r w:rsidRPr="00105869">
              <w:rPr>
                <w:color w:val="000000"/>
                <w:lang w:val="en-GB"/>
              </w:rPr>
              <w:t> </w:t>
            </w:r>
          </w:p>
        </w:tc>
        <w:tc>
          <w:tcPr>
            <w:tcW w:w="1700" w:type="dxa"/>
            <w:tcBorders>
              <w:top w:val="nil"/>
              <w:left w:val="nil"/>
              <w:bottom w:val="nil"/>
              <w:right w:val="nil"/>
            </w:tcBorders>
            <w:shd w:val="clear" w:color="auto" w:fill="auto"/>
            <w:noWrap/>
            <w:vAlign w:val="bottom"/>
            <w:hideMark/>
          </w:tcPr>
          <w:p w14:paraId="3F4B7708" w14:textId="77777777" w:rsidR="002F15F8" w:rsidRPr="00105869" w:rsidRDefault="002F15F8" w:rsidP="00C6150D">
            <w:pPr>
              <w:rPr>
                <w:color w:val="000000"/>
                <w:lang w:val="en-GB"/>
              </w:rPr>
            </w:pPr>
          </w:p>
        </w:tc>
        <w:tc>
          <w:tcPr>
            <w:tcW w:w="1700" w:type="dxa"/>
            <w:tcBorders>
              <w:top w:val="nil"/>
              <w:left w:val="nil"/>
              <w:bottom w:val="nil"/>
              <w:right w:val="single" w:sz="8" w:space="0" w:color="auto"/>
            </w:tcBorders>
            <w:shd w:val="clear" w:color="auto" w:fill="auto"/>
            <w:noWrap/>
            <w:vAlign w:val="bottom"/>
            <w:hideMark/>
          </w:tcPr>
          <w:p w14:paraId="4D224AD1" w14:textId="77777777" w:rsidR="002F15F8" w:rsidRPr="00105869" w:rsidRDefault="002F15F8" w:rsidP="00C6150D">
            <w:pPr>
              <w:jc w:val="center"/>
              <w:rPr>
                <w:color w:val="000000"/>
                <w:lang w:val="en-GB"/>
              </w:rPr>
            </w:pPr>
            <w:r w:rsidRPr="00105869">
              <w:rPr>
                <w:color w:val="000000"/>
                <w:lang w:val="en-GB"/>
              </w:rPr>
              <w:t> </w:t>
            </w:r>
          </w:p>
        </w:tc>
      </w:tr>
      <w:tr w:rsidR="002F15F8" w:rsidRPr="00105869" w14:paraId="4DFB5BFE" w14:textId="77777777" w:rsidTr="00C6150D">
        <w:trPr>
          <w:trHeight w:val="320"/>
        </w:trPr>
        <w:tc>
          <w:tcPr>
            <w:tcW w:w="5420" w:type="dxa"/>
            <w:tcBorders>
              <w:top w:val="nil"/>
              <w:left w:val="single" w:sz="8" w:space="0" w:color="auto"/>
              <w:bottom w:val="nil"/>
              <w:right w:val="nil"/>
            </w:tcBorders>
            <w:shd w:val="clear" w:color="auto" w:fill="auto"/>
            <w:noWrap/>
            <w:vAlign w:val="bottom"/>
            <w:hideMark/>
          </w:tcPr>
          <w:p w14:paraId="207EDA5C" w14:textId="77777777" w:rsidR="002F15F8" w:rsidRPr="00105869" w:rsidRDefault="002F15F8" w:rsidP="00C6150D">
            <w:pPr>
              <w:rPr>
                <w:b/>
                <w:bCs/>
                <w:lang w:val="en-GB"/>
              </w:rPr>
            </w:pPr>
            <w:r w:rsidRPr="00105869">
              <w:rPr>
                <w:b/>
                <w:bCs/>
                <w:lang w:val="en-GB"/>
              </w:rPr>
              <w:t>Radiopacity Cranial SP</w:t>
            </w:r>
            <w:r w:rsidRPr="00105869">
              <w:rPr>
                <w:rFonts w:ascii="Arial" w:hAnsi="Arial" w:cs="Arial"/>
                <w:color w:val="1C1D1E"/>
                <w:sz w:val="21"/>
                <w:szCs w:val="21"/>
                <w:shd w:val="clear" w:color="auto" w:fill="FFFFFF"/>
                <w:vertAlign w:val="superscript"/>
                <w:lang w:val="en-GB"/>
              </w:rPr>
              <w:t>†</w:t>
            </w:r>
            <w:r w:rsidRPr="00105869">
              <w:rPr>
                <w:b/>
                <w:bCs/>
                <w:lang w:val="en-GB"/>
              </w:rPr>
              <w:t xml:space="preserve"> (intensity and width)</w:t>
            </w:r>
          </w:p>
        </w:tc>
        <w:tc>
          <w:tcPr>
            <w:tcW w:w="1700" w:type="dxa"/>
            <w:tcBorders>
              <w:top w:val="nil"/>
              <w:left w:val="nil"/>
              <w:bottom w:val="nil"/>
              <w:right w:val="nil"/>
            </w:tcBorders>
            <w:shd w:val="clear" w:color="auto" w:fill="auto"/>
            <w:noWrap/>
            <w:vAlign w:val="bottom"/>
            <w:hideMark/>
          </w:tcPr>
          <w:p w14:paraId="3D8BB2A5" w14:textId="77777777" w:rsidR="002F15F8" w:rsidRPr="00105869" w:rsidRDefault="002F15F8" w:rsidP="00C6150D">
            <w:pPr>
              <w:jc w:val="center"/>
              <w:rPr>
                <w:lang w:val="en-GB"/>
              </w:rPr>
            </w:pPr>
            <w:r w:rsidRPr="00105869">
              <w:rPr>
                <w:lang w:val="en-GB"/>
              </w:rPr>
              <w:t>0.518</w:t>
            </w:r>
          </w:p>
        </w:tc>
        <w:tc>
          <w:tcPr>
            <w:tcW w:w="1700" w:type="dxa"/>
            <w:tcBorders>
              <w:top w:val="nil"/>
              <w:left w:val="nil"/>
              <w:bottom w:val="nil"/>
              <w:right w:val="single" w:sz="8" w:space="0" w:color="auto"/>
            </w:tcBorders>
            <w:shd w:val="clear" w:color="auto" w:fill="auto"/>
            <w:noWrap/>
            <w:vAlign w:val="bottom"/>
            <w:hideMark/>
          </w:tcPr>
          <w:p w14:paraId="335138C3" w14:textId="77777777" w:rsidR="002F15F8" w:rsidRPr="00105869" w:rsidRDefault="002F15F8" w:rsidP="00C6150D">
            <w:pPr>
              <w:jc w:val="center"/>
              <w:rPr>
                <w:lang w:val="en-GB"/>
              </w:rPr>
            </w:pPr>
            <w:r w:rsidRPr="00105869">
              <w:rPr>
                <w:lang w:val="en-GB"/>
              </w:rPr>
              <w:t>0.309</w:t>
            </w:r>
          </w:p>
        </w:tc>
      </w:tr>
      <w:tr w:rsidR="002F15F8" w:rsidRPr="00105869" w14:paraId="5C1D846E" w14:textId="77777777" w:rsidTr="00C6150D">
        <w:trPr>
          <w:trHeight w:val="320"/>
        </w:trPr>
        <w:tc>
          <w:tcPr>
            <w:tcW w:w="5420" w:type="dxa"/>
            <w:tcBorders>
              <w:top w:val="nil"/>
              <w:left w:val="single" w:sz="8" w:space="0" w:color="auto"/>
              <w:bottom w:val="nil"/>
              <w:right w:val="nil"/>
            </w:tcBorders>
            <w:shd w:val="clear" w:color="auto" w:fill="auto"/>
            <w:noWrap/>
            <w:vAlign w:val="bottom"/>
            <w:hideMark/>
          </w:tcPr>
          <w:p w14:paraId="3F05003B" w14:textId="77777777" w:rsidR="002F15F8" w:rsidRPr="00105869" w:rsidRDefault="002F15F8" w:rsidP="00C6150D">
            <w:pPr>
              <w:rPr>
                <w:b/>
                <w:bCs/>
                <w:lang w:val="en-GB"/>
              </w:rPr>
            </w:pPr>
            <w:r w:rsidRPr="00105869">
              <w:rPr>
                <w:b/>
                <w:bCs/>
                <w:lang w:val="en-GB"/>
              </w:rPr>
              <w:t>Radiopacity Caudal SP</w:t>
            </w:r>
            <w:r w:rsidRPr="00105869">
              <w:rPr>
                <w:rFonts w:ascii="Arial" w:hAnsi="Arial" w:cs="Arial"/>
                <w:color w:val="1C1D1E"/>
                <w:sz w:val="21"/>
                <w:szCs w:val="21"/>
                <w:shd w:val="clear" w:color="auto" w:fill="FFFFFF"/>
                <w:vertAlign w:val="superscript"/>
                <w:lang w:val="en-GB"/>
              </w:rPr>
              <w:t>†</w:t>
            </w:r>
            <w:r w:rsidRPr="00105869">
              <w:rPr>
                <w:b/>
                <w:bCs/>
                <w:lang w:val="en-GB"/>
              </w:rPr>
              <w:t xml:space="preserve"> (intensity and width)</w:t>
            </w:r>
          </w:p>
        </w:tc>
        <w:tc>
          <w:tcPr>
            <w:tcW w:w="1700" w:type="dxa"/>
            <w:tcBorders>
              <w:top w:val="nil"/>
              <w:left w:val="nil"/>
              <w:bottom w:val="nil"/>
              <w:right w:val="nil"/>
            </w:tcBorders>
            <w:shd w:val="clear" w:color="auto" w:fill="auto"/>
            <w:noWrap/>
            <w:vAlign w:val="bottom"/>
            <w:hideMark/>
          </w:tcPr>
          <w:p w14:paraId="3DE6B2EC" w14:textId="77777777" w:rsidR="002F15F8" w:rsidRPr="00105869" w:rsidRDefault="002F15F8" w:rsidP="00C6150D">
            <w:pPr>
              <w:jc w:val="center"/>
              <w:rPr>
                <w:lang w:val="en-GB"/>
              </w:rPr>
            </w:pPr>
            <w:r w:rsidRPr="00105869">
              <w:rPr>
                <w:lang w:val="en-GB"/>
              </w:rPr>
              <w:t>0.514</w:t>
            </w:r>
          </w:p>
        </w:tc>
        <w:tc>
          <w:tcPr>
            <w:tcW w:w="1700" w:type="dxa"/>
            <w:tcBorders>
              <w:top w:val="nil"/>
              <w:left w:val="nil"/>
              <w:bottom w:val="nil"/>
              <w:right w:val="single" w:sz="8" w:space="0" w:color="auto"/>
            </w:tcBorders>
            <w:shd w:val="clear" w:color="auto" w:fill="auto"/>
            <w:noWrap/>
            <w:vAlign w:val="bottom"/>
            <w:hideMark/>
          </w:tcPr>
          <w:p w14:paraId="566AD941" w14:textId="77777777" w:rsidR="002F15F8" w:rsidRPr="00105869" w:rsidRDefault="002F15F8" w:rsidP="00C6150D">
            <w:pPr>
              <w:jc w:val="center"/>
              <w:rPr>
                <w:lang w:val="en-GB"/>
              </w:rPr>
            </w:pPr>
            <w:r w:rsidRPr="00105869">
              <w:rPr>
                <w:lang w:val="en-GB"/>
              </w:rPr>
              <w:t>0.38</w:t>
            </w:r>
          </w:p>
        </w:tc>
      </w:tr>
      <w:tr w:rsidR="002F15F8" w:rsidRPr="00105869" w14:paraId="1C8C9B5A" w14:textId="77777777" w:rsidTr="00C6150D">
        <w:trPr>
          <w:trHeight w:val="320"/>
        </w:trPr>
        <w:tc>
          <w:tcPr>
            <w:tcW w:w="5420" w:type="dxa"/>
            <w:tcBorders>
              <w:top w:val="nil"/>
              <w:left w:val="single" w:sz="8" w:space="0" w:color="auto"/>
              <w:bottom w:val="nil"/>
              <w:right w:val="nil"/>
            </w:tcBorders>
            <w:shd w:val="clear" w:color="auto" w:fill="auto"/>
            <w:noWrap/>
            <w:vAlign w:val="bottom"/>
            <w:hideMark/>
          </w:tcPr>
          <w:p w14:paraId="736E466D" w14:textId="77777777" w:rsidR="002F15F8" w:rsidRPr="00105869" w:rsidRDefault="002F15F8" w:rsidP="00C6150D">
            <w:pPr>
              <w:rPr>
                <w:b/>
                <w:bCs/>
                <w:lang w:val="en-GB"/>
              </w:rPr>
            </w:pPr>
            <w:r w:rsidRPr="00105869">
              <w:rPr>
                <w:b/>
                <w:bCs/>
                <w:lang w:val="en-GB"/>
              </w:rPr>
              <w:t>Radiopacity Total SP</w:t>
            </w:r>
            <w:r w:rsidRPr="00105869">
              <w:rPr>
                <w:rFonts w:ascii="Arial" w:hAnsi="Arial" w:cs="Arial"/>
                <w:color w:val="1C1D1E"/>
                <w:sz w:val="21"/>
                <w:szCs w:val="21"/>
                <w:shd w:val="clear" w:color="auto" w:fill="FFFFFF"/>
                <w:vertAlign w:val="superscript"/>
                <w:lang w:val="en-GB"/>
              </w:rPr>
              <w:t>†</w:t>
            </w:r>
            <w:r w:rsidRPr="00105869">
              <w:rPr>
                <w:b/>
                <w:bCs/>
                <w:lang w:val="en-GB"/>
              </w:rPr>
              <w:t xml:space="preserve"> (cranial &amp; caudal)</w:t>
            </w:r>
          </w:p>
        </w:tc>
        <w:tc>
          <w:tcPr>
            <w:tcW w:w="1700" w:type="dxa"/>
            <w:tcBorders>
              <w:top w:val="nil"/>
              <w:left w:val="nil"/>
              <w:bottom w:val="nil"/>
              <w:right w:val="nil"/>
            </w:tcBorders>
            <w:shd w:val="clear" w:color="auto" w:fill="auto"/>
            <w:noWrap/>
            <w:vAlign w:val="bottom"/>
            <w:hideMark/>
          </w:tcPr>
          <w:p w14:paraId="6890B4F6" w14:textId="77777777" w:rsidR="002F15F8" w:rsidRPr="00105869" w:rsidRDefault="002F15F8" w:rsidP="00C6150D">
            <w:pPr>
              <w:jc w:val="center"/>
              <w:rPr>
                <w:lang w:val="en-GB"/>
              </w:rPr>
            </w:pPr>
            <w:r w:rsidRPr="00105869">
              <w:rPr>
                <w:lang w:val="en-GB"/>
              </w:rPr>
              <w:t>0.544</w:t>
            </w:r>
          </w:p>
        </w:tc>
        <w:tc>
          <w:tcPr>
            <w:tcW w:w="1700" w:type="dxa"/>
            <w:tcBorders>
              <w:top w:val="nil"/>
              <w:left w:val="nil"/>
              <w:bottom w:val="nil"/>
              <w:right w:val="single" w:sz="8" w:space="0" w:color="auto"/>
            </w:tcBorders>
            <w:shd w:val="clear" w:color="auto" w:fill="auto"/>
            <w:noWrap/>
            <w:vAlign w:val="bottom"/>
            <w:hideMark/>
          </w:tcPr>
          <w:p w14:paraId="127B3AD4" w14:textId="77777777" w:rsidR="002F15F8" w:rsidRPr="00105869" w:rsidRDefault="002F15F8" w:rsidP="00C6150D">
            <w:pPr>
              <w:jc w:val="center"/>
              <w:rPr>
                <w:lang w:val="en-GB"/>
              </w:rPr>
            </w:pPr>
            <w:r w:rsidRPr="00105869">
              <w:rPr>
                <w:lang w:val="en-GB"/>
              </w:rPr>
              <w:t>0.35</w:t>
            </w:r>
          </w:p>
        </w:tc>
      </w:tr>
      <w:tr w:rsidR="002F15F8" w:rsidRPr="00105869" w14:paraId="2CE75B97" w14:textId="77777777" w:rsidTr="00C6150D">
        <w:trPr>
          <w:trHeight w:val="320"/>
        </w:trPr>
        <w:tc>
          <w:tcPr>
            <w:tcW w:w="5420" w:type="dxa"/>
            <w:tcBorders>
              <w:top w:val="nil"/>
              <w:left w:val="single" w:sz="8" w:space="0" w:color="auto"/>
              <w:bottom w:val="nil"/>
              <w:right w:val="nil"/>
            </w:tcBorders>
            <w:shd w:val="clear" w:color="auto" w:fill="auto"/>
            <w:noWrap/>
            <w:vAlign w:val="bottom"/>
            <w:hideMark/>
          </w:tcPr>
          <w:p w14:paraId="59309859" w14:textId="77777777" w:rsidR="002F15F8" w:rsidRPr="00105869" w:rsidRDefault="002F15F8" w:rsidP="00C6150D">
            <w:pPr>
              <w:rPr>
                <w:b/>
                <w:bCs/>
                <w:lang w:val="en-GB"/>
              </w:rPr>
            </w:pPr>
            <w:r w:rsidRPr="00105869">
              <w:rPr>
                <w:b/>
                <w:bCs/>
                <w:lang w:val="en-GB"/>
              </w:rPr>
              <w:t> </w:t>
            </w:r>
          </w:p>
        </w:tc>
        <w:tc>
          <w:tcPr>
            <w:tcW w:w="1700" w:type="dxa"/>
            <w:tcBorders>
              <w:top w:val="nil"/>
              <w:left w:val="nil"/>
              <w:bottom w:val="nil"/>
              <w:right w:val="nil"/>
            </w:tcBorders>
            <w:shd w:val="clear" w:color="auto" w:fill="auto"/>
            <w:noWrap/>
            <w:vAlign w:val="bottom"/>
            <w:hideMark/>
          </w:tcPr>
          <w:p w14:paraId="38516134" w14:textId="77777777" w:rsidR="002F15F8" w:rsidRPr="00105869" w:rsidRDefault="002F15F8" w:rsidP="00C6150D">
            <w:pPr>
              <w:rPr>
                <w:b/>
                <w:bCs/>
                <w:lang w:val="en-GB"/>
              </w:rPr>
            </w:pPr>
          </w:p>
        </w:tc>
        <w:tc>
          <w:tcPr>
            <w:tcW w:w="1700" w:type="dxa"/>
            <w:tcBorders>
              <w:top w:val="nil"/>
              <w:left w:val="nil"/>
              <w:bottom w:val="nil"/>
              <w:right w:val="single" w:sz="8" w:space="0" w:color="auto"/>
            </w:tcBorders>
            <w:shd w:val="clear" w:color="auto" w:fill="auto"/>
            <w:noWrap/>
            <w:vAlign w:val="bottom"/>
            <w:hideMark/>
          </w:tcPr>
          <w:p w14:paraId="250ADDAF" w14:textId="77777777" w:rsidR="002F15F8" w:rsidRPr="00105869" w:rsidRDefault="002F15F8" w:rsidP="00C6150D">
            <w:pPr>
              <w:jc w:val="center"/>
              <w:rPr>
                <w:lang w:val="en-GB"/>
              </w:rPr>
            </w:pPr>
            <w:r w:rsidRPr="00105869">
              <w:rPr>
                <w:lang w:val="en-GB"/>
              </w:rPr>
              <w:t> </w:t>
            </w:r>
          </w:p>
        </w:tc>
      </w:tr>
      <w:tr w:rsidR="002F15F8" w:rsidRPr="00105869" w14:paraId="48BC262D" w14:textId="77777777" w:rsidTr="00C6150D">
        <w:trPr>
          <w:trHeight w:val="320"/>
        </w:trPr>
        <w:tc>
          <w:tcPr>
            <w:tcW w:w="5420" w:type="dxa"/>
            <w:tcBorders>
              <w:top w:val="nil"/>
              <w:left w:val="single" w:sz="8" w:space="0" w:color="auto"/>
              <w:bottom w:val="nil"/>
              <w:right w:val="nil"/>
            </w:tcBorders>
            <w:shd w:val="clear" w:color="auto" w:fill="auto"/>
            <w:noWrap/>
            <w:vAlign w:val="bottom"/>
            <w:hideMark/>
          </w:tcPr>
          <w:p w14:paraId="42B1819A" w14:textId="77777777" w:rsidR="002F15F8" w:rsidRPr="00105869" w:rsidRDefault="002F15F8" w:rsidP="00C6150D">
            <w:pPr>
              <w:rPr>
                <w:b/>
                <w:bCs/>
                <w:lang w:val="en-GB"/>
              </w:rPr>
            </w:pPr>
            <w:r w:rsidRPr="00105869">
              <w:rPr>
                <w:b/>
                <w:bCs/>
                <w:lang w:val="en-GB"/>
              </w:rPr>
              <w:t>Total Dorsal radiographic abnormalities</w:t>
            </w:r>
          </w:p>
        </w:tc>
        <w:tc>
          <w:tcPr>
            <w:tcW w:w="1700" w:type="dxa"/>
            <w:tcBorders>
              <w:top w:val="nil"/>
              <w:left w:val="nil"/>
              <w:bottom w:val="nil"/>
              <w:right w:val="nil"/>
            </w:tcBorders>
            <w:shd w:val="clear" w:color="auto" w:fill="auto"/>
            <w:noWrap/>
            <w:vAlign w:val="bottom"/>
            <w:hideMark/>
          </w:tcPr>
          <w:p w14:paraId="2EC5D14E" w14:textId="77777777" w:rsidR="002F15F8" w:rsidRPr="00105869" w:rsidRDefault="002F15F8" w:rsidP="00C6150D">
            <w:pPr>
              <w:jc w:val="center"/>
              <w:rPr>
                <w:lang w:val="en-GB"/>
              </w:rPr>
            </w:pPr>
            <w:r w:rsidRPr="00105869">
              <w:rPr>
                <w:lang w:val="en-GB"/>
              </w:rPr>
              <w:t>0.681</w:t>
            </w:r>
          </w:p>
        </w:tc>
        <w:tc>
          <w:tcPr>
            <w:tcW w:w="1700" w:type="dxa"/>
            <w:tcBorders>
              <w:top w:val="nil"/>
              <w:left w:val="nil"/>
              <w:bottom w:val="nil"/>
              <w:right w:val="single" w:sz="8" w:space="0" w:color="auto"/>
            </w:tcBorders>
            <w:shd w:val="clear" w:color="auto" w:fill="auto"/>
            <w:noWrap/>
            <w:vAlign w:val="bottom"/>
            <w:hideMark/>
          </w:tcPr>
          <w:p w14:paraId="75FB6770" w14:textId="77777777" w:rsidR="002F15F8" w:rsidRPr="00105869" w:rsidRDefault="002F15F8" w:rsidP="00C6150D">
            <w:pPr>
              <w:jc w:val="center"/>
              <w:rPr>
                <w:lang w:val="en-GB"/>
              </w:rPr>
            </w:pPr>
            <w:r w:rsidRPr="00105869">
              <w:rPr>
                <w:lang w:val="en-GB"/>
              </w:rPr>
              <w:t>0.463</w:t>
            </w:r>
          </w:p>
        </w:tc>
      </w:tr>
      <w:tr w:rsidR="002F15F8" w:rsidRPr="00105869" w14:paraId="4C67330E" w14:textId="77777777" w:rsidTr="00C6150D">
        <w:trPr>
          <w:trHeight w:val="320"/>
        </w:trPr>
        <w:tc>
          <w:tcPr>
            <w:tcW w:w="5420" w:type="dxa"/>
            <w:tcBorders>
              <w:top w:val="nil"/>
              <w:left w:val="single" w:sz="8" w:space="0" w:color="auto"/>
              <w:bottom w:val="nil"/>
              <w:right w:val="nil"/>
            </w:tcBorders>
            <w:shd w:val="clear" w:color="auto" w:fill="auto"/>
            <w:noWrap/>
            <w:vAlign w:val="bottom"/>
            <w:hideMark/>
          </w:tcPr>
          <w:p w14:paraId="75117B2A" w14:textId="77777777" w:rsidR="002F15F8" w:rsidRPr="00105869" w:rsidRDefault="002F15F8" w:rsidP="00C6150D">
            <w:pPr>
              <w:rPr>
                <w:b/>
                <w:bCs/>
                <w:lang w:val="en-GB"/>
              </w:rPr>
            </w:pPr>
            <w:r w:rsidRPr="00105869">
              <w:rPr>
                <w:b/>
                <w:bCs/>
                <w:lang w:val="en-GB"/>
              </w:rPr>
              <w:t>Total Cranial radiographic abnormalities</w:t>
            </w:r>
          </w:p>
        </w:tc>
        <w:tc>
          <w:tcPr>
            <w:tcW w:w="1700" w:type="dxa"/>
            <w:tcBorders>
              <w:top w:val="nil"/>
              <w:left w:val="nil"/>
              <w:bottom w:val="nil"/>
              <w:right w:val="nil"/>
            </w:tcBorders>
            <w:shd w:val="clear" w:color="auto" w:fill="auto"/>
            <w:noWrap/>
            <w:vAlign w:val="bottom"/>
            <w:hideMark/>
          </w:tcPr>
          <w:p w14:paraId="3AAEECE6" w14:textId="77777777" w:rsidR="002F15F8" w:rsidRPr="00105869" w:rsidRDefault="002F15F8" w:rsidP="00C6150D">
            <w:pPr>
              <w:jc w:val="center"/>
              <w:rPr>
                <w:lang w:val="en-GB"/>
              </w:rPr>
            </w:pPr>
            <w:r w:rsidRPr="00105869">
              <w:rPr>
                <w:lang w:val="en-GB"/>
              </w:rPr>
              <w:t>0.613</w:t>
            </w:r>
          </w:p>
        </w:tc>
        <w:tc>
          <w:tcPr>
            <w:tcW w:w="1700" w:type="dxa"/>
            <w:tcBorders>
              <w:top w:val="nil"/>
              <w:left w:val="nil"/>
              <w:bottom w:val="nil"/>
              <w:right w:val="single" w:sz="8" w:space="0" w:color="auto"/>
            </w:tcBorders>
            <w:shd w:val="clear" w:color="auto" w:fill="auto"/>
            <w:noWrap/>
            <w:vAlign w:val="bottom"/>
            <w:hideMark/>
          </w:tcPr>
          <w:p w14:paraId="63C30A18" w14:textId="77777777" w:rsidR="002F15F8" w:rsidRPr="00105869" w:rsidRDefault="002F15F8" w:rsidP="00C6150D">
            <w:pPr>
              <w:jc w:val="center"/>
              <w:rPr>
                <w:lang w:val="en-GB"/>
              </w:rPr>
            </w:pPr>
            <w:r w:rsidRPr="00105869">
              <w:rPr>
                <w:lang w:val="en-GB"/>
              </w:rPr>
              <w:t>0.365</w:t>
            </w:r>
          </w:p>
        </w:tc>
      </w:tr>
      <w:tr w:rsidR="002F15F8" w:rsidRPr="00105869" w14:paraId="44D807A0" w14:textId="77777777" w:rsidTr="00C6150D">
        <w:trPr>
          <w:trHeight w:val="320"/>
        </w:trPr>
        <w:tc>
          <w:tcPr>
            <w:tcW w:w="5420" w:type="dxa"/>
            <w:tcBorders>
              <w:top w:val="nil"/>
              <w:left w:val="single" w:sz="8" w:space="0" w:color="auto"/>
              <w:bottom w:val="nil"/>
              <w:right w:val="nil"/>
            </w:tcBorders>
            <w:shd w:val="clear" w:color="auto" w:fill="auto"/>
            <w:noWrap/>
            <w:vAlign w:val="bottom"/>
            <w:hideMark/>
          </w:tcPr>
          <w:p w14:paraId="2E1E6EFD" w14:textId="77777777" w:rsidR="002F15F8" w:rsidRPr="00105869" w:rsidRDefault="002F15F8" w:rsidP="00C6150D">
            <w:pPr>
              <w:rPr>
                <w:b/>
                <w:bCs/>
                <w:lang w:val="en-GB"/>
              </w:rPr>
            </w:pPr>
            <w:r w:rsidRPr="00105869">
              <w:rPr>
                <w:b/>
                <w:bCs/>
                <w:lang w:val="en-GB"/>
              </w:rPr>
              <w:t>Total Caudal radiographic abnormalities</w:t>
            </w:r>
          </w:p>
        </w:tc>
        <w:tc>
          <w:tcPr>
            <w:tcW w:w="1700" w:type="dxa"/>
            <w:tcBorders>
              <w:top w:val="nil"/>
              <w:left w:val="nil"/>
              <w:bottom w:val="nil"/>
              <w:right w:val="nil"/>
            </w:tcBorders>
            <w:shd w:val="clear" w:color="auto" w:fill="auto"/>
            <w:noWrap/>
            <w:vAlign w:val="bottom"/>
            <w:hideMark/>
          </w:tcPr>
          <w:p w14:paraId="60949DA6" w14:textId="77777777" w:rsidR="002F15F8" w:rsidRPr="00105869" w:rsidRDefault="002F15F8" w:rsidP="00C6150D">
            <w:pPr>
              <w:jc w:val="center"/>
              <w:rPr>
                <w:lang w:val="en-GB"/>
              </w:rPr>
            </w:pPr>
            <w:r w:rsidRPr="00105869">
              <w:rPr>
                <w:lang w:val="en-GB"/>
              </w:rPr>
              <w:t>0.572</w:t>
            </w:r>
          </w:p>
        </w:tc>
        <w:tc>
          <w:tcPr>
            <w:tcW w:w="1700" w:type="dxa"/>
            <w:tcBorders>
              <w:top w:val="nil"/>
              <w:left w:val="nil"/>
              <w:bottom w:val="nil"/>
              <w:right w:val="single" w:sz="8" w:space="0" w:color="auto"/>
            </w:tcBorders>
            <w:shd w:val="clear" w:color="auto" w:fill="auto"/>
            <w:noWrap/>
            <w:vAlign w:val="bottom"/>
            <w:hideMark/>
          </w:tcPr>
          <w:p w14:paraId="4070DCEB" w14:textId="77777777" w:rsidR="002F15F8" w:rsidRPr="00105869" w:rsidRDefault="002F15F8" w:rsidP="00C6150D">
            <w:pPr>
              <w:jc w:val="center"/>
              <w:rPr>
                <w:lang w:val="en-GB"/>
              </w:rPr>
            </w:pPr>
            <w:r w:rsidRPr="00105869">
              <w:rPr>
                <w:lang w:val="en-GB"/>
              </w:rPr>
              <w:t>0.275</w:t>
            </w:r>
          </w:p>
        </w:tc>
      </w:tr>
      <w:tr w:rsidR="002F15F8" w:rsidRPr="00105869" w14:paraId="269FB213" w14:textId="77777777" w:rsidTr="00C6150D">
        <w:trPr>
          <w:trHeight w:val="320"/>
        </w:trPr>
        <w:tc>
          <w:tcPr>
            <w:tcW w:w="5420" w:type="dxa"/>
            <w:tcBorders>
              <w:top w:val="nil"/>
              <w:left w:val="single" w:sz="8" w:space="0" w:color="auto"/>
              <w:bottom w:val="nil"/>
              <w:right w:val="nil"/>
            </w:tcBorders>
            <w:shd w:val="clear" w:color="auto" w:fill="auto"/>
            <w:noWrap/>
            <w:vAlign w:val="bottom"/>
            <w:hideMark/>
          </w:tcPr>
          <w:p w14:paraId="2EA96050" w14:textId="77777777" w:rsidR="002F15F8" w:rsidRPr="00105869" w:rsidRDefault="002F15F8" w:rsidP="00C6150D">
            <w:pPr>
              <w:rPr>
                <w:b/>
                <w:bCs/>
                <w:color w:val="000000"/>
                <w:lang w:val="en-GB"/>
              </w:rPr>
            </w:pPr>
            <w:r w:rsidRPr="00105869">
              <w:rPr>
                <w:b/>
                <w:bCs/>
                <w:color w:val="000000"/>
                <w:lang w:val="en-GB"/>
              </w:rPr>
              <w:t> </w:t>
            </w:r>
          </w:p>
        </w:tc>
        <w:tc>
          <w:tcPr>
            <w:tcW w:w="1700" w:type="dxa"/>
            <w:tcBorders>
              <w:top w:val="nil"/>
              <w:left w:val="nil"/>
              <w:bottom w:val="nil"/>
              <w:right w:val="nil"/>
            </w:tcBorders>
            <w:shd w:val="clear" w:color="auto" w:fill="auto"/>
            <w:noWrap/>
            <w:vAlign w:val="bottom"/>
            <w:hideMark/>
          </w:tcPr>
          <w:p w14:paraId="32E0B913" w14:textId="77777777" w:rsidR="002F15F8" w:rsidRPr="00105869" w:rsidRDefault="002F15F8" w:rsidP="00C6150D">
            <w:pPr>
              <w:rPr>
                <w:b/>
                <w:bCs/>
                <w:color w:val="000000"/>
                <w:lang w:val="en-GB"/>
              </w:rPr>
            </w:pPr>
          </w:p>
        </w:tc>
        <w:tc>
          <w:tcPr>
            <w:tcW w:w="1700" w:type="dxa"/>
            <w:tcBorders>
              <w:top w:val="nil"/>
              <w:left w:val="nil"/>
              <w:bottom w:val="nil"/>
              <w:right w:val="single" w:sz="8" w:space="0" w:color="auto"/>
            </w:tcBorders>
            <w:shd w:val="clear" w:color="auto" w:fill="auto"/>
            <w:noWrap/>
            <w:vAlign w:val="bottom"/>
            <w:hideMark/>
          </w:tcPr>
          <w:p w14:paraId="7228E9D6" w14:textId="77777777" w:rsidR="002F15F8" w:rsidRPr="00105869" w:rsidRDefault="002F15F8" w:rsidP="00C6150D">
            <w:pPr>
              <w:jc w:val="center"/>
              <w:rPr>
                <w:color w:val="000000"/>
                <w:lang w:val="en-GB"/>
              </w:rPr>
            </w:pPr>
            <w:r w:rsidRPr="00105869">
              <w:rPr>
                <w:color w:val="000000"/>
                <w:lang w:val="en-GB"/>
              </w:rPr>
              <w:t> </w:t>
            </w:r>
          </w:p>
        </w:tc>
      </w:tr>
      <w:tr w:rsidR="002F15F8" w:rsidRPr="00105869" w14:paraId="4A55F9B0" w14:textId="77777777" w:rsidTr="00C6150D">
        <w:trPr>
          <w:trHeight w:val="320"/>
        </w:trPr>
        <w:tc>
          <w:tcPr>
            <w:tcW w:w="5420" w:type="dxa"/>
            <w:tcBorders>
              <w:top w:val="nil"/>
              <w:left w:val="single" w:sz="8" w:space="0" w:color="auto"/>
              <w:bottom w:val="nil"/>
              <w:right w:val="nil"/>
            </w:tcBorders>
            <w:shd w:val="clear" w:color="auto" w:fill="auto"/>
            <w:noWrap/>
            <w:vAlign w:val="bottom"/>
            <w:hideMark/>
          </w:tcPr>
          <w:p w14:paraId="577F5C24" w14:textId="77777777" w:rsidR="002F15F8" w:rsidRPr="00105869" w:rsidRDefault="002F15F8" w:rsidP="00C6150D">
            <w:pPr>
              <w:rPr>
                <w:b/>
                <w:bCs/>
                <w:lang w:val="en-GB"/>
              </w:rPr>
            </w:pPr>
            <w:r w:rsidRPr="00105869">
              <w:rPr>
                <w:b/>
                <w:bCs/>
                <w:lang w:val="en-GB"/>
              </w:rPr>
              <w:t>Total SP radiographic abnormalities</w:t>
            </w:r>
          </w:p>
        </w:tc>
        <w:tc>
          <w:tcPr>
            <w:tcW w:w="1700" w:type="dxa"/>
            <w:tcBorders>
              <w:top w:val="nil"/>
              <w:left w:val="nil"/>
              <w:bottom w:val="nil"/>
              <w:right w:val="nil"/>
            </w:tcBorders>
            <w:shd w:val="clear" w:color="auto" w:fill="auto"/>
            <w:noWrap/>
            <w:vAlign w:val="bottom"/>
            <w:hideMark/>
          </w:tcPr>
          <w:p w14:paraId="4BFEB7BB" w14:textId="77777777" w:rsidR="002F15F8" w:rsidRPr="00105869" w:rsidRDefault="002F15F8" w:rsidP="00C6150D">
            <w:pPr>
              <w:jc w:val="center"/>
              <w:rPr>
                <w:lang w:val="en-GB"/>
              </w:rPr>
            </w:pPr>
            <w:r w:rsidRPr="00105869">
              <w:rPr>
                <w:lang w:val="en-GB"/>
              </w:rPr>
              <w:t>0.583</w:t>
            </w:r>
          </w:p>
        </w:tc>
        <w:tc>
          <w:tcPr>
            <w:tcW w:w="1700" w:type="dxa"/>
            <w:tcBorders>
              <w:top w:val="nil"/>
              <w:left w:val="nil"/>
              <w:bottom w:val="nil"/>
              <w:right w:val="single" w:sz="8" w:space="0" w:color="auto"/>
            </w:tcBorders>
            <w:shd w:val="clear" w:color="auto" w:fill="auto"/>
            <w:noWrap/>
            <w:vAlign w:val="bottom"/>
            <w:hideMark/>
          </w:tcPr>
          <w:p w14:paraId="05DB54EF" w14:textId="77777777" w:rsidR="002F15F8" w:rsidRPr="00105869" w:rsidRDefault="002F15F8" w:rsidP="00C6150D">
            <w:pPr>
              <w:jc w:val="center"/>
              <w:rPr>
                <w:lang w:val="en-GB"/>
              </w:rPr>
            </w:pPr>
            <w:r w:rsidRPr="00105869">
              <w:rPr>
                <w:lang w:val="en-GB"/>
              </w:rPr>
              <w:t>0.358</w:t>
            </w:r>
          </w:p>
        </w:tc>
      </w:tr>
      <w:tr w:rsidR="002F15F8" w:rsidRPr="00105869" w14:paraId="4984039B" w14:textId="77777777" w:rsidTr="00C6150D">
        <w:trPr>
          <w:trHeight w:val="340"/>
        </w:trPr>
        <w:tc>
          <w:tcPr>
            <w:tcW w:w="5420" w:type="dxa"/>
            <w:tcBorders>
              <w:top w:val="nil"/>
              <w:left w:val="single" w:sz="8" w:space="0" w:color="auto"/>
              <w:bottom w:val="single" w:sz="8" w:space="0" w:color="auto"/>
              <w:right w:val="nil"/>
            </w:tcBorders>
            <w:shd w:val="clear" w:color="auto" w:fill="auto"/>
            <w:noWrap/>
            <w:vAlign w:val="bottom"/>
            <w:hideMark/>
          </w:tcPr>
          <w:p w14:paraId="5F58BCDD" w14:textId="77777777" w:rsidR="002F15F8" w:rsidRPr="00105869" w:rsidRDefault="002F15F8" w:rsidP="00C6150D">
            <w:pPr>
              <w:rPr>
                <w:b/>
                <w:bCs/>
                <w:lang w:val="en-GB"/>
              </w:rPr>
            </w:pPr>
            <w:r w:rsidRPr="00105869">
              <w:rPr>
                <w:b/>
                <w:bCs/>
                <w:lang w:val="en-GB"/>
              </w:rPr>
              <w:t>Total Back radiographic abnormalities</w:t>
            </w:r>
          </w:p>
        </w:tc>
        <w:tc>
          <w:tcPr>
            <w:tcW w:w="1700" w:type="dxa"/>
            <w:tcBorders>
              <w:top w:val="nil"/>
              <w:left w:val="nil"/>
              <w:bottom w:val="single" w:sz="8" w:space="0" w:color="auto"/>
              <w:right w:val="nil"/>
            </w:tcBorders>
            <w:shd w:val="clear" w:color="auto" w:fill="auto"/>
            <w:noWrap/>
            <w:vAlign w:val="bottom"/>
            <w:hideMark/>
          </w:tcPr>
          <w:p w14:paraId="6A5241A6" w14:textId="77777777" w:rsidR="002F15F8" w:rsidRPr="00105869" w:rsidRDefault="002F15F8" w:rsidP="00C6150D">
            <w:pPr>
              <w:jc w:val="center"/>
              <w:rPr>
                <w:lang w:val="en-GB"/>
              </w:rPr>
            </w:pPr>
            <w:r w:rsidRPr="00105869">
              <w:rPr>
                <w:lang w:val="en-GB"/>
              </w:rPr>
              <w:t>0.489</w:t>
            </w:r>
          </w:p>
        </w:tc>
        <w:tc>
          <w:tcPr>
            <w:tcW w:w="1700" w:type="dxa"/>
            <w:tcBorders>
              <w:top w:val="nil"/>
              <w:left w:val="nil"/>
              <w:bottom w:val="single" w:sz="8" w:space="0" w:color="auto"/>
              <w:right w:val="single" w:sz="8" w:space="0" w:color="auto"/>
            </w:tcBorders>
            <w:shd w:val="clear" w:color="auto" w:fill="auto"/>
            <w:noWrap/>
            <w:vAlign w:val="bottom"/>
            <w:hideMark/>
          </w:tcPr>
          <w:p w14:paraId="70AD7590" w14:textId="77777777" w:rsidR="002F15F8" w:rsidRPr="00105869" w:rsidRDefault="002F15F8" w:rsidP="00C6150D">
            <w:pPr>
              <w:jc w:val="center"/>
              <w:rPr>
                <w:lang w:val="en-GB"/>
              </w:rPr>
            </w:pPr>
            <w:r w:rsidRPr="00105869">
              <w:rPr>
                <w:lang w:val="en-GB"/>
              </w:rPr>
              <w:t>0.389</w:t>
            </w:r>
          </w:p>
        </w:tc>
      </w:tr>
    </w:tbl>
    <w:p w14:paraId="7E2CBC62" w14:textId="0439C003" w:rsidR="002F15F8" w:rsidRDefault="002F15F8">
      <w:pPr>
        <w:spacing w:line="480" w:lineRule="auto"/>
        <w:rPr>
          <w:lang w:val="en-GB"/>
        </w:rPr>
      </w:pPr>
    </w:p>
    <w:p w14:paraId="3687D75B" w14:textId="77777777" w:rsidR="002F15F8" w:rsidRPr="00105869" w:rsidRDefault="002F15F8">
      <w:pPr>
        <w:spacing w:line="480" w:lineRule="auto"/>
        <w:rPr>
          <w:lang w:val="en-GB"/>
        </w:rPr>
      </w:pPr>
    </w:p>
    <w:p w14:paraId="729B89AA" w14:textId="3D28E959" w:rsidR="00B30294" w:rsidRPr="00D5527C" w:rsidRDefault="00C31BD3">
      <w:pPr>
        <w:spacing w:line="480" w:lineRule="auto"/>
        <w:rPr>
          <w:b/>
          <w:bCs/>
          <w:color w:val="000000" w:themeColor="text1"/>
          <w:lang w:val="en-GB"/>
        </w:rPr>
      </w:pPr>
      <w:r w:rsidRPr="00D5527C">
        <w:rPr>
          <w:b/>
          <w:bCs/>
          <w:color w:val="000000" w:themeColor="text1"/>
          <w:lang w:val="en-GB"/>
        </w:rPr>
        <w:t>Agreement between</w:t>
      </w:r>
      <w:r w:rsidR="00B30294" w:rsidRPr="00D5527C">
        <w:rPr>
          <w:b/>
          <w:bCs/>
          <w:color w:val="000000" w:themeColor="text1"/>
          <w:lang w:val="en-GB"/>
        </w:rPr>
        <w:t xml:space="preserve"> multiple observers</w:t>
      </w:r>
    </w:p>
    <w:p w14:paraId="3957A682" w14:textId="4D74A126" w:rsidR="00B30294" w:rsidRPr="00105869" w:rsidRDefault="00616062">
      <w:pPr>
        <w:spacing w:line="480" w:lineRule="auto"/>
        <w:rPr>
          <w:color w:val="000000" w:themeColor="text1"/>
          <w:lang w:val="en-GB"/>
        </w:rPr>
      </w:pPr>
      <w:r w:rsidRPr="00105869">
        <w:rPr>
          <w:color w:val="000000" w:themeColor="text1"/>
          <w:lang w:val="en-GB"/>
        </w:rPr>
        <w:t xml:space="preserve">The Fleiss Kappa agreement for multiple observers was overall </w:t>
      </w:r>
      <w:r w:rsidR="008A5A67">
        <w:rPr>
          <w:color w:val="000000" w:themeColor="text1"/>
          <w:lang w:val="en-GB"/>
        </w:rPr>
        <w:t>fair to poor</w:t>
      </w:r>
      <w:r w:rsidR="008A5A67" w:rsidRPr="00105869">
        <w:rPr>
          <w:color w:val="000000" w:themeColor="text1"/>
          <w:lang w:val="en-GB"/>
        </w:rPr>
        <w:t xml:space="preserve"> </w:t>
      </w:r>
      <w:r w:rsidR="00BC4882" w:rsidRPr="00105869">
        <w:rPr>
          <w:color w:val="000000" w:themeColor="text1"/>
          <w:lang w:val="en-GB"/>
        </w:rPr>
        <w:t>(</w:t>
      </w:r>
      <w:r w:rsidR="00184890" w:rsidRPr="00105869">
        <w:rPr>
          <w:color w:val="000000" w:themeColor="text1"/>
          <w:lang w:val="en-GB"/>
        </w:rPr>
        <w:t>T</w:t>
      </w:r>
      <w:r w:rsidR="00BC4882" w:rsidRPr="00105869">
        <w:rPr>
          <w:color w:val="000000" w:themeColor="text1"/>
          <w:lang w:val="en-GB"/>
        </w:rPr>
        <w:t xml:space="preserve">able </w:t>
      </w:r>
      <w:r w:rsidR="008A5A67">
        <w:rPr>
          <w:color w:val="000000" w:themeColor="text1"/>
          <w:lang w:val="en-GB"/>
        </w:rPr>
        <w:t>3</w:t>
      </w:r>
      <w:r w:rsidR="00BC4882" w:rsidRPr="00105869">
        <w:rPr>
          <w:color w:val="000000" w:themeColor="text1"/>
          <w:lang w:val="en-GB"/>
        </w:rPr>
        <w:t>)</w:t>
      </w:r>
      <w:r w:rsidRPr="00105869">
        <w:rPr>
          <w:color w:val="000000" w:themeColor="text1"/>
          <w:lang w:val="en-GB"/>
        </w:rPr>
        <w:t xml:space="preserve">. Only </w:t>
      </w:r>
      <w:r w:rsidR="00E46901" w:rsidRPr="00105869">
        <w:rPr>
          <w:color w:val="000000" w:themeColor="text1"/>
          <w:lang w:val="en-GB"/>
        </w:rPr>
        <w:t>ISW</w:t>
      </w:r>
      <w:r w:rsidRPr="00105869">
        <w:rPr>
          <w:color w:val="000000" w:themeColor="text1"/>
          <w:lang w:val="en-GB"/>
        </w:rPr>
        <w:t xml:space="preserve"> and isolated opacities dorsally were found to have good agreement for t</w:t>
      </w:r>
      <w:r w:rsidR="00084113" w:rsidRPr="00105869">
        <w:rPr>
          <w:color w:val="000000" w:themeColor="text1"/>
          <w:lang w:val="en-GB"/>
        </w:rPr>
        <w:t>he</w:t>
      </w:r>
      <w:r w:rsidRPr="00105869">
        <w:rPr>
          <w:color w:val="000000" w:themeColor="text1"/>
          <w:lang w:val="en-GB"/>
        </w:rPr>
        <w:t xml:space="preserve"> presence or absence of abnormalities</w:t>
      </w:r>
      <w:r w:rsidR="00184890" w:rsidRPr="00105869">
        <w:rPr>
          <w:color w:val="000000" w:themeColor="text1"/>
          <w:lang w:val="en-GB"/>
        </w:rPr>
        <w:t xml:space="preserve">, </w:t>
      </w:r>
      <w:proofErr w:type="spellStart"/>
      <w:r w:rsidR="00184890" w:rsidRPr="00105869">
        <w:rPr>
          <w:color w:val="000000" w:themeColor="text1"/>
          <w:lang w:val="en-GB"/>
        </w:rPr>
        <w:t>F</w:t>
      </w:r>
      <w:r w:rsidR="00184890" w:rsidRPr="00105869">
        <w:rPr>
          <w:color w:val="000000" w:themeColor="text1"/>
          <w:vertAlign w:val="subscript"/>
          <w:lang w:val="en-GB"/>
        </w:rPr>
        <w:t>k</w:t>
      </w:r>
      <w:proofErr w:type="spellEnd"/>
      <w:r w:rsidR="00184890" w:rsidRPr="00105869">
        <w:rPr>
          <w:color w:val="000000" w:themeColor="text1"/>
          <w:lang w:val="en-GB"/>
        </w:rPr>
        <w:t>=0.62 and 0.63 respectively</w:t>
      </w:r>
      <w:r w:rsidR="005019E7" w:rsidRPr="00105869">
        <w:rPr>
          <w:color w:val="000000" w:themeColor="text1"/>
          <w:lang w:val="en-GB"/>
        </w:rPr>
        <w:t xml:space="preserve">. </w:t>
      </w:r>
    </w:p>
    <w:p w14:paraId="40216252" w14:textId="77777777" w:rsidR="00845AE9" w:rsidRPr="00105869" w:rsidRDefault="00845AE9" w:rsidP="005B693E">
      <w:pPr>
        <w:spacing w:line="480" w:lineRule="auto"/>
        <w:rPr>
          <w:lang w:val="en-GB"/>
        </w:rPr>
      </w:pPr>
    </w:p>
    <w:p w14:paraId="2F137AC7" w14:textId="096F77F2" w:rsidR="00EE002F" w:rsidRPr="00105869" w:rsidRDefault="005B4A5A" w:rsidP="005B693E">
      <w:pPr>
        <w:spacing w:line="480" w:lineRule="auto"/>
        <w:rPr>
          <w:b/>
          <w:bCs/>
          <w:lang w:val="en-GB"/>
        </w:rPr>
      </w:pPr>
      <w:r>
        <w:rPr>
          <w:b/>
          <w:bCs/>
          <w:lang w:val="en-GB"/>
        </w:rPr>
        <w:t>DISCUSSION</w:t>
      </w:r>
    </w:p>
    <w:p w14:paraId="7C03B1C9" w14:textId="660315B6" w:rsidR="00F44266" w:rsidRPr="00105869" w:rsidRDefault="004016A3" w:rsidP="005B693E">
      <w:pPr>
        <w:spacing w:line="480" w:lineRule="auto"/>
        <w:rPr>
          <w:lang w:val="en-GB"/>
        </w:rPr>
      </w:pPr>
      <w:r w:rsidRPr="00105869">
        <w:rPr>
          <w:lang w:val="en-GB"/>
        </w:rPr>
        <w:t>The current study is the first to describe inter</w:t>
      </w:r>
      <w:r w:rsidR="00B70D08" w:rsidRPr="00105869">
        <w:rPr>
          <w:lang w:val="en-GB"/>
        </w:rPr>
        <w:t>-</w:t>
      </w:r>
      <w:r w:rsidRPr="00105869">
        <w:rPr>
          <w:lang w:val="en-GB"/>
        </w:rPr>
        <w:t xml:space="preserve"> and intra</w:t>
      </w:r>
      <w:r w:rsidR="00B70D08" w:rsidRPr="00105869">
        <w:rPr>
          <w:lang w:val="en-GB"/>
        </w:rPr>
        <w:t>-</w:t>
      </w:r>
      <w:r w:rsidRPr="00105869">
        <w:rPr>
          <w:lang w:val="en-GB"/>
        </w:rPr>
        <w:t xml:space="preserve">observer agreement of different radiographic </w:t>
      </w:r>
      <w:r w:rsidR="009C21D0" w:rsidRPr="00105869">
        <w:rPr>
          <w:lang w:val="en-GB"/>
        </w:rPr>
        <w:t>alterations</w:t>
      </w:r>
      <w:r w:rsidRPr="00105869">
        <w:rPr>
          <w:lang w:val="en-GB"/>
        </w:rPr>
        <w:t xml:space="preserve"> found in equine thoracolumbar </w:t>
      </w:r>
      <w:r w:rsidR="004A51F9" w:rsidRPr="00105869">
        <w:rPr>
          <w:lang w:val="en-GB"/>
        </w:rPr>
        <w:t>SP</w:t>
      </w:r>
      <w:r w:rsidR="00DD4512" w:rsidRPr="00105869">
        <w:rPr>
          <w:lang w:val="en-GB"/>
        </w:rPr>
        <w:t xml:space="preserve"> on </w:t>
      </w:r>
      <w:r w:rsidR="00E46901" w:rsidRPr="00105869">
        <w:rPr>
          <w:lang w:val="en-GB"/>
        </w:rPr>
        <w:t>PPE</w:t>
      </w:r>
      <w:r w:rsidRPr="00105869">
        <w:rPr>
          <w:lang w:val="en-GB"/>
        </w:rPr>
        <w:t>.</w:t>
      </w:r>
      <w:r w:rsidR="006456BC" w:rsidRPr="00105869">
        <w:rPr>
          <w:lang w:val="en-GB"/>
        </w:rPr>
        <w:t xml:space="preserve"> </w:t>
      </w:r>
      <w:r w:rsidR="00811792" w:rsidRPr="00105869">
        <w:rPr>
          <w:lang w:val="en-GB"/>
        </w:rPr>
        <w:t>P</w:t>
      </w:r>
      <w:r w:rsidR="00EE002F" w:rsidRPr="00105869">
        <w:rPr>
          <w:lang w:val="en-GB"/>
        </w:rPr>
        <w:t xml:space="preserve">revious </w:t>
      </w:r>
      <w:r w:rsidR="00811792" w:rsidRPr="00105869">
        <w:rPr>
          <w:lang w:val="en-GB"/>
        </w:rPr>
        <w:t xml:space="preserve">published </w:t>
      </w:r>
      <w:r w:rsidR="00EE002F" w:rsidRPr="00105869">
        <w:rPr>
          <w:lang w:val="en-GB"/>
        </w:rPr>
        <w:t>scoring systems</w:t>
      </w:r>
      <w:r w:rsidR="009A1991" w:rsidRPr="00105869">
        <w:rPr>
          <w:lang w:val="en-GB"/>
        </w:rPr>
        <w:t xml:space="preserve"> </w:t>
      </w:r>
      <w:r w:rsidR="003F0145" w:rsidRPr="00105869">
        <w:rPr>
          <w:lang w:val="en-GB"/>
        </w:rPr>
        <w:t>have not been validated and tested for reliability</w:t>
      </w:r>
      <w:r w:rsidR="008C3151" w:rsidRPr="00105869">
        <w:rPr>
          <w:lang w:val="en-GB"/>
        </w:rPr>
        <w:t xml:space="preserve"> and</w:t>
      </w:r>
      <w:r w:rsidR="007958DA" w:rsidRPr="00105869">
        <w:rPr>
          <w:lang w:val="en-GB"/>
        </w:rPr>
        <w:t xml:space="preserve"> </w:t>
      </w:r>
      <w:r w:rsidR="009C21D0" w:rsidRPr="00105869">
        <w:rPr>
          <w:lang w:val="en-GB"/>
        </w:rPr>
        <w:t>these</w:t>
      </w:r>
      <w:r w:rsidR="003145DF" w:rsidRPr="00105869">
        <w:rPr>
          <w:lang w:val="en-GB"/>
        </w:rPr>
        <w:t xml:space="preserve"> studies either graded their radiographic alterations by only one </w:t>
      </w:r>
      <w:r w:rsidR="007958DA" w:rsidRPr="00105869">
        <w:rPr>
          <w:lang w:val="en-GB"/>
        </w:rPr>
        <w:t xml:space="preserve">experienced </w:t>
      </w:r>
      <w:r w:rsidR="003145DF" w:rsidRPr="00105869">
        <w:rPr>
          <w:lang w:val="en-GB"/>
        </w:rPr>
        <w:t>observer or two observer</w:t>
      </w:r>
      <w:r w:rsidR="009A1991" w:rsidRPr="00105869">
        <w:rPr>
          <w:lang w:val="en-GB"/>
        </w:rPr>
        <w:t>s</w:t>
      </w:r>
      <w:r w:rsidR="003145DF" w:rsidRPr="00105869">
        <w:rPr>
          <w:lang w:val="en-GB"/>
        </w:rPr>
        <w:t xml:space="preserve"> </w:t>
      </w:r>
      <w:r w:rsidR="00C6454D" w:rsidRPr="00105869">
        <w:rPr>
          <w:lang w:val="en-GB"/>
        </w:rPr>
        <w:t xml:space="preserve">in </w:t>
      </w:r>
      <w:r w:rsidR="003145DF" w:rsidRPr="00105869">
        <w:rPr>
          <w:lang w:val="en-GB"/>
        </w:rPr>
        <w:t>consensuses</w:t>
      </w:r>
      <w:r w:rsidR="001A15BB" w:rsidRPr="00105869">
        <w:rPr>
          <w:lang w:val="en-GB"/>
        </w:rPr>
        <w:t>.</w:t>
      </w:r>
      <w:r w:rsidR="009C21D0" w:rsidRPr="00105869">
        <w:rPr>
          <w:lang w:val="en-GB"/>
        </w:rPr>
        <w:fldChar w:fldCharType="begin" w:fldLock="1"/>
      </w:r>
      <w:r w:rsidR="00B56CA6">
        <w:rPr>
          <w:lang w:val="en-GB"/>
        </w:rPr>
        <w:instrText>ADDIN CSL_CITATION {"citationItems":[{"id":"ITEM-1","itemData":{"DOI":"10.1111/j.1740-8261.2011.01845.x","ISSN":"10588183","PMID":"21699620","abstract":"Back pain is common in horses, but there has been no large-scale in-depth study describing radiographic changes of the spinous processes, the relationship between radiographic and scintigraphic findings, and the effect of size, age, breed, or discipline. The objectives were to investigate the frequency of occurrence in horses with perceived back pain of: (1) radiographic alteration of the spinous process structure; (2) increased radiopharmaceutical uptake (IRU) in the spinous processes; and (3) to compare radiographic and scintigraphic findings; and to determine if there was breed, gender, age, bodyweight, height, or work discipline predisposition for close, impinging, or overriding spinous processes. Radiographic and scintigraphic images of the thoracolumbar spine of 604 horses were graded. A radiographic grade for each spinous process (T8-L6) was assigned (0-7). The maximum radiographic grade for each horse was defined as the highest grade assigned to any spinous process; the total radiographic grade was the sum of all grades for each horse. A scintigraphic grade for each spinous process was determined (0-3). The maximum scintigraphic grade for each horse was defined as the highest grade assigned to any spinous process; the total scintigraphic grade was the sum of all grades for each horse. Associations between radiology and scintigraphy and age, gender, breed, height, weight, and discipline were analyzed statistically. The severity of radiographic lesions of the spinous processes was associated with the severity of scintigraphic abnormalities. The caudal thoracic spine (T14-T17) was most frequently affected. There was a significant breed and age effect, with Thoroughbreds and older horses having higher total and maximum radiographic grades. The severity of the lesions of the spinous processes was significantly associated with the presence of osteoarthritis of the articular process joints. It was concluded that there is a wide range of radiographic abnormalities of the spinous processes seen in horses with or without back pain. There is an association between radiographic and scintigraphic grades of the spinous processes.© 2011 Veterinary Radiology &amp; Ultrasound.","author":[{"dropping-particle":"","family":"Zimmerman","given":"Marieke","non-dropping-particle":"","parse-names":false,"suffix":""},{"dropping-particle":"","family":"Dyson","given":"Sue","non-dropping-particle":"","parse-names":false,"suffix":""},{"dropping-particle":"","family":"Murray","given":"Rachel","non-dropping-particle":"","parse-names":false,"suffix":""}],"container-title":"Veterinary Radiology and Ultrasound","id":"ITEM-1","issue":"6","issued":{"date-parts":[["2011"]]},"page":"661-671","title":"Comparison of radiographic and scintigraphic findings of the spinous processes in the equine thoracolumbar region","type":"article-journal","volume":"52"},"uris":["http://www.mendeley.com/documents/?uuid=df182bfb-1ee6-4cbd-bfa0-ac43814e4ba0"]},{"id":"ITEM-2","itemData":{"author":[{"dropping-particle":"","family":"Sager","given":"Jörg","non-dropping-particle":"","parse-names":false,"suffix":""}],"id":"ITEM-2","issued":{"date-parts":[["1997"]]},"title":"Die Erkrankungen der Processus spinosi der Brust-und Lendenwirbelsäule des Pferdes: eine klinische und röntgenologische Studie","type":"article-journal"},"uris":["http://www.mendeley.com/documents/?uuid=1606a288-e897-4545-b279-05d3411df08f"]},{"id":"ITEM-3","itemData":{"author":[{"dropping-particle":"","family":"Pettersson, H., B. Strömberg","given":"and I. Myrin","non-dropping-particle":"","parse-names":false,"suffix":""}],"container-title":"Pferdeheilkunde","id":"ITEM-3","issued":{"date-parts":[["1987"]]},"page":"313-319","title":"Das thorkolumbale, interspinale Syndrom (TLI) des Reitpferdes-Retriospektiver Vergleich konservativ und chirurgisch behandelter Fälle","type":"article-journal","volume":"3"},"uris":["http://www.mendeley.com/documents/?uuid=38038fc3-d28c-49d5-87be-c5933b3d96cd"]},{"id":"ITEM-4","itemData":{"DOI":"10.21836/PEM20150505","ISSN":"01777726","abstract":"A retrospective study of 220 horses was performed to investigate the association between the clinical signs and the radiological findings of impinging dorsal spinous processes (DSPs) in warmblood sporthorses. For this purpose radiographic records were assessed to identify all horses that had undergone radiographic examination of the back as part of a pre-purchase examination between January 2009 and December 2012. The dorsal spinous processes of 239 horses were assessed and each dorsal spinous process was individually graded (0-3) using a modified 4-group grading system appropriate for routine grading of dorsal spinous processes as part of a pre-purchase examination. Fifty-five percent (n = 121) had no radiological abnormalities of the DSPs (grade 0). However, 26, 4% had at least one DSP with grade 1 impingement, 11, 8% had at least one DSP with grade 2 and 6, 8% had at least one DSP with grade 3. Follow-up information was obtained by telephone responses from owners or trainers. The horses were assessed at a mean follow up time after pre-purchase examination of 25, 19 ±12,52 months. Based on the clinical signs included in the questionnaire answers horses were divided into two groups; i) thoracolumbar back pain and ii) no thoracolumbar back pain. Only 11, 5% (N = 23) of the 220 horses had shown thoracolumbar back pain. There was no significant association between gender, age or discipline and clinical signs of thoracolumbar back pain. High maximum DSP grade is associated with an increased risk of clinical signs. The specificity of a grade 3 DSP on radiographic screening at pre purchase examinations is high, however the sensitivity is low. This suggests that there is a high risk of clinical signs in horses with grade 3 DSPs and no warranty can be offered for absence of clinical signs for grade 0, 1,2.","author":[{"dropping-particle":"","family":"Graaf","given":"Kim","non-dropping-particle":"De","parse-names":false,"suffix":""},{"dropping-particle":"","family":"Enzerink","given":"Edwin","non-dropping-particle":"","parse-names":false,"suffix":""},{"dropping-particle":"","family":"Oijen","given":"Peter","non-dropping-particle":"Van","parse-names":false,"suffix":""},{"dropping-particle":"","family":"Smeenk","given":"Allard","non-dropping-particle":"","parse-names":false,"suffix":""},{"dropping-particle":"","family":"Dik","given":"Kees J.","non-dropping-particle":"","parse-names":false,"suffix":""}],"container-title":"Pferdeheilkunde","id":"ITEM-4","issue":"5","issued":{"date-parts":[["2015"]]},"page":"461-468","title":"The radiographic frequency of impingement of the dorsal spinous processes at purchase examination and its clinical significance in 220 warmblood sporthorses","type":"article-journal","volume":"31"},"uris":["http://www.mendeley.com/documents/?uuid=f64c9255-885d-4f67-b6da-cb3cce508a09"]},{"id":"ITEM-5","itemData":{"DOI":"10.2746/0425164044877341","ISSN":"04251644","PMID":"15460068","abstract":"Reasons for performing study: Radiography and scintigraphy are used to aid diagnosis of the cause of back pain, but a large variation in appearance and radiopharmaceutical uptake in fully functioning horses make diagnosis difficult. Objectives: To describe the range of and compare scintigraphic and radiographic findings in the spinous processes of horses without clinical signs of back problems. Methods: Thirty-three apparently normal riding horses underwent scintigraphic and radiographic examinations of the spinous processes in the thoracolumbar spine. Scintigraphic images were evaluated in a continuous blue, green and red colour scale, and the level of radiopharmaceutical uptake in the spinous processes from T10-L2 was graded into none, mild, moderate or severe increased radiopharmaceutical uptake. Structural changes along the borders of the spinous processes and the width of the interspinous spaces from T10-L2 were recorded. Results: Only 7 horses had no scintigraphic or radiographic findings. Nine horses had no increased radiopharmaceutical uptake, 17 had no sclerosis, 21 had no radiolucencies and 11 had normal spacing of the spinous processes (&gt;4 mm wide). The majority of findings in 26 horses were located from T13-18 and were mild. Conclusions: The findings of a wide spectrum of scintigraphic and radiographic changes leads to the conclusion that changes within this range found in affected horses cannot be interpreted as clinically significant. Potential relevance: To determine whether scintigraphy and/or radiography can be used to separate horses with back pain from horses without clinical signs, the results from this study should be compared to the scintigraphic and radiographic findings in horses with clinical signs.","author":[{"dropping-particle":"","family":"Erichsen","given":"C.","non-dropping-particle":"","parse-names":false,"suffix":""},{"dropping-particle":"","family":"Eksell","given":"P.","non-dropping-particle":"","parse-names":false,"suffix":""},{"dropping-particle":"","family":"Roethlisberger Holm","given":"K.","non-dropping-particle":"","parse-names":false,"suffix":""},{"dropping-particle":"","family":"Lord","given":"P.","non-dropping-particle":"","parse-names":false,"suffix":""},{"dropping-particle":"","family":"Johnston","given":"C.","non-dropping-particle":"","parse-names":false,"suffix":""}],"container-title":"Equine Veterinary Journal","id":"ITEM-5","issue":"6","issued":{"date-parts":[["2004"]]},"page":"458-465","title":"Relationship between scintigraphic and radiographic evaluations of spinous processes in the thoracolumbar spine in riding horses without clinical signs of back problems","type":"article-journal","volume":"36"},"uris":["http://www.mendeley.com/documents/?uuid=5c233ecf-5ab9-4864-9434-7194183c41fe"]},{"id":"ITEM-6","itemData":{"author":[{"dropping-particle":"","family":"Gerhards, H., Hertsch, B., Jahn, P., &amp; Brunken","given":"G.","non-dropping-particle":"","parse-names":false,"suffix":""}],"container-title":"Deutsch Tierarzteblatt","id":"ITEM-6","issued":{"date-parts":[["2007"]]},"page":"292-303","title":"Leitfaden für die röntgenologische Beurteilung bei der Kaufuntersuchung des Pferdes (RoLF07)","type":"article-journal","volume":"57"},"uris":["http://www.mendeley.com/documents/?uuid=9e0d92fa-f2b2-4e86-aed6-98dbdc1243fe"]},{"id":"ITEM-7","itemData":{"DOI":"https://doi.org/10.1016/C2009-0-50774-X","author":[{"dropping-particle":"","family":"Denoix, Jean-Marie M., Dyson","given":"Sue J. \"Thoracolumbar spine\" Diagnosis and Management of","non-dropping-particle":"","parse-names":false,"suffix":""}],"chapter-number":"52","container-title":"Diagnosis and Management of Lameness in the Horse","edition":"2nd","editor":[{"dropping-particle":"","family":"Ross","given":"Michael W.","non-dropping-particle":"","parse-names":false,"suffix":""},{"dropping-particle":"","family":"Dyson","given":"Sue J.","non-dropping-particle":"","parse-names":false,"suffix":""}],"id":"ITEM-7","issued":{"date-parts":[["2011"]]},"page":"592-605","publisher":"WB Saunders","title":"Thoracolumbar spine","type":"chapter"},"uris":["http://www.mendeley.com/documents/?uuid=9b679b65-4738-4415-840f-b3c6d3f9fc76"]}],"mendeley":{"formattedCitation":"(4,14–19)","plainTextFormattedCitation":"(4,14–19)","previouslyFormattedCitation":"(4,14–19)"},"properties":{"noteIndex":0},"schema":"https://github.com/citation-style-language/schema/raw/master/csl-citation.json"}</w:instrText>
      </w:r>
      <w:r w:rsidR="009C21D0" w:rsidRPr="00105869">
        <w:rPr>
          <w:lang w:val="en-GB"/>
        </w:rPr>
        <w:fldChar w:fldCharType="separate"/>
      </w:r>
      <w:r w:rsidR="009F0CC5" w:rsidRPr="009F0CC5">
        <w:rPr>
          <w:noProof/>
          <w:lang w:val="en-GB"/>
        </w:rPr>
        <w:t>(4,14–19)</w:t>
      </w:r>
      <w:r w:rsidR="009C21D0" w:rsidRPr="00105869">
        <w:rPr>
          <w:lang w:val="en-GB"/>
        </w:rPr>
        <w:fldChar w:fldCharType="end"/>
      </w:r>
    </w:p>
    <w:p w14:paraId="61B430D3" w14:textId="77777777" w:rsidR="00F44266" w:rsidRPr="00105869" w:rsidRDefault="00F44266" w:rsidP="005B693E">
      <w:pPr>
        <w:spacing w:line="480" w:lineRule="auto"/>
        <w:rPr>
          <w:lang w:val="en-GB"/>
        </w:rPr>
      </w:pPr>
    </w:p>
    <w:p w14:paraId="63F6C46F" w14:textId="0E570C18" w:rsidR="0073271D" w:rsidRPr="00105869" w:rsidRDefault="0073271D" w:rsidP="0073271D">
      <w:pPr>
        <w:spacing w:line="480" w:lineRule="auto"/>
        <w:rPr>
          <w:lang w:val="en-GB"/>
        </w:rPr>
      </w:pPr>
      <w:r w:rsidRPr="00105869">
        <w:rPr>
          <w:lang w:val="en-GB"/>
        </w:rPr>
        <w:t>Research involving inter- and intra-observer repeatability of interpretation of radiographs of other areas in horses state that agreement varies substantially. Agreement varied depending on severity of findings, anatomical area, training of observers and different evaluated parameters used or the approach of grading</w:t>
      </w:r>
      <w:r w:rsidR="001A15BB" w:rsidRPr="00105869">
        <w:rPr>
          <w:lang w:val="en-GB"/>
        </w:rPr>
        <w:t>.</w:t>
      </w:r>
      <w:r w:rsidRPr="00105869">
        <w:rPr>
          <w:lang w:val="en-GB"/>
        </w:rPr>
        <w:fldChar w:fldCharType="begin" w:fldLock="1"/>
      </w:r>
      <w:r w:rsidR="00B56CA6">
        <w:rPr>
          <w:lang w:val="en-GB"/>
        </w:rPr>
        <w:instrText>ADDIN CSL_CITATION {"citationItems":[{"id":"ITEM-1","itemData":{"ISSN":"0177-7726","abstract":"For many years, radiography has formed an integral part of the equine pre-purchase examination. In Germany, the radiological guidelines \"Röntgenleitfaden 2007 (RöLF07)\" are widely used by equine veterinarians to assist with the interpretation of radiographic findings of riding horses. The radiological guidelines include over 200 radiographic findings, which are registered, and each finding has an individual number and a corresponding class. The radiological findings are divided into four radiological classes (I-IV) and three intermediate classes (I-II, II-III and III-IV), which were developed as an assessment criterion of the horse for the owner, the vendor and the purchaser. Normal anatomical variations are classified as class I, whereas severe radiographic findings were classified as class III-IV or IV The highest radiological class of a single finding is the final class of the horse for the radiological examination. Due to the forensic situation, the veterinarian has to classify every radiographic finding correctly. As there are variable interpretations of radiographic findings of different observers' litigations are quite common. The aim of the study was to characterise the inter-observer agreement of several experienced observers in orthopaedic findings observed on radiographs using the German radiological guidelines \"Röntgenleitfaden 07\". The 50 sets of radiographs were interpreted once by 41 experienced equine veterinarians. One of the authors visited every observer to make sure that the technical equipment and circumstances of the examinations were similar. The observers were asked to examine the radiographic sets as they would have been examined at a pre-purchase examination. A set of 50 orthopaedic radiographs (fore feet: lateromedial and dorsoproximal-palmarodistal oblique view, hind feet: lateromedial view, tarsi: dorsomedial-plantarolateral oblique (DMPLO), dorsolateral-plantaromedial oblique (DLPMO) and dorsoplantar views, stifles: lateromedial and caudo-cranial view, thoracolumbar spine: latero-lateral view of the spinous processes) were examined using the \"Röntgenleitfaden 07\" to characterise and classify the findings. Two of the authors selected the orthopaedic radiographs from the archive of the Clinic for Horses of the University of Veterinary Medicine in Hannover. The number of observers to identify each finding, per radiograph, was calculated and reported. A representative selection of radiographs of every location (feet, tarsi, sti…","author":[{"dropping-particle":"","family":"Buschkamp","given":"L","non-dropping-particle":"","parse-names":false,"suffix":""},{"dropping-particle":"","family":"Hellige","given":"M","non-dropping-particle":"","parse-names":false,"suffix":""},{"dropping-particle":"","family":"Rohn","given":"K","non-dropping-particle":"","parse-names":false,"suffix":""},{"dropping-particle":"","family":"Stadler","given":"P","non-dropping-particle":"","parse-names":false,"suffix":""}],"container-title":"Pferdeheilkunde","id":"ITEM-1","issue":"3","issued":{"date-parts":[["2018"]]},"language":"German","note":"Author Affiliation: Tierklinik Hochmoor, Gescher-Hochmoor, Germany.\n\nAuthor Email: maren.hellige@tiho-hannover.de","page":"212-222","publisher":"Hippiatrika Verlag GmbH","publisher-place":"Baden-Baden","title":"Interobserver agreement in interpreting radiographs of horses using the German Radiology-Guidelines 2007 (\"Röntgenleitfaden 2007\").","type":"article-journal","volume":"34"},"uris":["http://www.mendeley.com/documents/?uuid=6af1d687-07eb-406e-931e-cb56d398b3e7"]},{"id":"ITEM-2","itemData":{"DOI":"10.1016/j.tvjl.2013.03.041","ISSN":"10900233","abstract":"The validity of methods used to score the severity of radiographic findings (RFs) in horses is uncertain since only one or two joints are usually studied, classification criteria are heterogeneous and the internal validity is not assessed. The aim of this study was to assess the internal validity of a severity scoring system (SSS) of RFs by repeated scoring of a sample of radiographs.This SSS of RFs is based on four criteria that can be applied to every type of RF observed in limb joints. It consists of five weighted severity indexes (0, 1, 2, 4, 8) and was used to assess RFs found on the limbs of 392 young horses. The internal validity of the SSS was assessed using Kappa coefficients calculated on a subsample of 137 horses whose radiographs were interpreted twice. The final RF severity indices from these radiographs were obtained after three experienced veterinarians had reached a consensus, similar to the procedure used at foal and yearling sales.The majority of RFs from the 392 horses were scored either 1 or 2, while scores of 8 were only observed in the stifle and tarsus. Among the subsample, the overall agreement on the presence or absence of RFs was good (κ= 0.63; 95% Confidence Interval [CI], 0.56-0.69), and was excellent for the severity of RFs (weighted κ= 0.82; 95% CI, 0.75-0.87). Most disagreements involved RFs that scored 1. The fore fetlock and the carpus experienced the lowest agreement. The SSS was a stable and reliable procedure applicable to any RF on any limb joint of the horse. It will be of potential interest in clinical practice and in the pre-purchase evaluation of young horses and could also be used in additional studies on the evolution or risk factors of RFs. © 2013 Elsevier Ltd.","author":[{"dropping-particle":"","family":"Lepeule","given":"Johanna","non-dropping-particle":"","parse-names":false,"suffix":""},{"dropping-particle":"","family":"Robert","given":"Céline","non-dropping-particle":"","parse-names":false,"suffix":""},{"dropping-particle":"","family":"Bareille","given":"Nathalie","non-dropping-particle":"","parse-names":false,"suffix":""},{"dropping-particle":"","family":"Valette","given":"Jean Paul","non-dropping-particle":"","parse-names":false,"suffix":""},{"dropping-particle":"","family":"Jacquet","given":"Sandrine","non-dropping-particle":"","parse-names":false,"suffix":""},{"dropping-particle":"","family":"Seegers","given":"Henri","non-dropping-particle":"","parse-names":false,"suffix":""},{"dropping-particle":"","family":"Denoix","given":"Jean Marie","non-dropping-particle":"","parse-names":false,"suffix":""}],"container-title":"Veterinary Journal","id":"ITEM-2","issue":"1","issued":{"date-parts":[["2013"]]},"page":"52-57","publisher":"Elsevier Ltd","title":"A reliable severity scoring system for radiographic findings in the limbs of young horses","type":"article-journal","volume":"197"},"uris":["http://www.mendeley.com/documents/?uuid=9e305f34-53a6-4c9d-94cb-ce83899cd5d0"]},{"id":"ITEM-3","itemData":{"author":[{"dropping-particle":"","family":"Hauspie","given":"Stijn","non-dropping-particle":"","parse-names":false,"suffix":""}],"id":"ITEM-3","issued":{"date-parts":[["2012"]]},"title":"The proximal aspect of the dorsal condylar sagittal ridge and the adjacent soft tissues in the fetlock joint of the Warmblood horse :","type":"thesis"},"uris":["http://www.mendeley.com/documents/?uuid=ff480c98-925e-47bd-bb42-9896864901e4"]},{"id":"ITEM-4","itemData":{"DOI":"10.1111/vru.12620","ISSN":"17408261","abstract":"Radiographic flexor cortical lysis indicates advanced degenerative change and its earlier recognition may improve case outcome. Aims of this prospective, diagnostic accuracy study were to determine effects of radiographic beam angle and observer on accuracy of lesion detection. The sample included 36 limbs from 31 horses. Palmaroproximal–palmarodistal oblique (skyline) radiographs were acquired at standard (n = 38) and more shallow (alternate) angles (n = 58). Images were independently reviewed by four experience levels of five observers each (n = 20) for the presence and severity of flexor cortical lysis. Observers also reported their confidence in these answers. Responses were compared based on seeing a standard skyline or multiple projections. The definitive presence (or absence) and severity of lysis was based upon radiologist consensus agreement. When assessed by observer, the identification of lysis and the assessment of its severity was most similar to that of radiologists when observers of all levels of experience were able to view multiple skyline projections (P = 0.399, P = 0.174). Using multiple views to detect lysis resulted in improved sensitivity (85.3% vs. 97.2%, P &lt; 0.001), decreased specificity (82.8% vs. 74.5%, P = 0.03), and improved interobserver agreement (86.0% vs. 90.2%, P = 0.21). On average, observers of all levels of experience became more confident viewing multiple projections (P &lt; 0.001). Skyline radiographs using a flatter angle of incidence improve radiographic detection and characterization of flexor cortical lysis severity, may allow the beam to be tangential to the more distal portion of the navicular bone, and are recommended when flexor cortical lysis is suspected.","author":[{"dropping-particle":"","family":"Johnson","given":"Sherry A.","non-dropping-particle":"","parse-names":false,"suffix":""},{"dropping-particle":"","family":"Barrett","given":"Myra F.","non-dropping-particle":"","parse-names":false,"suffix":""},{"dropping-particle":"","family":"Frisbie","given":"David D.","non-dropping-particle":"","parse-names":false,"suffix":""}],"container-title":"Veterinary Radiology and Ultrasound","id":"ITEM-4","issue":"4","issued":{"date-parts":[["2018"]]},"page":"387-395","title":"Additional palmaroproximal–palmarodistal oblique radiographic projections improve accuracy of detection and characterization of equine flexor cortical lysis","type":"article-journal","volume":"59"},"uris":["http://www.mendeley.com/documents/?uuid=b6165818-50be-48df-a391-4ee819d36a98"]}],"mendeley":{"formattedCitation":"(20,25–27)","plainTextFormattedCitation":"(20,25–27)","previouslyFormattedCitation":"(20,25–27)"},"properties":{"noteIndex":0},"schema":"https://github.com/citation-style-language/schema/raw/master/csl-citation.json"}</w:instrText>
      </w:r>
      <w:r w:rsidRPr="00105869">
        <w:rPr>
          <w:lang w:val="en-GB"/>
        </w:rPr>
        <w:fldChar w:fldCharType="separate"/>
      </w:r>
      <w:r w:rsidR="009F0CC5" w:rsidRPr="009F0CC5">
        <w:rPr>
          <w:noProof/>
          <w:lang w:val="en-GB"/>
        </w:rPr>
        <w:t>(20,25–27)</w:t>
      </w:r>
      <w:r w:rsidRPr="00105869">
        <w:rPr>
          <w:lang w:val="en-GB"/>
        </w:rPr>
        <w:fldChar w:fldCharType="end"/>
      </w:r>
      <w:r w:rsidRPr="00105869">
        <w:rPr>
          <w:lang w:val="en-GB"/>
        </w:rPr>
        <w:t xml:space="preserve"> </w:t>
      </w:r>
      <w:r w:rsidR="00820633" w:rsidRPr="009D5563">
        <w:rPr>
          <w:lang w:val="en-GB"/>
        </w:rPr>
        <w:t>For grading of equine distal intertarsal joint only poor agreement was observed</w:t>
      </w:r>
      <w:r w:rsidR="00021951">
        <w:rPr>
          <w:lang w:val="en-GB"/>
        </w:rPr>
        <w:t xml:space="preserve">, agreement was improved when </w:t>
      </w:r>
      <w:r w:rsidR="008707FC">
        <w:rPr>
          <w:lang w:val="en-GB"/>
        </w:rPr>
        <w:t>descriptive terms were used rather than a grading scale</w:t>
      </w:r>
      <w:r w:rsidR="001A15BB" w:rsidRPr="00105869">
        <w:rPr>
          <w:lang w:val="en-GB"/>
        </w:rPr>
        <w:t>.</w:t>
      </w:r>
      <w:r w:rsidR="003501BF">
        <w:rPr>
          <w:lang w:val="en-GB"/>
        </w:rPr>
        <w:fldChar w:fldCharType="begin" w:fldLock="1"/>
      </w:r>
      <w:r w:rsidR="00B56CA6">
        <w:rPr>
          <w:lang w:val="en-GB"/>
        </w:rPr>
        <w:instrText>ADDIN CSL_CITATION {"citationItems":[{"id":"ITEM-1","itemData":{"DOI":"10.1111/j.1740-8261.2007.00230.x","ISSN":"10588183","PMID":"17508505","abstract":"Various radiographic rating scales have been described for use in horses with distal tarsal osteoarthritis but little information is available on their reliability. The aim of this study was to develop a radiographic rating scale based on the results of an expert consultation process (the Delphi process), and to test the reliability of the radiographic rating scale. Seven radiographic features were identified as important indicators of distal tarsal osteoarthritis and these were then incorporated in the radiographic rating scale, which used a 100-mm-long visual analog scale. On two occasions nine equine veterinarians applied the radiographic rating scale, and a verbal descriptive rating scale, to three sets of tarsal radiographs, each comprising four standard radiographic views. Reliability was assessed using Bland-Altman plots and by calculating the 95% agreement limits. Analysis of variance (ANOVA) was used to identify significant interactions between the ratings of different assessors made from different views and at each assessment. Rating of distal tarsal osteoarthritis was different for the nine assessors. The most precise second ratings were between 16mm higher and 18mm lower than the first. Significant variables were \"joint,\" \"assessor,\" and \"assessment\" (univariable ANOVA); and \"joint and assessor\" and \"assessor and assessment\" (multivariable ANOVA). The radiographic rating scale developed for interpretation of distal tarsal osteoarthritis was less reliable than a verbal descriptive rating scale.","author":[{"dropping-particle":"","family":"Labens","given":"Raphael","non-dropping-particle":"","parse-names":false,"suffix":""},{"dropping-particle":"","family":"Innocent","given":"Giles T.","non-dropping-particle":"","parse-names":false,"suffix":""},{"dropping-particle":"","family":"Voûte","given":"Lance C.","non-dropping-particle":"","parse-names":false,"suffix":""}],"container-title":"Veterinary Radiology and Ultrasound","id":"ITEM-1","issue":"3","issued":{"date-parts":[["2007"]]},"page":"204-211","title":"Reliability of a quantitative rating scale for assessment of horses with distal tarsal osteoarthritis","type":"article-journal","volume":"48"},"uris":["http://www.mendeley.com/documents/?uuid=dc03de75-ddad-455d-973d-72ea8f5338d6"]}],"mendeley":{"formattedCitation":"(28)","plainTextFormattedCitation":"(28)","previouslyFormattedCitation":"(28)"},"properties":{"noteIndex":0},"schema":"https://github.com/citation-style-language/schema/raw/master/csl-citation.json"}</w:instrText>
      </w:r>
      <w:r w:rsidR="003501BF">
        <w:rPr>
          <w:lang w:val="en-GB"/>
        </w:rPr>
        <w:fldChar w:fldCharType="separate"/>
      </w:r>
      <w:r w:rsidR="009F0CC5" w:rsidRPr="009F0CC5">
        <w:rPr>
          <w:noProof/>
          <w:lang w:val="en-GB"/>
        </w:rPr>
        <w:t>(28)</w:t>
      </w:r>
      <w:r w:rsidR="003501BF">
        <w:rPr>
          <w:lang w:val="en-GB"/>
        </w:rPr>
        <w:fldChar w:fldCharType="end"/>
      </w:r>
      <w:r w:rsidR="008707FC">
        <w:rPr>
          <w:lang w:val="en-GB"/>
        </w:rPr>
        <w:t xml:space="preserve"> </w:t>
      </w:r>
      <w:bookmarkStart w:id="20" w:name="OLE_LINK19"/>
      <w:bookmarkStart w:id="21" w:name="OLE_LINK20"/>
      <w:r w:rsidR="002C3097">
        <w:rPr>
          <w:lang w:val="en-GB"/>
        </w:rPr>
        <w:t xml:space="preserve">In the same study </w:t>
      </w:r>
      <w:r w:rsidR="004F10C0">
        <w:rPr>
          <w:lang w:val="en-GB"/>
        </w:rPr>
        <w:t xml:space="preserve">the </w:t>
      </w:r>
      <w:r w:rsidR="002C3097">
        <w:rPr>
          <w:lang w:val="en-GB"/>
        </w:rPr>
        <w:t>author also advised that in whatever type of</w:t>
      </w:r>
      <w:r w:rsidR="008707FC">
        <w:rPr>
          <w:lang w:val="en-GB"/>
        </w:rPr>
        <w:t xml:space="preserve"> grading scale is used</w:t>
      </w:r>
      <w:r w:rsidR="004F10C0">
        <w:rPr>
          <w:lang w:val="en-GB"/>
        </w:rPr>
        <w:t>,</w:t>
      </w:r>
      <w:r w:rsidR="008707FC">
        <w:rPr>
          <w:lang w:val="en-GB"/>
        </w:rPr>
        <w:t xml:space="preserve"> i</w:t>
      </w:r>
      <w:r w:rsidR="0081278C">
        <w:rPr>
          <w:lang w:val="en-GB"/>
        </w:rPr>
        <w:t>t</w:t>
      </w:r>
      <w:r w:rsidR="008707FC">
        <w:rPr>
          <w:lang w:val="en-GB"/>
        </w:rPr>
        <w:t xml:space="preserve"> should not provide more than five choices</w:t>
      </w:r>
      <w:r w:rsidR="004F10C0">
        <w:rPr>
          <w:lang w:val="en-GB"/>
        </w:rPr>
        <w:t>.</w:t>
      </w:r>
      <w:r w:rsidR="002C3097">
        <w:rPr>
          <w:lang w:val="en-GB"/>
        </w:rPr>
        <w:t xml:space="preserve"> </w:t>
      </w:r>
      <w:r w:rsidR="004F10C0">
        <w:rPr>
          <w:lang w:val="en-GB"/>
        </w:rPr>
        <w:t>N</w:t>
      </w:r>
      <w:r w:rsidR="002C3097">
        <w:rPr>
          <w:lang w:val="en-GB"/>
        </w:rPr>
        <w:t>ext to their results they also state that</w:t>
      </w:r>
      <w:r w:rsidR="004F10C0">
        <w:rPr>
          <w:lang w:val="en-GB"/>
        </w:rPr>
        <w:t xml:space="preserve"> </w:t>
      </w:r>
      <w:r w:rsidR="002C3097">
        <w:rPr>
          <w:lang w:val="en-GB"/>
        </w:rPr>
        <w:t xml:space="preserve">human literature revealed that radiographic changes of osteoarthritis consistent with mild and severe changes were more reliable assessed than moderate changes </w:t>
      </w:r>
      <w:r w:rsidR="008707FC">
        <w:rPr>
          <w:lang w:val="en-GB"/>
        </w:rPr>
        <w:t>.</w:t>
      </w:r>
      <w:r w:rsidRPr="00105869">
        <w:rPr>
          <w:lang w:val="en-GB"/>
        </w:rPr>
        <w:fldChar w:fldCharType="begin" w:fldLock="1"/>
      </w:r>
      <w:r w:rsidR="00B56CA6">
        <w:rPr>
          <w:lang w:val="en-GB"/>
        </w:rPr>
        <w:instrText>ADDIN CSL_CITATION {"citationItems":[{"id":"ITEM-1","itemData":{"DOI":"10.1111/j.1740-8261.2007.00230.x","ISSN":"10588183","PMID":"17508505","abstract":"Various radiographic rating scales have been described for use in horses with distal tarsal osteoarthritis but little information is available on their reliability. The aim of this study was to develop a radiographic rating scale based on the results of an expert consultation process (the Delphi process), and to test the reliability of the radiographic rating scale. Seven radiographic features were identified as important indicators of distal tarsal osteoarthritis and these were then incorporated in the radiographic rating scale, which used a 100-mm-long visual analog scale. On two occasions nine equine veterinarians applied the radiographic rating scale, and a verbal descriptive rating scale, to three sets of tarsal radiographs, each comprising four standard radiographic views. Reliability was assessed using Bland-Altman plots and by calculating the 95% agreement limits. Analysis of variance (ANOVA) was used to identify significant interactions between the ratings of different assessors made from different views and at each assessment. Rating of distal tarsal osteoarthritis was different for the nine assessors. The most precise second ratings were between 16mm higher and 18mm lower than the first. Significant variables were \"joint,\" \"assessor,\" and \"assessment\" (univariable ANOVA); and \"joint and assessor\" and \"assessor and assessment\" (multivariable ANOVA). The radiographic rating scale developed for interpretation of distal tarsal osteoarthritis was less reliable than a verbal descriptive rating scale.","author":[{"dropping-particle":"","family":"Labens","given":"Raphael","non-dropping-particle":"","parse-names":false,"suffix":""},{"dropping-particle":"","family":"Innocent","given":"Giles T.","non-dropping-particle":"","parse-names":false,"suffix":""},{"dropping-particle":"","family":"Voûte","given":"Lance C.","non-dropping-particle":"","parse-names":false,"suffix":""}],"container-title":"Veterinary Radiology and Ultrasound","id":"ITEM-1","issue":"3","issued":{"date-parts":[["2007"]]},"page":"204-211","title":"Reliability of a quantitative rating scale for assessment of horses with distal tarsal osteoarthritis","type":"article-journal","volume":"48"},"uris":["http://www.mendeley.com/documents/?uuid=dc03de75-ddad-455d-973d-72ea8f5338d6"]}],"mendeley":{"formattedCitation":"(28)","plainTextFormattedCitation":"(28)","previouslyFormattedCitation":"(28)"},"properties":{"noteIndex":0},"schema":"https://github.com/citation-style-language/schema/raw/master/csl-citation.json"}</w:instrText>
      </w:r>
      <w:r w:rsidRPr="00105869">
        <w:rPr>
          <w:lang w:val="en-GB"/>
        </w:rPr>
        <w:fldChar w:fldCharType="separate"/>
      </w:r>
      <w:r w:rsidR="009F0CC5" w:rsidRPr="009F0CC5">
        <w:rPr>
          <w:noProof/>
          <w:lang w:val="en-GB"/>
        </w:rPr>
        <w:t>(28)</w:t>
      </w:r>
      <w:r w:rsidRPr="00105869">
        <w:rPr>
          <w:lang w:val="en-GB"/>
        </w:rPr>
        <w:fldChar w:fldCharType="end"/>
      </w:r>
      <w:r w:rsidRPr="00105869">
        <w:rPr>
          <w:lang w:val="en-GB"/>
        </w:rPr>
        <w:t xml:space="preserve"> </w:t>
      </w:r>
      <w:r w:rsidR="008707FC">
        <w:rPr>
          <w:lang w:val="en-GB"/>
        </w:rPr>
        <w:t xml:space="preserve">This corresponds to the findings in the current study, where </w:t>
      </w:r>
      <w:r w:rsidR="004F10C0">
        <w:rPr>
          <w:lang w:val="en-GB"/>
        </w:rPr>
        <w:t xml:space="preserve">modelling along the margins consisted of </w:t>
      </w:r>
      <w:r w:rsidR="002F3AF8">
        <w:rPr>
          <w:lang w:val="en-GB"/>
        </w:rPr>
        <w:t>five</w:t>
      </w:r>
      <w:r w:rsidR="008707FC">
        <w:rPr>
          <w:lang w:val="en-GB"/>
        </w:rPr>
        <w:t xml:space="preserve"> choices resulted in poorer agreement</w:t>
      </w:r>
      <w:r w:rsidR="002C3097">
        <w:rPr>
          <w:lang w:val="en-GB"/>
        </w:rPr>
        <w:t xml:space="preserve"> in comparison </w:t>
      </w:r>
      <w:r w:rsidR="004F10C0">
        <w:rPr>
          <w:lang w:val="en-GB"/>
        </w:rPr>
        <w:t>other parameters with less choice</w:t>
      </w:r>
      <w:r w:rsidR="008707FC">
        <w:rPr>
          <w:lang w:val="en-GB"/>
        </w:rPr>
        <w:t xml:space="preserve">. </w:t>
      </w:r>
      <w:bookmarkEnd w:id="20"/>
      <w:bookmarkEnd w:id="21"/>
      <w:r w:rsidR="008F776F" w:rsidRPr="00105869">
        <w:rPr>
          <w:lang w:val="en-GB"/>
        </w:rPr>
        <w:t>Other studies showed i</w:t>
      </w:r>
      <w:r w:rsidRPr="00105869">
        <w:rPr>
          <w:lang w:val="en-GB"/>
        </w:rPr>
        <w:t xml:space="preserve">nter- and intra-observer </w:t>
      </w:r>
      <w:r w:rsidR="00820633">
        <w:rPr>
          <w:lang w:val="en-GB"/>
        </w:rPr>
        <w:t xml:space="preserve">agreement </w:t>
      </w:r>
      <w:r w:rsidRPr="00105869">
        <w:rPr>
          <w:lang w:val="en-GB"/>
        </w:rPr>
        <w:t>is depend</w:t>
      </w:r>
      <w:r w:rsidR="007E120E">
        <w:rPr>
          <w:lang w:val="en-GB"/>
        </w:rPr>
        <w:t>ing</w:t>
      </w:r>
      <w:r w:rsidRPr="00105869">
        <w:rPr>
          <w:lang w:val="en-GB"/>
        </w:rPr>
        <w:t xml:space="preserve"> on the evaluated radiographic parameters</w:t>
      </w:r>
      <w:r w:rsidR="00DF0A04">
        <w:rPr>
          <w:lang w:val="en-GB"/>
        </w:rPr>
        <w:t xml:space="preserve">, </w:t>
      </w:r>
      <w:proofErr w:type="gramStart"/>
      <w:r w:rsidR="00DF0A04">
        <w:rPr>
          <w:lang w:val="en-GB"/>
        </w:rPr>
        <w:t>i.e.</w:t>
      </w:r>
      <w:proofErr w:type="gramEnd"/>
      <w:r w:rsidR="00DF0A04">
        <w:rPr>
          <w:lang w:val="en-GB"/>
        </w:rPr>
        <w:t xml:space="preserve"> </w:t>
      </w:r>
      <w:r w:rsidR="00C66671">
        <w:rPr>
          <w:lang w:val="en-GB"/>
        </w:rPr>
        <w:t>of the navicular bone</w:t>
      </w:r>
      <w:r w:rsidRPr="00105869">
        <w:rPr>
          <w:lang w:val="en-GB"/>
        </w:rPr>
        <w:t xml:space="preserve">. </w:t>
      </w:r>
      <w:r w:rsidR="008F776F" w:rsidRPr="00105869">
        <w:rPr>
          <w:lang w:val="en-GB"/>
        </w:rPr>
        <w:t xml:space="preserve">For </w:t>
      </w:r>
      <w:r w:rsidR="00820633">
        <w:rPr>
          <w:lang w:val="en-GB"/>
        </w:rPr>
        <w:t>instance</w:t>
      </w:r>
      <w:r w:rsidR="008F776F" w:rsidRPr="00105869">
        <w:rPr>
          <w:lang w:val="en-GB"/>
        </w:rPr>
        <w:t>, a</w:t>
      </w:r>
      <w:r w:rsidRPr="00105869">
        <w:rPr>
          <w:lang w:val="en-GB"/>
        </w:rPr>
        <w:t>greement on presence of distal border fragments or sclerosis of the spongiosa was poor whereas enthesophyte or osteophyte formation along the navicular bone margin was almost perfect</w:t>
      </w:r>
      <w:r w:rsidR="001A15BB" w:rsidRPr="00105869">
        <w:rPr>
          <w:lang w:val="en-GB"/>
        </w:rPr>
        <w:t>.</w:t>
      </w:r>
      <w:r w:rsidR="008F776F" w:rsidRPr="00105869">
        <w:rPr>
          <w:lang w:val="en-GB"/>
        </w:rPr>
        <w:fldChar w:fldCharType="begin" w:fldLock="1"/>
      </w:r>
      <w:r w:rsidR="00B56CA6">
        <w:rPr>
          <w:lang w:val="en-GB"/>
        </w:rPr>
        <w:instrText>ADDIN CSL_CITATION {"citationItems":[{"id":"ITEM-1","itemData":{"DOI":"10.2746/042516408X345125","ISBN":"042516408X","ISSN":"04251644","PMID":"19418739","abstract":"Reasons for performing study: Criteria for the radiographic evaluation of navicular bones in horses have been published to standardise classification of radiographic signs. However, intra- and interobserver agreement have not been established. Objective: To determine intra- and interobserver agreement in the evaluation of radiographic and computed tomographic (CT) navicular changes. It was hypothesised that: 1) intraobserver agreement would be better than interobserver agreement; 2) agreement would be better for CT than for radiography; and 3) pathological changes would be recognised with greater certainty with CT. Methods: Radiographs and CT scans of 60 cadaver navicular bones were evaluated by 3 observers using published criteria. A subset of 30 studies was evaluated twice by one observer. Agreement was tested using the kappa statistic. Certainty about pathological changes was evaluated by giving the observers the option to choose 'not sure'. Results: Agreement varied from poor to almost perfect for radiographic evaluation and from poor to substantial for CT evaluation. For radiographic evaluation mean interobserver agreement was fair, as it was for CT evaluation. For radiographic evaluation mean intraobserver agreement was moderate as it was for CT evaluation. Pathological changes were evaluated with greater certainty on CT scans compared to radiographs; however, this was not associated with improved agreement. Conclusions: Variations in classification of navicular lesions in radiographic and CT studies were considerable between and within observers and challenge the use of such studies for diagnostic and prognostic purposes. Potential relevance: The results of this study allowed the identification of evaluation criteria with sufficient precision to be useful for navicular bone evaluation.","author":[{"dropping-particle":"","family":"Groth","given":"A. M.","non-dropping-particle":"","parse-names":false,"suffix":""},{"dropping-particle":"","family":"May","given":"S. A.","non-dropping-particle":"","parse-names":false,"suffix":""},{"dropping-particle":"","family":"Weaver","given":"M. P.","non-dropping-particle":"","parse-names":false,"suffix":""},{"dropping-particle":"","family":"Weller","given":"R.","non-dropping-particle":"","parse-names":false,"suffix":""}],"container-title":"Equine Veterinary Journal","id":"ITEM-1","issue":"2","issued":{"date-parts":[["2009"]]},"page":"124-129","title":"Intra- and interobserver agreement in the interpretation of navicular bones on radiographs and computed tomography scans","type":"article-journal","volume":"41"},"uris":["http://www.mendeley.com/documents/?uuid=046df5bf-0366-41ed-950e-55758d595766"]}],"mendeley":{"formattedCitation":"(29)","plainTextFormattedCitation":"(29)","previouslyFormattedCitation":"(29)"},"properties":{"noteIndex":0},"schema":"https://github.com/citation-style-language/schema/raw/master/csl-citation.json"}</w:instrText>
      </w:r>
      <w:r w:rsidR="008F776F" w:rsidRPr="00105869">
        <w:rPr>
          <w:lang w:val="en-GB"/>
        </w:rPr>
        <w:fldChar w:fldCharType="separate"/>
      </w:r>
      <w:r w:rsidR="009F0CC5" w:rsidRPr="009F0CC5">
        <w:rPr>
          <w:noProof/>
          <w:lang w:val="en-GB"/>
        </w:rPr>
        <w:t>(29)</w:t>
      </w:r>
      <w:r w:rsidR="008F776F" w:rsidRPr="00105869">
        <w:rPr>
          <w:lang w:val="en-GB"/>
        </w:rPr>
        <w:fldChar w:fldCharType="end"/>
      </w:r>
      <w:r w:rsidRPr="00105869">
        <w:rPr>
          <w:lang w:val="en-GB"/>
        </w:rPr>
        <w:t xml:space="preserve"> This variance is similar to what was found in </w:t>
      </w:r>
      <w:r w:rsidR="00C31BD3">
        <w:rPr>
          <w:lang w:val="en-GB"/>
        </w:rPr>
        <w:t>the current</w:t>
      </w:r>
      <w:r w:rsidR="00C31BD3" w:rsidRPr="00105869">
        <w:rPr>
          <w:lang w:val="en-GB"/>
        </w:rPr>
        <w:t xml:space="preserve"> </w:t>
      </w:r>
      <w:r w:rsidRPr="00105869">
        <w:rPr>
          <w:lang w:val="en-GB"/>
        </w:rPr>
        <w:t>study</w:t>
      </w:r>
      <w:r w:rsidR="00F44266" w:rsidRPr="00105869">
        <w:rPr>
          <w:lang w:val="en-GB"/>
        </w:rPr>
        <w:t xml:space="preserve"> and is associated with the subjective interpretation </w:t>
      </w:r>
      <w:r w:rsidR="004F5771">
        <w:rPr>
          <w:lang w:val="en-GB"/>
        </w:rPr>
        <w:t xml:space="preserve">rather than a measured interpretation </w:t>
      </w:r>
      <w:r w:rsidR="00F44266" w:rsidRPr="00105869">
        <w:rPr>
          <w:lang w:val="en-GB"/>
        </w:rPr>
        <w:t>o</w:t>
      </w:r>
      <w:r w:rsidR="004F5771">
        <w:rPr>
          <w:lang w:val="en-GB"/>
        </w:rPr>
        <w:t>f</w:t>
      </w:r>
      <w:r w:rsidR="00C31BD3">
        <w:rPr>
          <w:lang w:val="en-GB"/>
        </w:rPr>
        <w:t xml:space="preserve"> </w:t>
      </w:r>
      <w:r w:rsidR="004F5771">
        <w:rPr>
          <w:lang w:val="en-GB"/>
        </w:rPr>
        <w:t xml:space="preserve">some of those </w:t>
      </w:r>
      <w:r w:rsidR="00C31BD3">
        <w:rPr>
          <w:lang w:val="en-GB"/>
        </w:rPr>
        <w:t>parameters.</w:t>
      </w:r>
    </w:p>
    <w:p w14:paraId="3E647795" w14:textId="77777777" w:rsidR="0073271D" w:rsidRPr="00105869" w:rsidRDefault="0073271D" w:rsidP="005B693E">
      <w:pPr>
        <w:spacing w:line="480" w:lineRule="auto"/>
        <w:rPr>
          <w:lang w:val="en-GB"/>
        </w:rPr>
      </w:pPr>
    </w:p>
    <w:p w14:paraId="26454B5C" w14:textId="19BCBABB" w:rsidR="00E175D3" w:rsidRPr="00105869" w:rsidRDefault="00E175D3" w:rsidP="00C666E4">
      <w:pPr>
        <w:widowControl w:val="0"/>
        <w:autoSpaceDE w:val="0"/>
        <w:autoSpaceDN w:val="0"/>
        <w:adjustRightInd w:val="0"/>
        <w:spacing w:after="240" w:line="480" w:lineRule="auto"/>
        <w:rPr>
          <w:lang w:val="en-GB"/>
        </w:rPr>
      </w:pPr>
      <w:r w:rsidRPr="00105869">
        <w:rPr>
          <w:lang w:val="en-GB"/>
        </w:rPr>
        <w:t xml:space="preserve">Ultimately, a reliable scoring system </w:t>
      </w:r>
      <w:r w:rsidR="004F5771">
        <w:rPr>
          <w:lang w:val="en-GB"/>
        </w:rPr>
        <w:t xml:space="preserve">should comprise a grading </w:t>
      </w:r>
      <w:r w:rsidR="008707FC">
        <w:rPr>
          <w:lang w:val="en-GB"/>
        </w:rPr>
        <w:t>scale</w:t>
      </w:r>
      <w:r w:rsidR="004F5771">
        <w:rPr>
          <w:lang w:val="en-GB"/>
        </w:rPr>
        <w:t xml:space="preserve"> </w:t>
      </w:r>
      <w:r w:rsidRPr="00105869">
        <w:rPr>
          <w:lang w:val="en-GB"/>
        </w:rPr>
        <w:t>which could be used by equine veterinarians with different levels of experience</w:t>
      </w:r>
      <w:r w:rsidR="004F5771">
        <w:rPr>
          <w:lang w:val="en-GB"/>
        </w:rPr>
        <w:t>. It should be appropriate for</w:t>
      </w:r>
      <w:r w:rsidR="007354FB">
        <w:rPr>
          <w:lang w:val="en-GB"/>
        </w:rPr>
        <w:t xml:space="preserve"> </w:t>
      </w:r>
      <w:r w:rsidRPr="00105869">
        <w:rPr>
          <w:lang w:val="en-GB"/>
        </w:rPr>
        <w:t>PPE</w:t>
      </w:r>
      <w:r w:rsidR="004F5771">
        <w:rPr>
          <w:lang w:val="en-GB"/>
        </w:rPr>
        <w:t xml:space="preserve">, </w:t>
      </w:r>
      <w:r w:rsidR="008707FC">
        <w:rPr>
          <w:lang w:val="en-GB"/>
        </w:rPr>
        <w:t>for use</w:t>
      </w:r>
      <w:r w:rsidR="007354FB">
        <w:rPr>
          <w:lang w:val="en-GB"/>
        </w:rPr>
        <w:t xml:space="preserve"> </w:t>
      </w:r>
      <w:r w:rsidR="004F5771">
        <w:rPr>
          <w:lang w:val="en-GB"/>
        </w:rPr>
        <w:t xml:space="preserve">in </w:t>
      </w:r>
      <w:r w:rsidR="008707FC">
        <w:rPr>
          <w:lang w:val="en-GB"/>
        </w:rPr>
        <w:t>scientific</w:t>
      </w:r>
      <w:r w:rsidR="004F5771">
        <w:rPr>
          <w:lang w:val="en-GB"/>
        </w:rPr>
        <w:t xml:space="preserve"> studies</w:t>
      </w:r>
      <w:r w:rsidRPr="00105869">
        <w:rPr>
          <w:lang w:val="en-GB"/>
        </w:rPr>
        <w:t xml:space="preserve"> and for clinical follow-up. The multigrade single parameter scoring system </w:t>
      </w:r>
      <w:r w:rsidR="007E120E">
        <w:rPr>
          <w:lang w:val="en-GB"/>
        </w:rPr>
        <w:t>in</w:t>
      </w:r>
      <w:r w:rsidR="007E120E" w:rsidRPr="00105869">
        <w:rPr>
          <w:lang w:val="en-GB"/>
        </w:rPr>
        <w:t xml:space="preserve"> </w:t>
      </w:r>
      <w:r w:rsidRPr="00105869">
        <w:rPr>
          <w:lang w:val="en-GB"/>
        </w:rPr>
        <w:t xml:space="preserve">the current study resulted in </w:t>
      </w:r>
      <w:r w:rsidR="00216796" w:rsidRPr="00105869">
        <w:rPr>
          <w:lang w:val="en-GB"/>
        </w:rPr>
        <w:t xml:space="preserve">moderate agreement amongst more experienced observers but in </w:t>
      </w:r>
      <w:r w:rsidRPr="00105869">
        <w:rPr>
          <w:lang w:val="en-GB"/>
        </w:rPr>
        <w:t>a poor agreement for less experienced veterinarians</w:t>
      </w:r>
      <w:r w:rsidR="004F5771">
        <w:rPr>
          <w:lang w:val="en-GB"/>
        </w:rPr>
        <w:t xml:space="preserve">. </w:t>
      </w:r>
      <w:r w:rsidRPr="00105869">
        <w:rPr>
          <w:lang w:val="en-GB"/>
        </w:rPr>
        <w:t xml:space="preserve">This </w:t>
      </w:r>
      <w:r w:rsidR="00216796" w:rsidRPr="00105869">
        <w:rPr>
          <w:lang w:val="en-GB"/>
        </w:rPr>
        <w:t>finding is</w:t>
      </w:r>
      <w:r w:rsidRPr="00105869">
        <w:rPr>
          <w:lang w:val="en-GB"/>
        </w:rPr>
        <w:t xml:space="preserve"> </w:t>
      </w:r>
      <w:r w:rsidR="004D5ED9">
        <w:rPr>
          <w:lang w:val="en-GB"/>
        </w:rPr>
        <w:lastRenderedPageBreak/>
        <w:t>unsurprising</w:t>
      </w:r>
      <w:r w:rsidR="0082034D">
        <w:rPr>
          <w:lang w:val="en-GB"/>
        </w:rPr>
        <w:t xml:space="preserve"> in the opinion of the authors </w:t>
      </w:r>
      <w:r w:rsidR="00426BF0" w:rsidRPr="00105869">
        <w:rPr>
          <w:lang w:val="en-GB"/>
        </w:rPr>
        <w:t xml:space="preserve">and is </w:t>
      </w:r>
      <w:r w:rsidR="008707FC">
        <w:rPr>
          <w:lang w:val="en-GB"/>
        </w:rPr>
        <w:t>supported by</w:t>
      </w:r>
      <w:r w:rsidR="00426BF0" w:rsidRPr="00105869">
        <w:rPr>
          <w:lang w:val="en-GB"/>
        </w:rPr>
        <w:t xml:space="preserve"> a study performed on additional radiographs o</w:t>
      </w:r>
      <w:r w:rsidR="008F776F" w:rsidRPr="00105869">
        <w:rPr>
          <w:lang w:val="en-GB"/>
        </w:rPr>
        <w:t>f</w:t>
      </w:r>
      <w:r w:rsidR="00426BF0" w:rsidRPr="00105869">
        <w:rPr>
          <w:lang w:val="en-GB"/>
        </w:rPr>
        <w:t xml:space="preserve"> the navicular bone</w:t>
      </w:r>
      <w:r w:rsidR="008F776F" w:rsidRPr="00105869">
        <w:rPr>
          <w:lang w:val="en-GB"/>
        </w:rPr>
        <w:t xml:space="preserve"> and grading the cervical spine</w:t>
      </w:r>
      <w:r w:rsidR="001A15BB" w:rsidRPr="00105869">
        <w:rPr>
          <w:lang w:val="en-GB"/>
        </w:rPr>
        <w:t>.</w:t>
      </w:r>
      <w:r w:rsidR="00426BF0" w:rsidRPr="00105869">
        <w:rPr>
          <w:lang w:val="en-GB"/>
        </w:rPr>
        <w:fldChar w:fldCharType="begin" w:fldLock="1"/>
      </w:r>
      <w:r w:rsidR="00B56CA6">
        <w:rPr>
          <w:lang w:val="en-GB"/>
        </w:rPr>
        <w:instrText>ADDIN CSL_CITATION {"citationItems":[{"id":"ITEM-1","itemData":{"DOI":"10.1111/vru.12620","ISSN":"17408261","abstract":"Radiographic flexor cortical lysis indicates advanced degenerative change and its earlier recognition may improve case outcome. Aims of this prospective, diagnostic accuracy study were to determine effects of radiographic beam angle and observer on accuracy of lesion detection. The sample included 36 limbs from 31 horses. Palmaroproximal–palmarodistal oblique (skyline) radiographs were acquired at standard (n = 38) and more shallow (alternate) angles (n = 58). Images were independently reviewed by four experience levels of five observers each (n = 20) for the presence and severity of flexor cortical lysis. Observers also reported their confidence in these answers. Responses were compared based on seeing a standard skyline or multiple projections. The definitive presence (or absence) and severity of lysis was based upon radiologist consensus agreement. When assessed by observer, the identification of lysis and the assessment of its severity was most similar to that of radiologists when observers of all levels of experience were able to view multiple skyline projections (P = 0.399, P = 0.174). Using multiple views to detect lysis resulted in improved sensitivity (85.3% vs. 97.2%, P &lt; 0.001), decreased specificity (82.8% vs. 74.5%, P = 0.03), and improved interobserver agreement (86.0% vs. 90.2%, P = 0.21). On average, observers of all levels of experience became more confident viewing multiple projections (P &lt; 0.001). Skyline radiographs using a flatter angle of incidence improve radiographic detection and characterization of flexor cortical lysis severity, may allow the beam to be tangential to the more distal portion of the navicular bone, and are recommended when flexor cortical lysis is suspected.","author":[{"dropping-particle":"","family":"Johnson","given":"Sherry A.","non-dropping-particle":"","parse-names":false,"suffix":""},{"dropping-particle":"","family":"Barrett","given":"Myra F.","non-dropping-particle":"","parse-names":false,"suffix":""},{"dropping-particle":"","family":"Frisbie","given":"David D.","non-dropping-particle":"","parse-names":false,"suffix":""}],"container-title":"Veterinary Radiology and Ultrasound","id":"ITEM-1","issue":"4","issued":{"date-parts":[["2018"]]},"page":"387-395","title":"Additional palmaroproximal–palmarodistal oblique radiographic projections improve accuracy of detection and characterization of equine flexor cortical lysis","type":"article-journal","volume":"59"},"uris":["http://www.mendeley.com/documents/?uuid=b6165818-50be-48df-a391-4ee819d36a98"]},{"id":"ITEM-2","itemData":{"DOI":"10.1111/evj.13383","ISSN":"0425-1644","PMID":"33174228","author":[{"dropping-particle":"","family":"Espinosa‐Mur","given":"Pablo","non-dropping-particle":"","parse-names":false,"suffix":""},{"dropping-particle":"","family":"Phillips","given":"Kathryn L.","non-dropping-particle":"","parse-names":false,"suffix":""},{"dropping-particle":"","family":"Galuppo","given":"Larry D.","non-dropping-particle":"","parse-names":false,"suffix":""},{"dropping-particle":"","family":"DeRouen","given":"Anthony","non-dropping-particle":"","parse-names":false,"suffix":""},{"dropping-particle":"","family":"Benoit","given":"Philippe","non-dropping-particle":"","parse-names":false,"suffix":""},{"dropping-particle":"","family":"Anderson","given":"Eleanor","non-dropping-particle":"","parse-names":false,"suffix":""},{"dropping-particle":"","family":"Shaw","given":"Karen","non-dropping-particle":"","parse-names":false,"suffix":""},{"dropping-particle":"","family":"Puchalski","given":"Sarah","non-dropping-particle":"","parse-names":false,"suffix":""},{"dropping-particle":"","family":"Peters","given":"Duncan","non-dropping-particle":"","parse-names":false,"suffix":""},{"dropping-particle":"","family":"Kass","given":"Philip H.","non-dropping-particle":"","parse-names":false,"suffix":""},{"dropping-particle":"","family":"Spriet","given":"Mathieu","non-dropping-particle":"","parse-names":false,"suffix":""}],"container-title":"Equine Veterinary Journal","id":"ITEM-2","issue":"March","issued":{"date-parts":[["2020"]]},"page":"1-7","title":"Radiological prevalence of osteoarthritis of the cervical region in 104 performing warmblood jumpers","type":"article-journal"},"uris":["http://www.mendeley.com/documents/?uuid=61652ae1-e87a-4ffa-b0bb-22a10091b977"]}],"mendeley":{"formattedCitation":"(27,30)","plainTextFormattedCitation":"(27,30)","previouslyFormattedCitation":"(27,30)"},"properties":{"noteIndex":0},"schema":"https://github.com/citation-style-language/schema/raw/master/csl-citation.json"}</w:instrText>
      </w:r>
      <w:r w:rsidR="00426BF0" w:rsidRPr="00105869">
        <w:rPr>
          <w:lang w:val="en-GB"/>
        </w:rPr>
        <w:fldChar w:fldCharType="separate"/>
      </w:r>
      <w:r w:rsidR="009F0CC5" w:rsidRPr="009F0CC5">
        <w:rPr>
          <w:noProof/>
          <w:lang w:val="en-GB"/>
        </w:rPr>
        <w:t>(27,30)</w:t>
      </w:r>
      <w:r w:rsidR="00426BF0" w:rsidRPr="00105869">
        <w:rPr>
          <w:lang w:val="en-GB"/>
        </w:rPr>
        <w:fldChar w:fldCharType="end"/>
      </w:r>
      <w:r w:rsidR="00216796" w:rsidRPr="00105869">
        <w:rPr>
          <w:lang w:val="en-GB"/>
        </w:rPr>
        <w:t xml:space="preserve"> T</w:t>
      </w:r>
      <w:r w:rsidRPr="00105869">
        <w:rPr>
          <w:lang w:val="en-GB"/>
        </w:rPr>
        <w:t>he wide variety of radiographic abnormalities</w:t>
      </w:r>
      <w:r w:rsidR="00216796" w:rsidRPr="00105869">
        <w:rPr>
          <w:lang w:val="en-GB"/>
        </w:rPr>
        <w:t xml:space="preserve"> in association </w:t>
      </w:r>
      <w:r w:rsidR="00CB1322">
        <w:rPr>
          <w:lang w:val="en-GB"/>
        </w:rPr>
        <w:t xml:space="preserve">with difficulty of obtaining standardized radiographs (due to major differences in radiographic techniques and horses’ conformation leading to compositional artefacts), image distortion </w:t>
      </w:r>
      <w:r w:rsidR="00224567" w:rsidRPr="00105869">
        <w:rPr>
          <w:lang w:val="en-GB"/>
        </w:rPr>
        <w:t xml:space="preserve">and no possibility for orthogonal projections </w:t>
      </w:r>
      <w:r w:rsidR="00216796" w:rsidRPr="00105869">
        <w:rPr>
          <w:lang w:val="en-GB"/>
        </w:rPr>
        <w:t>may results in different interpretations of alterations</w:t>
      </w:r>
      <w:r w:rsidR="008F776F" w:rsidRPr="00105869">
        <w:rPr>
          <w:lang w:val="en-GB"/>
        </w:rPr>
        <w:t xml:space="preserve"> as similarly found </w:t>
      </w:r>
      <w:r w:rsidR="00820633">
        <w:rPr>
          <w:lang w:val="en-GB"/>
        </w:rPr>
        <w:t>in other studies</w:t>
      </w:r>
      <w:r w:rsidR="001A15BB" w:rsidRPr="00105869">
        <w:rPr>
          <w:lang w:val="en-GB"/>
        </w:rPr>
        <w:t>.</w:t>
      </w:r>
      <w:r w:rsidR="00224567" w:rsidRPr="00105869">
        <w:rPr>
          <w:lang w:val="en-GB"/>
        </w:rPr>
        <w:fldChar w:fldCharType="begin" w:fldLock="1"/>
      </w:r>
      <w:r w:rsidR="00B56CA6">
        <w:rPr>
          <w:lang w:val="en-GB"/>
        </w:rPr>
        <w:instrText>ADDIN CSL_CITATION {"citationItems":[{"id":"ITEM-1","itemData":{"DOI":"10.1111/evj.13383","ISSN":"0425-1644","PMID":"33174228","author":[{"dropping-particle":"","family":"Espinosa‐Mur","given":"Pablo","non-dropping-particle":"","parse-names":false,"suffix":""},{"dropping-particle":"","family":"Phillips","given":"Kathryn L.","non-dropping-particle":"","parse-names":false,"suffix":""},{"dropping-particle":"","family":"Galuppo","given":"Larry D.","non-dropping-particle":"","parse-names":false,"suffix":""},{"dropping-particle":"","family":"DeRouen","given":"Anthony","non-dropping-particle":"","parse-names":false,"suffix":""},{"dropping-particle":"","family":"Benoit","given":"Philippe","non-dropping-particle":"","parse-names":false,"suffix":""},{"dropping-particle":"","family":"Anderson","given":"Eleanor","non-dropping-particle":"","parse-names":false,"suffix":""},{"dropping-particle":"","family":"Shaw","given":"Karen","non-dropping-particle":"","parse-names":false,"suffix":""},{"dropping-particle":"","family":"Puchalski","given":"Sarah","non-dropping-particle":"","parse-names":false,"suffix":""},{"dropping-particle":"","family":"Peters","given":"Duncan","non-dropping-particle":"","parse-names":false,"suffix":""},{"dropping-particle":"","family":"Kass","given":"Philip H.","non-dropping-particle":"","parse-names":false,"suffix":""},{"dropping-particle":"","family":"Spriet","given":"Mathieu","non-dropping-particle":"","parse-names":false,"suffix":""}],"container-title":"Equine Veterinary Journal","id":"ITEM-1","issue":"March","issued":{"date-parts":[["2020"]]},"page":"1-7","title":"Radiological prevalence of osteoarthritis of the cervical region in 104 performing warmblood jumpers","type":"article-journal"},"uris":["http://www.mendeley.com/documents/?uuid=61652ae1-e87a-4ffa-b0bb-22a10091b977"]},{"id":"ITEM-2","itemData":{"DOI":"10.1111/vru.12620","ISSN":"17408261","abstract":"Radiographic flexor cortical lysis indicates advanced degenerative change and its earlier recognition may improve case outcome. Aims of this prospective, diagnostic accuracy study were to determine effects of radiographic beam angle and observer on accuracy of lesion detection. The sample included 36 limbs from 31 horses. Palmaroproximal–palmarodistal oblique (skyline) radiographs were acquired at standard (n = 38) and more shallow (alternate) angles (n = 58). Images were independently reviewed by four experience levels of five observers each (n = 20) for the presence and severity of flexor cortical lysis. Observers also reported their confidence in these answers. Responses were compared based on seeing a standard skyline or multiple projections. The definitive presence (or absence) and severity of lysis was based upon radiologist consensus agreement. When assessed by observer, the identification of lysis and the assessment of its severity was most similar to that of radiologists when observers of all levels of experience were able to view multiple skyline projections (P = 0.399, P = 0.174). Using multiple views to detect lysis resulted in improved sensitivity (85.3% vs. 97.2%, P &lt; 0.001), decreased specificity (82.8% vs. 74.5%, P = 0.03), and improved interobserver agreement (86.0% vs. 90.2%, P = 0.21). On average, observers of all levels of experience became more confident viewing multiple projections (P &lt; 0.001). Skyline radiographs using a flatter angle of incidence improve radiographic detection and characterization of flexor cortical lysis severity, may allow the beam to be tangential to the more distal portion of the navicular bone, and are recommended when flexor cortical lysis is suspected.","author":[{"dropping-particle":"","family":"Johnson","given":"Sherry A.","non-dropping-particle":"","parse-names":false,"suffix":""},{"dropping-particle":"","family":"Barrett","given":"Myra F.","non-dropping-particle":"","parse-names":false,"suffix":""},{"dropping-particle":"","family":"Frisbie","given":"David D.","non-dropping-particle":"","parse-names":false,"suffix":""}],"container-title":"Veterinary Radiology and Ultrasound","id":"ITEM-2","issue":"4","issued":{"date-parts":[["2018"]]},"page":"387-395","title":"Additional palmaroproximal–palmarodistal oblique radiographic projections improve accuracy of detection and characterization of equine flexor cortical lysis","type":"article-journal","volume":"59"},"uris":["http://www.mendeley.com/documents/?uuid=b6165818-50be-48df-a391-4ee819d36a98"]}],"mendeley":{"formattedCitation":"(27,30)","plainTextFormattedCitation":"(27,30)","previouslyFormattedCitation":"(27,30)"},"properties":{"noteIndex":0},"schema":"https://github.com/citation-style-language/schema/raw/master/csl-citation.json"}</w:instrText>
      </w:r>
      <w:r w:rsidR="00224567" w:rsidRPr="00105869">
        <w:rPr>
          <w:lang w:val="en-GB"/>
        </w:rPr>
        <w:fldChar w:fldCharType="separate"/>
      </w:r>
      <w:r w:rsidR="009F0CC5" w:rsidRPr="009F0CC5">
        <w:rPr>
          <w:noProof/>
          <w:lang w:val="en-GB"/>
        </w:rPr>
        <w:t>(27,30)</w:t>
      </w:r>
      <w:r w:rsidR="00224567" w:rsidRPr="00105869">
        <w:rPr>
          <w:lang w:val="en-GB"/>
        </w:rPr>
        <w:fldChar w:fldCharType="end"/>
      </w:r>
      <w:r w:rsidR="00C31BD3">
        <w:rPr>
          <w:lang w:val="en-GB"/>
        </w:rPr>
        <w:t>.</w:t>
      </w:r>
      <w:r w:rsidRPr="00105869">
        <w:rPr>
          <w:lang w:val="en-GB"/>
        </w:rPr>
        <w:t xml:space="preserve"> </w:t>
      </w:r>
      <w:r w:rsidR="004D5ED9">
        <w:rPr>
          <w:lang w:val="en-GB"/>
        </w:rPr>
        <w:t xml:space="preserve">Therefore, </w:t>
      </w:r>
      <w:r w:rsidRPr="00105869">
        <w:rPr>
          <w:lang w:val="en-GB"/>
        </w:rPr>
        <w:t>a new</w:t>
      </w:r>
      <w:r w:rsidR="004D5ED9">
        <w:rPr>
          <w:lang w:val="en-GB"/>
        </w:rPr>
        <w:t xml:space="preserve"> simple and more repeatable</w:t>
      </w:r>
      <w:r w:rsidRPr="00105869">
        <w:rPr>
          <w:lang w:val="en-GB"/>
        </w:rPr>
        <w:t xml:space="preserve"> scoring system </w:t>
      </w:r>
      <w:r w:rsidR="004D5ED9">
        <w:rPr>
          <w:lang w:val="en-GB"/>
        </w:rPr>
        <w:t>with</w:t>
      </w:r>
      <w:r w:rsidRPr="00105869">
        <w:rPr>
          <w:lang w:val="en-GB"/>
        </w:rPr>
        <w:t xml:space="preserve"> </w:t>
      </w:r>
      <w:r w:rsidR="00426BF0" w:rsidRPr="00105869">
        <w:rPr>
          <w:lang w:val="en-GB"/>
        </w:rPr>
        <w:t>train</w:t>
      </w:r>
      <w:r w:rsidR="0082034D">
        <w:rPr>
          <w:lang w:val="en-GB"/>
        </w:rPr>
        <w:t>ing</w:t>
      </w:r>
      <w:r w:rsidR="00426BF0" w:rsidRPr="00105869">
        <w:rPr>
          <w:lang w:val="en-GB"/>
        </w:rPr>
        <w:t xml:space="preserve"> before usage in the field</w:t>
      </w:r>
      <w:r w:rsidR="004D5ED9">
        <w:rPr>
          <w:lang w:val="en-GB"/>
        </w:rPr>
        <w:t xml:space="preserve"> </w:t>
      </w:r>
      <w:r w:rsidR="0082034D">
        <w:rPr>
          <w:lang w:val="en-GB"/>
        </w:rPr>
        <w:t>needs to be</w:t>
      </w:r>
      <w:r w:rsidR="004D5ED9">
        <w:rPr>
          <w:lang w:val="en-GB"/>
        </w:rPr>
        <w:t xml:space="preserve"> developed </w:t>
      </w:r>
      <w:r w:rsidR="0082034D">
        <w:rPr>
          <w:lang w:val="en-GB"/>
        </w:rPr>
        <w:t>for</w:t>
      </w:r>
      <w:r w:rsidR="004D5ED9">
        <w:rPr>
          <w:lang w:val="en-GB"/>
        </w:rPr>
        <w:t xml:space="preserve"> future</w:t>
      </w:r>
      <w:r w:rsidR="0082034D">
        <w:rPr>
          <w:lang w:val="en-GB"/>
        </w:rPr>
        <w:t xml:space="preserve"> use</w:t>
      </w:r>
      <w:r w:rsidR="004D5ED9">
        <w:rPr>
          <w:lang w:val="en-GB"/>
        </w:rPr>
        <w:t>.</w:t>
      </w:r>
      <w:r w:rsidRPr="00105869">
        <w:rPr>
          <w:lang w:val="en-GB"/>
        </w:rPr>
        <w:t xml:space="preserve"> </w:t>
      </w:r>
      <w:r w:rsidR="0082034D" w:rsidRPr="00105869">
        <w:rPr>
          <w:lang w:val="en-GB"/>
        </w:rPr>
        <w:t xml:space="preserve">In order </w:t>
      </w:r>
      <w:r w:rsidR="0082034D">
        <w:rPr>
          <w:lang w:val="en-GB"/>
        </w:rPr>
        <w:t xml:space="preserve">to be representative of veterinarians performing PPE in many different situations, </w:t>
      </w:r>
      <w:r w:rsidR="0082034D" w:rsidRPr="00105869">
        <w:rPr>
          <w:lang w:val="en-GB"/>
        </w:rPr>
        <w:t>no training set was created nor training sessions were performed.</w:t>
      </w:r>
      <w:r w:rsidR="00687DA3">
        <w:rPr>
          <w:lang w:val="en-GB"/>
        </w:rPr>
        <w:t xml:space="preserve"> W</w:t>
      </w:r>
      <w:r w:rsidR="00687DA3" w:rsidRPr="00105869">
        <w:rPr>
          <w:lang w:val="en-GB"/>
        </w:rPr>
        <w:t>hether agreement would have been improved after training was beyond the aim of the current study</w:t>
      </w:r>
      <w:r w:rsidR="00687DA3">
        <w:rPr>
          <w:lang w:val="en-GB"/>
        </w:rPr>
        <w:t>.</w:t>
      </w:r>
    </w:p>
    <w:p w14:paraId="71B094FA" w14:textId="4E52D24F" w:rsidR="00687DA3" w:rsidRDefault="00C6150D" w:rsidP="002D1191">
      <w:pPr>
        <w:spacing w:line="480" w:lineRule="auto"/>
        <w:rPr>
          <w:lang w:val="en-GB"/>
        </w:rPr>
      </w:pPr>
      <w:bookmarkStart w:id="22" w:name="OLE_LINK21"/>
      <w:bookmarkStart w:id="23" w:name="OLE_LINK22"/>
      <w:r>
        <w:rPr>
          <w:lang w:val="en-GB"/>
        </w:rPr>
        <w:t>Grading systems which do not grade the SP separately but use a combined and generalized grading system for the thoracolumbar spine</w:t>
      </w:r>
      <w:r w:rsidR="002D1191" w:rsidRPr="00105869">
        <w:rPr>
          <w:lang w:val="en-GB"/>
        </w:rPr>
        <w:t>, as done in previous grading systems</w:t>
      </w:r>
      <w:r>
        <w:rPr>
          <w:lang w:val="en-GB"/>
        </w:rPr>
        <w:t xml:space="preserve"> </w:t>
      </w:r>
      <w:r w:rsidR="002D1191" w:rsidRPr="00105869">
        <w:rPr>
          <w:lang w:val="en-GB"/>
        </w:rPr>
        <w:fldChar w:fldCharType="begin" w:fldLock="1"/>
      </w:r>
      <w:r w:rsidR="00B56CA6">
        <w:rPr>
          <w:lang w:val="en-GB"/>
        </w:rPr>
        <w:instrText>ADDIN CSL_CITATION {"citationItems":[{"id":"ITEM-1","itemData":{"author":[{"dropping-particle":"","family":"Pettersson, H., B. Strömberg","given":"and I. Myrin","non-dropping-particle":"","parse-names":false,"suffix":""}],"container-title":"Pferdeheilkunde","id":"ITEM-1","issued":{"date-parts":[["1987"]]},"page":"313-319","title":"Das thorkolumbale, interspinale Syndrom (TLI) des Reitpferdes-Retriospektiver Vergleich konservativ und chirurgisch behandelter Fälle","type":"article-journal","volume":"3"},"uris":["http://www.mendeley.com/documents/?uuid=38038fc3-d28c-49d5-87be-c5933b3d96cd"]},{"id":"ITEM-2","itemData":{"author":[{"dropping-particle":"","family":"Sager","given":"Jörg","non-dropping-particle":"","parse-names":false,"suffix":""}],"id":"ITEM-2","issued":{"date-parts":[["1997"]]},"title":"Die Erkrankungen der Processus spinosi der Brust-und Lendenwirbelsäule des Pferdes: eine klinische und röntgenologische Studie","type":"article-journal"},"uris":["http://www.mendeley.com/documents/?uuid=1606a288-e897-4545-b279-05d3411df08f"]},{"id":"ITEM-3","itemData":{"DOI":"https://doi.org/10.1016/C2009-0-50774-X","author":[{"dropping-particle":"","family":"Denoix, Jean-Marie M., Dyson","given":"Sue J. \"Thoracolumbar spine\" Diagnosis and Management of","non-dropping-particle":"","parse-names":false,"suffix":""}],"chapter-number":"52","container-title":"Diagnosis and Management of Lameness in the Horse","edition":"2nd","editor":[{"dropping-particle":"","family":"Ross","given":"Michael W.","non-dropping-particle":"","parse-names":false,"suffix":""},{"dropping-particle":"","family":"Dyson","given":"Sue J.","non-dropping-particle":"","parse-names":false,"suffix":""}],"id":"ITEM-3","issued":{"date-parts":[["2011"]]},"page":"592-605","publisher":"WB Saunders","title":"Thoracolumbar spine","type":"chapter"},"uris":["http://www.mendeley.com/documents/?uuid=9b679b65-4738-4415-840f-b3c6d3f9fc76"]},{"id":"ITEM-4","itemData":{"author":[{"dropping-particle":"","family":"Gerhards, H., Hertsch, B., Jahn, P., &amp; Brunken","given":"G.","non-dropping-particle":"","parse-names":false,"suffix":""}],"container-title":"Deutsch Tierarzteblatt","id":"ITEM-4","issued":{"date-parts":[["2007"]]},"page":"292-303","title":"Leitfaden für die röntgenologische Beurteilung bei der Kaufuntersuchung des Pferdes (RoLF07)","type":"article-journal","volume":"57"},"uris":["http://www.mendeley.com/documents/?uuid=9e0d92fa-f2b2-4e86-aed6-98dbdc1243fe"]},{"id":"ITEM-5","itemData":{"DOI":"10.21836/PEM20150505","ISSN":"01777726","abstract":"A retrospective study of 220 horses was performed to investigate the association between the clinical signs and the radiological findings of impinging dorsal spinous processes (DSPs) in warmblood sporthorses. For this purpose radiographic records were assessed to identify all horses that had undergone radiographic examination of the back as part of a pre-purchase examination between January 2009 and December 2012. The dorsal spinous processes of 239 horses were assessed and each dorsal spinous process was individually graded (0-3) using a modified 4-group grading system appropriate for routine grading of dorsal spinous processes as part of a pre-purchase examination. Fifty-five percent (n = 121) had no radiological abnormalities of the DSPs (grade 0). However, 26, 4% had at least one DSP with grade 1 impingement, 11, 8% had at least one DSP with grade 2 and 6, 8% had at least one DSP with grade 3. Follow-up information was obtained by telephone responses from owners or trainers. The horses were assessed at a mean follow up time after pre-purchase examination of 25, 19 ±12,52 months. Based on the clinical signs included in the questionnaire answers horses were divided into two groups; i) thoracolumbar back pain and ii) no thoracolumbar back pain. Only 11, 5% (N = 23) of the 220 horses had shown thoracolumbar back pain. There was no significant association between gender, age or discipline and clinical signs of thoracolumbar back pain. High maximum DSP grade is associated with an increased risk of clinical signs. The specificity of a grade 3 DSP on radiographic screening at pre purchase examinations is high, however the sensitivity is low. This suggests that there is a high risk of clinical signs in horses with grade 3 DSPs and no warranty can be offered for absence of clinical signs for grade 0, 1,2.","author":[{"dropping-particle":"","family":"Graaf","given":"Kim","non-dropping-particle":"De","parse-names":false,"suffix":""},{"dropping-particle":"","family":"Enzerink","given":"Edwin","non-dropping-particle":"","parse-names":false,"suffix":""},{"dropping-particle":"","family":"Oijen","given":"Peter","non-dropping-particle":"Van","parse-names":false,"suffix":""},{"dropping-particle":"","family":"Smeenk","given":"Allard","non-dropping-particle":"","parse-names":false,"suffix":""},{"dropping-particle":"","family":"Dik","given":"Kees J.","non-dropping-particle":"","parse-names":false,"suffix":""}],"container-title":"Pferdeheilkunde","id":"ITEM-5","issue":"5","issued":{"date-parts":[["2015"]]},"page":"461-468","title":"The radiographic frequency of impingement of the dorsal spinous processes at purchase examination and its clinical significance in 220 warmblood sporthorses","type":"article-journal","volume":"31"},"uris":["http://www.mendeley.com/documents/?uuid=f64c9255-885d-4f67-b6da-cb3cce508a09"]}],"mendeley":{"formattedCitation":"(14–18)","plainTextFormattedCitation":"(14–18)","previouslyFormattedCitation":"(14–18)"},"properties":{"noteIndex":0},"schema":"https://github.com/citation-style-language/schema/raw/master/csl-citation.json"}</w:instrText>
      </w:r>
      <w:r w:rsidR="002D1191" w:rsidRPr="00105869">
        <w:rPr>
          <w:lang w:val="en-GB"/>
        </w:rPr>
        <w:fldChar w:fldCharType="separate"/>
      </w:r>
      <w:r w:rsidR="009F0CC5" w:rsidRPr="009F0CC5">
        <w:rPr>
          <w:noProof/>
          <w:lang w:val="en-GB"/>
        </w:rPr>
        <w:t>(14–18)</w:t>
      </w:r>
      <w:r w:rsidR="002D1191" w:rsidRPr="00105869">
        <w:rPr>
          <w:lang w:val="en-GB"/>
        </w:rPr>
        <w:fldChar w:fldCharType="end"/>
      </w:r>
      <w:r>
        <w:rPr>
          <w:lang w:val="en-GB"/>
        </w:rPr>
        <w:t>,</w:t>
      </w:r>
      <w:r w:rsidR="002D1191" w:rsidRPr="00105869">
        <w:rPr>
          <w:lang w:val="en-GB"/>
        </w:rPr>
        <w:t xml:space="preserve"> </w:t>
      </w:r>
      <w:r>
        <w:rPr>
          <w:lang w:val="en-GB"/>
        </w:rPr>
        <w:t>was</w:t>
      </w:r>
      <w:r w:rsidRPr="00105869">
        <w:rPr>
          <w:lang w:val="en-GB"/>
        </w:rPr>
        <w:t xml:space="preserve"> </w:t>
      </w:r>
      <w:r w:rsidR="002D1191" w:rsidRPr="00105869">
        <w:rPr>
          <w:lang w:val="en-GB"/>
        </w:rPr>
        <w:t>found to be of moderate to fair agreement in the current study</w:t>
      </w:r>
      <w:r w:rsidR="0062640B">
        <w:rPr>
          <w:lang w:val="en-GB"/>
        </w:rPr>
        <w:t xml:space="preserve"> for the most experienced observers</w:t>
      </w:r>
      <w:r w:rsidR="002D1191" w:rsidRPr="00105869">
        <w:rPr>
          <w:lang w:val="en-GB"/>
        </w:rPr>
        <w:t xml:space="preserve">. </w:t>
      </w:r>
      <w:bookmarkEnd w:id="22"/>
      <w:bookmarkEnd w:id="23"/>
      <w:r w:rsidR="002D1191" w:rsidRPr="00105869">
        <w:rPr>
          <w:lang w:val="en-GB"/>
        </w:rPr>
        <w:t xml:space="preserve">However, usage of multiple individual parameters per anatomical region of the SP also revealed some unreliable results. </w:t>
      </w:r>
      <w:r w:rsidRPr="00105869">
        <w:rPr>
          <w:lang w:val="en-GB"/>
        </w:rPr>
        <w:t>Therefore, a different approach according to these results appears necessary.</w:t>
      </w:r>
      <w:r>
        <w:rPr>
          <w:lang w:val="en-GB"/>
        </w:rPr>
        <w:t xml:space="preserve"> Inter- and intra-observer agreement for single parameters such as ISW</w:t>
      </w:r>
      <w:r w:rsidR="000F1A2C">
        <w:rPr>
          <w:lang w:val="en-GB"/>
        </w:rPr>
        <w:t xml:space="preserve"> appears </w:t>
      </w:r>
      <w:r w:rsidR="00687DA3">
        <w:rPr>
          <w:lang w:val="en-GB"/>
        </w:rPr>
        <w:t xml:space="preserve">to be </w:t>
      </w:r>
      <w:r w:rsidR="000F1A2C">
        <w:rPr>
          <w:lang w:val="en-GB"/>
        </w:rPr>
        <w:t xml:space="preserve">a reliable parameter for the usage of a future grading system. Similarly, the </w:t>
      </w:r>
      <w:r>
        <w:rPr>
          <w:lang w:val="en-GB"/>
        </w:rPr>
        <w:t xml:space="preserve">presence of size of isolated </w:t>
      </w:r>
      <w:r w:rsidR="007354FB">
        <w:rPr>
          <w:lang w:val="en-GB"/>
        </w:rPr>
        <w:t>opacites</w:t>
      </w:r>
      <w:r>
        <w:rPr>
          <w:lang w:val="en-GB"/>
        </w:rPr>
        <w:t xml:space="preserve"> along the dorsal margin</w:t>
      </w:r>
      <w:r w:rsidR="008241BF">
        <w:rPr>
          <w:lang w:val="en-GB"/>
        </w:rPr>
        <w:t xml:space="preserve"> and</w:t>
      </w:r>
      <w:r>
        <w:rPr>
          <w:lang w:val="en-GB"/>
        </w:rPr>
        <w:t xml:space="preserve"> beak-shaped formation</w:t>
      </w:r>
      <w:r w:rsidR="000F1A2C">
        <w:rPr>
          <w:lang w:val="en-GB"/>
        </w:rPr>
        <w:t xml:space="preserve"> of the </w:t>
      </w:r>
      <w:r w:rsidR="00490923">
        <w:rPr>
          <w:lang w:val="en-GB"/>
        </w:rPr>
        <w:t xml:space="preserve">craniodorsal </w:t>
      </w:r>
      <w:r w:rsidR="000F1A2C">
        <w:rPr>
          <w:lang w:val="en-GB"/>
        </w:rPr>
        <w:t xml:space="preserve">margin of the SP was found </w:t>
      </w:r>
      <w:r w:rsidR="00687DA3">
        <w:rPr>
          <w:lang w:val="en-GB"/>
        </w:rPr>
        <w:t xml:space="preserve">to be </w:t>
      </w:r>
      <w:r w:rsidR="000F1A2C">
        <w:rPr>
          <w:lang w:val="en-GB"/>
        </w:rPr>
        <w:t>reliable</w:t>
      </w:r>
      <w:r>
        <w:rPr>
          <w:lang w:val="en-GB"/>
        </w:rPr>
        <w:t xml:space="preserve">. </w:t>
      </w:r>
      <w:r w:rsidR="000F1A2C">
        <w:rPr>
          <w:lang w:val="en-GB"/>
        </w:rPr>
        <w:t xml:space="preserve">Whether </w:t>
      </w:r>
      <w:r w:rsidR="007354FB">
        <w:rPr>
          <w:lang w:val="en-GB"/>
        </w:rPr>
        <w:t>all of the single parameters</w:t>
      </w:r>
      <w:r w:rsidR="000F1A2C">
        <w:rPr>
          <w:lang w:val="en-GB"/>
        </w:rPr>
        <w:t xml:space="preserve"> were graded as present or absent or in according to the multigrade </w:t>
      </w:r>
      <w:r w:rsidR="007354FB">
        <w:rPr>
          <w:lang w:val="en-GB"/>
        </w:rPr>
        <w:t xml:space="preserve">or two-grade </w:t>
      </w:r>
      <w:r w:rsidR="000F1A2C">
        <w:rPr>
          <w:lang w:val="en-GB"/>
        </w:rPr>
        <w:t xml:space="preserve">grading system did not reveal major differences in agreement. </w:t>
      </w:r>
    </w:p>
    <w:p w14:paraId="775F37AC" w14:textId="77777777" w:rsidR="00687DA3" w:rsidRDefault="00687DA3" w:rsidP="002D1191">
      <w:pPr>
        <w:spacing w:line="480" w:lineRule="auto"/>
        <w:rPr>
          <w:lang w:val="en-GB"/>
        </w:rPr>
      </w:pPr>
    </w:p>
    <w:p w14:paraId="72866C50" w14:textId="4E13D5A7" w:rsidR="007354FB" w:rsidRDefault="007354FB" w:rsidP="002D1191">
      <w:pPr>
        <w:spacing w:line="480" w:lineRule="auto"/>
        <w:rPr>
          <w:lang w:val="en-GB"/>
        </w:rPr>
      </w:pPr>
      <w:r>
        <w:rPr>
          <w:lang w:val="en-GB"/>
        </w:rPr>
        <w:t xml:space="preserve">The combination of intensity and width of radiopacities per SP and </w:t>
      </w:r>
      <w:r w:rsidR="00687DA3">
        <w:rPr>
          <w:lang w:val="en-GB"/>
        </w:rPr>
        <w:t xml:space="preserve">combinations of </w:t>
      </w:r>
      <w:r>
        <w:rPr>
          <w:lang w:val="en-GB"/>
        </w:rPr>
        <w:t xml:space="preserve">modelling along margins of the SP showed better agreement in comparison to a single </w:t>
      </w:r>
      <w:r>
        <w:rPr>
          <w:lang w:val="en-GB"/>
        </w:rPr>
        <w:lastRenderedPageBreak/>
        <w:t xml:space="preserve">approach of each parameter per anatomical region. </w:t>
      </w:r>
      <w:r w:rsidR="005E2D2D">
        <w:rPr>
          <w:lang w:val="en-GB"/>
        </w:rPr>
        <w:t xml:space="preserve">One exception was the modelling of the cranioventral margin of the SP which revealed good agreement. The cause of this finding is not clear in relationship to the </w:t>
      </w:r>
      <w:r w:rsidR="00687DA3">
        <w:rPr>
          <w:lang w:val="en-GB"/>
        </w:rPr>
        <w:t xml:space="preserve">poor </w:t>
      </w:r>
      <w:r w:rsidR="005E2D2D">
        <w:rPr>
          <w:lang w:val="en-GB"/>
        </w:rPr>
        <w:t xml:space="preserve">agreement of the other margins. </w:t>
      </w:r>
      <w:r>
        <w:rPr>
          <w:lang w:val="en-GB"/>
        </w:rPr>
        <w:t xml:space="preserve">Grading osseous cyst like lesions in comparison to grading </w:t>
      </w:r>
      <w:proofErr w:type="spellStart"/>
      <w:r>
        <w:rPr>
          <w:lang w:val="en-GB"/>
        </w:rPr>
        <w:t>radiolucencies</w:t>
      </w:r>
      <w:proofErr w:type="spellEnd"/>
      <w:r>
        <w:rPr>
          <w:lang w:val="en-GB"/>
        </w:rPr>
        <w:t xml:space="preserve"> was more reliable. </w:t>
      </w:r>
      <w:r w:rsidR="00686917">
        <w:rPr>
          <w:lang w:val="en-GB"/>
        </w:rPr>
        <w:t xml:space="preserve">This finding is likely due to the unspecified definition of </w:t>
      </w:r>
      <w:proofErr w:type="spellStart"/>
      <w:r w:rsidR="00686917">
        <w:rPr>
          <w:lang w:val="en-GB"/>
        </w:rPr>
        <w:t>radiolucencies</w:t>
      </w:r>
      <w:proofErr w:type="spellEnd"/>
      <w:r w:rsidR="00686917">
        <w:rPr>
          <w:lang w:val="en-GB"/>
        </w:rPr>
        <w:t xml:space="preserve"> in comparison to osseous cyst like lesions. Osseous cyst like lesions were specifically those </w:t>
      </w:r>
      <w:proofErr w:type="spellStart"/>
      <w:r w:rsidR="00686917">
        <w:rPr>
          <w:lang w:val="en-GB"/>
        </w:rPr>
        <w:t>radiolucenci</w:t>
      </w:r>
      <w:r w:rsidR="00D86AC7">
        <w:rPr>
          <w:lang w:val="en-GB"/>
        </w:rPr>
        <w:t>e</w:t>
      </w:r>
      <w:r w:rsidR="00686917">
        <w:rPr>
          <w:lang w:val="en-GB"/>
        </w:rPr>
        <w:t>s</w:t>
      </w:r>
      <w:proofErr w:type="spellEnd"/>
      <w:r w:rsidR="00686917">
        <w:rPr>
          <w:lang w:val="en-GB"/>
        </w:rPr>
        <w:t xml:space="preserve"> surrounded by a rim of sclerosis whereas </w:t>
      </w:r>
      <w:proofErr w:type="spellStart"/>
      <w:r w:rsidR="00686917">
        <w:rPr>
          <w:lang w:val="en-GB"/>
        </w:rPr>
        <w:t>radiolucencies</w:t>
      </w:r>
      <w:proofErr w:type="spellEnd"/>
      <w:r w:rsidR="00686917">
        <w:rPr>
          <w:lang w:val="en-GB"/>
        </w:rPr>
        <w:t xml:space="preserve"> lacked this and were defined by </w:t>
      </w:r>
      <w:r w:rsidR="00D83B59">
        <w:rPr>
          <w:lang w:val="en-GB"/>
        </w:rPr>
        <w:t>decreased</w:t>
      </w:r>
      <w:r w:rsidR="00686917">
        <w:rPr>
          <w:lang w:val="en-GB"/>
        </w:rPr>
        <w:t xml:space="preserve"> radiopacity within the SP. Lack of histopathology deprives us from differentiating both</w:t>
      </w:r>
      <w:r w:rsidR="00D83B59">
        <w:rPr>
          <w:lang w:val="en-GB"/>
        </w:rPr>
        <w:t>,</w:t>
      </w:r>
      <w:r w:rsidR="00686917">
        <w:rPr>
          <w:lang w:val="en-GB"/>
        </w:rPr>
        <w:t xml:space="preserve"> however </w:t>
      </w:r>
      <w:r w:rsidR="00D83B59">
        <w:rPr>
          <w:lang w:val="en-GB"/>
        </w:rPr>
        <w:t>a radiolucency without a rim of opacity</w:t>
      </w:r>
      <w:r w:rsidR="00686917">
        <w:rPr>
          <w:lang w:val="en-GB"/>
        </w:rPr>
        <w:t xml:space="preserve"> may still have represented a radiographic abnormality and were therefore separately graded in this study. </w:t>
      </w:r>
      <w:r w:rsidR="00D83B59">
        <w:rPr>
          <w:lang w:val="en-GB"/>
        </w:rPr>
        <w:t xml:space="preserve">A lack of a clear sclerotic rim </w:t>
      </w:r>
      <w:r w:rsidR="00686917">
        <w:rPr>
          <w:lang w:val="en-GB"/>
        </w:rPr>
        <w:t xml:space="preserve">may have caused confusion interpretating them in the current radiographic examination. </w:t>
      </w:r>
      <w:r>
        <w:rPr>
          <w:lang w:val="en-GB"/>
        </w:rPr>
        <w:t xml:space="preserve">However, </w:t>
      </w:r>
      <w:r w:rsidR="00686917">
        <w:rPr>
          <w:lang w:val="en-GB"/>
        </w:rPr>
        <w:t xml:space="preserve">one should consider that both </w:t>
      </w:r>
      <w:r>
        <w:rPr>
          <w:lang w:val="en-GB"/>
        </w:rPr>
        <w:t>results were still disappointing.</w:t>
      </w:r>
    </w:p>
    <w:p w14:paraId="488A9712" w14:textId="77777777" w:rsidR="00290216" w:rsidRDefault="00290216" w:rsidP="002D1191">
      <w:pPr>
        <w:spacing w:line="480" w:lineRule="auto"/>
        <w:rPr>
          <w:lang w:val="en-GB"/>
        </w:rPr>
      </w:pPr>
    </w:p>
    <w:p w14:paraId="55452223" w14:textId="77777777" w:rsidR="007B0EF9" w:rsidRDefault="002D1191" w:rsidP="002D1191">
      <w:pPr>
        <w:spacing w:line="480" w:lineRule="auto"/>
        <w:rPr>
          <w:lang w:val="en-GB"/>
        </w:rPr>
      </w:pPr>
      <w:r w:rsidRPr="00105869">
        <w:rPr>
          <w:lang w:val="en-GB"/>
        </w:rPr>
        <w:t xml:space="preserve">Combining </w:t>
      </w:r>
      <w:r w:rsidR="00CB4D62">
        <w:rPr>
          <w:lang w:val="en-GB"/>
        </w:rPr>
        <w:t xml:space="preserve">different </w:t>
      </w:r>
      <w:r w:rsidRPr="00105869">
        <w:rPr>
          <w:lang w:val="en-GB"/>
        </w:rPr>
        <w:t xml:space="preserve">radiographic abnormalities along the cortical margins dorsally, caudally and cranially, as done </w:t>
      </w:r>
      <w:r w:rsidR="004D5ED9">
        <w:rPr>
          <w:lang w:val="en-GB"/>
        </w:rPr>
        <w:t>in other studies</w:t>
      </w:r>
      <w:r w:rsidRPr="00105869">
        <w:rPr>
          <w:lang w:val="en-GB"/>
        </w:rPr>
        <w:t xml:space="preserve"> revealed similar to better agreement</w:t>
      </w:r>
      <w:r w:rsidR="004D5ED9">
        <w:rPr>
          <w:lang w:val="en-GB"/>
        </w:rPr>
        <w:t xml:space="preserve"> to the values found for single parameters in the current study</w:t>
      </w:r>
      <w:r w:rsidR="001A15BB" w:rsidRPr="00105869">
        <w:rPr>
          <w:lang w:val="en-GB"/>
        </w:rPr>
        <w:t>.</w:t>
      </w:r>
      <w:r w:rsidRPr="00105869">
        <w:rPr>
          <w:lang w:val="en-GB"/>
        </w:rPr>
        <w:fldChar w:fldCharType="begin" w:fldLock="1"/>
      </w:r>
      <w:r w:rsidR="009F4FB3">
        <w:rPr>
          <w:lang w:val="en-GB"/>
        </w:rPr>
        <w:instrText>ADDIN CSL_CITATION {"citationItems":[{"id":"ITEM-1","itemData":{"DOI":"10.2746/0425164044877341","ISSN":"04251644","PMID":"15460068","abstract":"Reasons for performing study: Radiography and scintigraphy are used to aid diagnosis of the cause of back pain, but a large variation in appearance and radiopharmaceutical uptake in fully functioning horses make diagnosis difficult. Objectives: To describe the range of and compare scintigraphic and radiographic findings in the spinous processes of horses without clinical signs of back problems. Methods: Thirty-three apparently normal riding horses underwent scintigraphic and radiographic examinations of the spinous processes in the thoracolumbar spine. Scintigraphic images were evaluated in a continuous blue, green and red colour scale, and the level of radiopharmaceutical uptake in the spinous processes from T10-L2 was graded into none, mild, moderate or severe increased radiopharmaceutical uptake. Structural changes along the borders of the spinous processes and the width of the interspinous spaces from T10-L2 were recorded. Results: Only 7 horses had no scintigraphic or radiographic findings. Nine horses had no increased radiopharmaceutical uptake, 17 had no sclerosis, 21 had no radiolucencies and 11 had normal spacing of the spinous processes (&gt;4 mm wide). The majority of findings in 26 horses were located from T13-18 and were mild. Conclusions: The findings of a wide spectrum of scintigraphic and radiographic changes leads to the conclusion that changes within this range found in affected horses cannot be interpreted as clinically significant. Potential relevance: To determine whether scintigraphy and/or radiography can be used to separate horses with back pain from horses without clinical signs, the results from this study should be compared to the scintigraphic and radiographic findings in horses with clinical signs.","author":[{"dropping-particle":"","family":"Erichsen","given":"C.","non-dropping-particle":"","parse-names":false,"suffix":""},{"dropping-particle":"","family":"Eksell","given":"P.","non-dropping-particle":"","parse-names":false,"suffix":""},{"dropping-particle":"","family":"Roethlisberger Holm","given":"K.","non-dropping-particle":"","parse-names":false,"suffix":""},{"dropping-particle":"","family":"Lord","given":"P.","non-dropping-particle":"","parse-names":false,"suffix":""},{"dropping-particle":"","family":"Johnston","given":"C.","non-dropping-particle":"","parse-names":false,"suffix":""}],"container-title":"Equine Veterinary Journal","id":"ITEM-1","issue":"6","issued":{"date-parts":[["2004"]]},"page":"458-465","title":"Relationship between scintigraphic and radiographic evaluations of spinous processes in the thoracolumbar spine in riding horses without clinical signs of back problems","type":"article-journal","volume":"36"},"uris":["http://www.mendeley.com/documents/?uuid=5c233ecf-5ab9-4864-9434-7194183c41fe"]}],"mendeley":{"formattedCitation":"(4)","plainTextFormattedCitation":"(4)","previouslyFormattedCitation":"(4)"},"properties":{"noteIndex":0},"schema":"https://github.com/citation-style-language/schema/raw/master/csl-citation.json"}</w:instrText>
      </w:r>
      <w:r w:rsidRPr="00105869">
        <w:rPr>
          <w:lang w:val="en-GB"/>
        </w:rPr>
        <w:fldChar w:fldCharType="separate"/>
      </w:r>
      <w:r w:rsidR="00FE2B59" w:rsidRPr="00105869">
        <w:rPr>
          <w:noProof/>
          <w:lang w:val="en-GB"/>
        </w:rPr>
        <w:t>(4)</w:t>
      </w:r>
      <w:r w:rsidRPr="00105869">
        <w:rPr>
          <w:lang w:val="en-GB"/>
        </w:rPr>
        <w:fldChar w:fldCharType="end"/>
      </w:r>
      <w:r w:rsidRPr="00105869">
        <w:rPr>
          <w:lang w:val="en-GB"/>
        </w:rPr>
        <w:t xml:space="preserve"> Combining </w:t>
      </w:r>
      <w:r w:rsidR="00CB4D62">
        <w:rPr>
          <w:lang w:val="en-GB"/>
        </w:rPr>
        <w:t xml:space="preserve">different possibly </w:t>
      </w:r>
      <w:r w:rsidRPr="00105869">
        <w:rPr>
          <w:lang w:val="en-GB"/>
        </w:rPr>
        <w:t>associated abnormalities</w:t>
      </w:r>
      <w:r w:rsidR="000F1A2C">
        <w:rPr>
          <w:lang w:val="en-GB"/>
        </w:rPr>
        <w:t xml:space="preserve"> within the complete SP</w:t>
      </w:r>
      <w:r w:rsidRPr="00105869">
        <w:rPr>
          <w:lang w:val="en-GB"/>
        </w:rPr>
        <w:t>, as found in other studies using scoring systems fo</w:t>
      </w:r>
      <w:r w:rsidR="00687DA3">
        <w:rPr>
          <w:lang w:val="en-GB"/>
        </w:rPr>
        <w:t>r</w:t>
      </w:r>
      <w:r w:rsidRPr="00105869">
        <w:rPr>
          <w:lang w:val="en-GB"/>
        </w:rPr>
        <w:t xml:space="preserve"> grading the spinous processes, </w:t>
      </w:r>
      <w:r w:rsidR="00687DA3">
        <w:rPr>
          <w:lang w:val="en-GB"/>
        </w:rPr>
        <w:t xml:space="preserve">led </w:t>
      </w:r>
      <w:r w:rsidRPr="00105869">
        <w:rPr>
          <w:lang w:val="en-GB"/>
        </w:rPr>
        <w:t>to moderate agreement</w:t>
      </w:r>
      <w:r w:rsidR="001A15BB" w:rsidRPr="00105869">
        <w:rPr>
          <w:lang w:val="en-GB"/>
        </w:rPr>
        <w:t>.</w:t>
      </w:r>
      <w:r w:rsidRPr="00105869">
        <w:rPr>
          <w:lang w:val="en-GB"/>
        </w:rPr>
        <w:fldChar w:fldCharType="begin" w:fldLock="1"/>
      </w:r>
      <w:r w:rsidR="00B56CA6">
        <w:rPr>
          <w:lang w:val="en-GB"/>
        </w:rPr>
        <w:instrText>ADDIN CSL_CITATION {"citationItems":[{"id":"ITEM-1","itemData":{"author":[{"dropping-particle":"","family":"Henson, F. M.D.Kidd","given":"J. A.","non-dropping-particle":"","parse-names":false,"suffix":""}],"chapter-number":"14","container-title":"Equine back pathology: Diagnosis and treatment","editor":[{"dropping-particle":"","family":"Henson","given":"Frances M.D.","non-dropping-particle":"","parse-names":false,"suffix":""}],"id":"ITEM-1","issued":{"date-parts":[["2009"]]},"page":"147-156","publisher":"Wiley-Blackwell","title":"Overriding Dorsal Spinous Proceesses","type":"chapter"},"uris":["http://www.mendeley.com/documents/?uuid=21dae060-071b-4c05-ac7f-9c4a7ba9d584"]},{"id":"ITEM-2","itemData":{"DOI":"10.1111/j.2042-3306.2011.00373.x","ISSN":"04251644","PMID":"21880062","abstract":"Reasons for performing study: There has been no objective study comparing radiological features of spinous processes (SPs) in the thoracolumbar region and/or scintigraphic findings with clinical signs. Objectives: To investigate the relationship between the presence or absence of clinical signs of back pain and: 1) radiological findings of close, impinging or overriding SPs; 2) increased radiopharmaceutical uptake (IRU) in the SPs; and 3) the combination of radiological findings and IRU. Also to determine the prevalence of concurrent osseous pathology. Methods: Five-hundred and eighty-two horses, presented for perceived back pain and poor performance, underwent comprehensive clinical investigation including diagnostic analgesia of the forelimbs, hindlimbs, back and sacroiliac joints, and radiographic and scintigraphic evaluation of the thoracolumbar spine. Radiological and scintigraphic grades were determined subjectively. Statistical analysis was performed to determine the relationships between clinical signs of back pain, radiological and scintigraphic features, age, breed, gender, discipline, height and weight. Results: Thoroughbreds (TBs) were over-represented with thoracolumbar pain compared with Warmbloods and TB cross breeds. There was a significant association between maximum and total radiological grades of the SPs and thoracolumbar pain, between maximum and total grades of IRU and thoracolumbar pain, and between a combination of radiological and scintigraphic abnormalities and thoracolumbar pain. Horses with osteoarthritis (OA) of the synovial intervertebral articulations (SIAs) were more likely to have thoracolumbar pain than horses with lesions of the SPs alone, but the presence of OA of the SIAs and lesions of the SPs was associated with the highest likelihood of thoracolumbar pain. Conclusions and potential relevance: Fore- or hindlimb lameness and/or pain associated with the sacroiliac joints could mimic primary thoracolumbar pain. A combination of radiology and scintigraphy gives the most accurate prediction of thoracolumbar pain, but diagnostic analgesia is crucial for accurate diagnosis. © 2011 EVJ Ltd.","author":[{"dropping-particle":"","family":"Zimmerman","given":"M.","non-dropping-particle":"","parse-names":false,"suffix":""},{"dropping-particle":"","family":"Dyson","given":"S.","non-dropping-particle":"","parse-names":false,"suffix":""},{"dropping-particle":"","family":"Murray","given":"R.","non-dropping-particle":"","parse-names":false,"suffix":""}],"container-title":"Equine Veterinary Journal","id":"ITEM-2","issue":"2","issued":{"date-parts":[["2012"]]},"page":"178-184","title":"Close, impinging and overriding spinous processes in the thoracolumbar spine: The relationship between radiological and scintigraphic findings and clinical signs","type":"article-journal","volume":"44"},"uris":["http://www.mendeley.com/documents/?uuid=e83bcad9-688c-4e87-b914-8856883bec82"]},{"id":"ITEM-3","itemData":{"DOI":"10.1111/j.1740-8261.2011.01845.x","ISSN":"10588183","PMID":"21699620","abstract":"Back pain is common in horses, but there has been no large-scale in-depth study describing radiographic changes of the spinous processes, the relationship between radiographic and scintigraphic findings, and the effect of size, age, breed, or discipline. The objectives were to investigate the frequency of occurrence in horses with perceived back pain of: (1) radiographic alteration of the spinous process structure; (2) increased radiopharmaceutical uptake (IRU) in the spinous processes; and (3) to compare radiographic and scintigraphic findings; and to determine if there was breed, gender, age, bodyweight, height, or work discipline predisposition for close, impinging, or overriding spinous processes. Radiographic and scintigraphic images of the thoracolumbar spine of 604 horses were graded. A radiographic grade for each spinous process (T8-L6) was assigned (0-7). The maximum radiographic grade for each horse was defined as the highest grade assigned to any spinous process; the total radiographic grade was the sum of all grades for each horse. A scintigraphic grade for each spinous process was determined (0-3). The maximum scintigraphic grade for each horse was defined as the highest grade assigned to any spinous process; the total scintigraphic grade was the sum of all grades for each horse. Associations between radiology and scintigraphy and age, gender, breed, height, weight, and discipline were analyzed statistically. The severity of radiographic lesions of the spinous processes was associated with the severity of scintigraphic abnormalities. The caudal thoracic spine (T14-T17) was most frequently affected. There was a significant breed and age effect, with Thoroughbreds and older horses having higher total and maximum radiographic grades. The severity of the lesions of the spinous processes was significantly associated with the presence of osteoarthritis of the articular process joints. It was concluded that there is a wide range of radiographic abnormalities of the spinous processes seen in horses with or without back pain. There is an association between radiographic and scintigraphic grades of the spinous processes.© 2011 Veterinary Radiology &amp; Ultrasound.","author":[{"dropping-particle":"","family":"Zimmerman","given":"Marieke","non-dropping-particle":"","parse-names":false,"suffix":""},{"dropping-particle":"","family":"Dyson","given":"Sue","non-dropping-particle":"","parse-names":false,"suffix":""},{"dropping-particle":"","family":"Murray","given":"Rachel","non-dropping-particle":"","parse-names":false,"suffix":""}],"container-title":"Veterinary Radiology and Ultrasound","id":"ITEM-3","issue":"6","issued":{"date-parts":[["2011"]]},"page":"661-671","title":"Comparison of radiographic and scintigraphic findings of the spinous processes in the equine thoracolumbar region","type":"article-journal","volume":"52"},"uris":["http://www.mendeley.com/documents/?uuid=df182bfb-1ee6-4cbd-bfa0-ac43814e4ba0"]}],"mendeley":{"formattedCitation":"(7,19,31)","plainTextFormattedCitation":"(7,19,31)","previouslyFormattedCitation":"(7,19,31)"},"properties":{"noteIndex":0},"schema":"https://github.com/citation-style-language/schema/raw/master/csl-citation.json"}</w:instrText>
      </w:r>
      <w:r w:rsidRPr="00105869">
        <w:rPr>
          <w:lang w:val="en-GB"/>
        </w:rPr>
        <w:fldChar w:fldCharType="separate"/>
      </w:r>
      <w:r w:rsidR="009F0CC5" w:rsidRPr="009F0CC5">
        <w:rPr>
          <w:noProof/>
          <w:lang w:val="en-GB"/>
        </w:rPr>
        <w:t>(7,19,31)</w:t>
      </w:r>
      <w:r w:rsidRPr="00105869">
        <w:rPr>
          <w:lang w:val="en-GB"/>
        </w:rPr>
        <w:fldChar w:fldCharType="end"/>
      </w:r>
      <w:r w:rsidRPr="00105869">
        <w:rPr>
          <w:lang w:val="en-GB"/>
        </w:rPr>
        <w:t xml:space="preserve"> Therefore, the combination of certain parameters, </w:t>
      </w:r>
      <w:r w:rsidR="00C6150D">
        <w:rPr>
          <w:lang w:val="en-GB"/>
        </w:rPr>
        <w:t>in addition to the usage of</w:t>
      </w:r>
      <w:r w:rsidRPr="00105869">
        <w:rPr>
          <w:lang w:val="en-GB"/>
        </w:rPr>
        <w:t xml:space="preserve"> some individual reliable variables in a future grading system might be advisable. </w:t>
      </w:r>
    </w:p>
    <w:p w14:paraId="7506FBAB" w14:textId="77777777" w:rsidR="007B0EF9" w:rsidRDefault="007B0EF9" w:rsidP="002D1191">
      <w:pPr>
        <w:spacing w:line="480" w:lineRule="auto"/>
        <w:rPr>
          <w:lang w:val="en-GB"/>
        </w:rPr>
      </w:pPr>
    </w:p>
    <w:p w14:paraId="56B498B3" w14:textId="48DC151E" w:rsidR="00224567" w:rsidRPr="00105869" w:rsidRDefault="007B0EF9" w:rsidP="00224567">
      <w:pPr>
        <w:spacing w:line="480" w:lineRule="auto"/>
        <w:rPr>
          <w:lang w:val="en-GB"/>
        </w:rPr>
      </w:pPr>
      <w:bookmarkStart w:id="24" w:name="OLE_LINK23"/>
      <w:bookmarkStart w:id="25" w:name="OLE_LINK24"/>
      <w:r>
        <w:rPr>
          <w:lang w:val="en-GB"/>
        </w:rPr>
        <w:t xml:space="preserve">Whether the usage of a combined or summed grading system is scientifically as accurate as a single parameter grading system as originally chosen in this study was beyond the scope of this study. Future studies which incorporate a comparison of clinically affected and non-affected horses should reveal if a more detailed grading system is necessary to </w:t>
      </w:r>
      <w:r>
        <w:rPr>
          <w:lang w:val="en-GB"/>
        </w:rPr>
        <w:lastRenderedPageBreak/>
        <w:t xml:space="preserve">radiographically differentiate between the both groups. </w:t>
      </w:r>
      <w:bookmarkEnd w:id="24"/>
      <w:bookmarkEnd w:id="25"/>
      <w:r w:rsidR="00224567" w:rsidRPr="00105869">
        <w:rPr>
          <w:lang w:val="en-GB"/>
        </w:rPr>
        <w:t>On the contrary, one should also bear in mind that the true incidence of pain arising from abnormal SP is not known, anatomical variations are however extremely common</w:t>
      </w:r>
      <w:r w:rsidR="001A15BB" w:rsidRPr="00105869">
        <w:rPr>
          <w:lang w:val="en-GB"/>
        </w:rPr>
        <w:t>.</w:t>
      </w:r>
      <w:r w:rsidR="00224567" w:rsidRPr="00105869">
        <w:rPr>
          <w:lang w:val="en-GB"/>
        </w:rPr>
        <w:fldChar w:fldCharType="begin" w:fldLock="1"/>
      </w:r>
      <w:r w:rsidR="00B56CA6">
        <w:rPr>
          <w:lang w:val="en-GB"/>
        </w:rPr>
        <w:instrText>ADDIN CSL_CITATION {"citationItems":[{"id":"ITEM-1","itemData":{"author":[{"dropping-particle":"","family":"Henson, F. M.D.Kidd","given":"J. A.","non-dropping-particle":"","parse-names":false,"suffix":""}],"chapter-number":"14","container-title":"Equine back pathology: Diagnosis and treatment","editor":[{"dropping-particle":"","family":"Henson","given":"Frances M.D.","non-dropping-particle":"","parse-names":false,"suffix":""}],"id":"ITEM-1","issued":{"date-parts":[["2009"]]},"page":"147-156","publisher":"Wiley-Blackwell","title":"Overriding Dorsal Spinous Proceesses","type":"chapter"},"uris":["http://www.mendeley.com/documents/?uuid=21dae060-071b-4c05-ac7f-9c4a7ba9d584"]}],"mendeley":{"formattedCitation":"(31)","plainTextFormattedCitation":"(31)","previouslyFormattedCitation":"(31)"},"properties":{"noteIndex":0},"schema":"https://github.com/citation-style-language/schema/raw/master/csl-citation.json"}</w:instrText>
      </w:r>
      <w:r w:rsidR="00224567" w:rsidRPr="00105869">
        <w:rPr>
          <w:lang w:val="en-GB"/>
        </w:rPr>
        <w:fldChar w:fldCharType="separate"/>
      </w:r>
      <w:r w:rsidR="009F0CC5" w:rsidRPr="009F0CC5">
        <w:rPr>
          <w:noProof/>
          <w:lang w:val="en-GB"/>
        </w:rPr>
        <w:t>(31)</w:t>
      </w:r>
      <w:r w:rsidR="00224567" w:rsidRPr="00105869">
        <w:rPr>
          <w:lang w:val="en-GB"/>
        </w:rPr>
        <w:fldChar w:fldCharType="end"/>
      </w:r>
      <w:r w:rsidR="00224567" w:rsidRPr="00105869">
        <w:rPr>
          <w:lang w:val="en-GB"/>
        </w:rPr>
        <w:t xml:space="preserve"> One study found a large widespread of radiographic and </w:t>
      </w:r>
      <w:proofErr w:type="spellStart"/>
      <w:r w:rsidR="00224567" w:rsidRPr="00105869">
        <w:rPr>
          <w:lang w:val="en-GB"/>
        </w:rPr>
        <w:t>scintigraphic</w:t>
      </w:r>
      <w:proofErr w:type="spellEnd"/>
      <w:r w:rsidR="00224567" w:rsidRPr="00105869">
        <w:rPr>
          <w:lang w:val="en-GB"/>
        </w:rPr>
        <w:t xml:space="preserve"> changes in riding horses without clinical signs of back problems which led to the conclusion that their clinical significance is questionable</w:t>
      </w:r>
      <w:r w:rsidR="001A15BB" w:rsidRPr="00105869">
        <w:rPr>
          <w:lang w:val="en-GB"/>
        </w:rPr>
        <w:t>.</w:t>
      </w:r>
      <w:r w:rsidR="00224567" w:rsidRPr="00105869">
        <w:rPr>
          <w:lang w:val="en-GB"/>
        </w:rPr>
        <w:fldChar w:fldCharType="begin" w:fldLock="1"/>
      </w:r>
      <w:r w:rsidR="009F4FB3">
        <w:rPr>
          <w:lang w:val="en-GB"/>
        </w:rPr>
        <w:instrText>ADDIN CSL_CITATION {"citationItems":[{"id":"ITEM-1","itemData":{"DOI":"10.2746/0425164044877341","ISSN":"04251644","PMID":"15460068","abstract":"Reasons for performing study: Radiography and scintigraphy are used to aid diagnosis of the cause of back pain, but a large variation in appearance and radiopharmaceutical uptake in fully functioning horses make diagnosis difficult. Objectives: To describe the range of and compare scintigraphic and radiographic findings in the spinous processes of horses without clinical signs of back problems. Methods: Thirty-three apparently normal riding horses underwent scintigraphic and radiographic examinations of the spinous processes in the thoracolumbar spine. Scintigraphic images were evaluated in a continuous blue, green and red colour scale, and the level of radiopharmaceutical uptake in the spinous processes from T10-L2 was graded into none, mild, moderate or severe increased radiopharmaceutical uptake. Structural changes along the borders of the spinous processes and the width of the interspinous spaces from T10-L2 were recorded. Results: Only 7 horses had no scintigraphic or radiographic findings. Nine horses had no increased radiopharmaceutical uptake, 17 had no sclerosis, 21 had no radiolucencies and 11 had normal spacing of the spinous processes (&gt;4 mm wide). The majority of findings in 26 horses were located from T13-18 and were mild. Conclusions: The findings of a wide spectrum of scintigraphic and radiographic changes leads to the conclusion that changes within this range found in affected horses cannot be interpreted as clinically significant. Potential relevance: To determine whether scintigraphy and/or radiography can be used to separate horses with back pain from horses without clinical signs, the results from this study should be compared to the scintigraphic and radiographic findings in horses with clinical signs.","author":[{"dropping-particle":"","family":"Erichsen","given":"C.","non-dropping-particle":"","parse-names":false,"suffix":""},{"dropping-particle":"","family":"Eksell","given":"P.","non-dropping-particle":"","parse-names":false,"suffix":""},{"dropping-particle":"","family":"Roethlisberger Holm","given":"K.","non-dropping-particle":"","parse-names":false,"suffix":""},{"dropping-particle":"","family":"Lord","given":"P.","non-dropping-particle":"","parse-names":false,"suffix":""},{"dropping-particle":"","family":"Johnston","given":"C.","non-dropping-particle":"","parse-names":false,"suffix":""}],"container-title":"Equine Veterinary Journal","id":"ITEM-1","issue":"6","issued":{"date-parts":[["2004"]]},"page":"458-465","title":"Relationship between scintigraphic and radiographic evaluations of spinous processes in the thoracolumbar spine in riding horses without clinical signs of back problems","type":"article-journal","volume":"36"},"uris":["http://www.mendeley.com/documents/?uuid=5c233ecf-5ab9-4864-9434-7194183c41fe"]}],"mendeley":{"formattedCitation":"(4)","plainTextFormattedCitation":"(4)","previouslyFormattedCitation":"(4)"},"properties":{"noteIndex":0},"schema":"https://github.com/citation-style-language/schema/raw/master/csl-citation.json"}</w:instrText>
      </w:r>
      <w:r w:rsidR="00224567" w:rsidRPr="00105869">
        <w:rPr>
          <w:lang w:val="en-GB"/>
        </w:rPr>
        <w:fldChar w:fldCharType="separate"/>
      </w:r>
      <w:r w:rsidR="00FE2B59" w:rsidRPr="00105869">
        <w:rPr>
          <w:noProof/>
          <w:lang w:val="en-GB"/>
        </w:rPr>
        <w:t>(4)</w:t>
      </w:r>
      <w:r w:rsidR="00224567" w:rsidRPr="00105869">
        <w:rPr>
          <w:lang w:val="en-GB"/>
        </w:rPr>
        <w:fldChar w:fldCharType="end"/>
      </w:r>
      <w:r w:rsidR="00224567" w:rsidRPr="00105869">
        <w:rPr>
          <w:lang w:val="en-GB"/>
        </w:rPr>
        <w:t xml:space="preserve"> </w:t>
      </w:r>
      <w:r w:rsidR="007354FB">
        <w:rPr>
          <w:lang w:val="en-GB"/>
        </w:rPr>
        <w:t>Unfortunately, no</w:t>
      </w:r>
      <w:r w:rsidR="00224BA0">
        <w:rPr>
          <w:lang w:val="en-GB"/>
        </w:rPr>
        <w:t xml:space="preserve"> studies have been performed on the degree and the variance of single </w:t>
      </w:r>
      <w:r w:rsidR="00F93877">
        <w:rPr>
          <w:lang w:val="en-GB"/>
        </w:rPr>
        <w:t xml:space="preserve">structural changes of </w:t>
      </w:r>
      <w:r w:rsidR="00224BA0">
        <w:rPr>
          <w:lang w:val="en-GB"/>
        </w:rPr>
        <w:t xml:space="preserve">radiographic abnormalities </w:t>
      </w:r>
      <w:r w:rsidR="00F93877">
        <w:rPr>
          <w:lang w:val="en-GB"/>
        </w:rPr>
        <w:t xml:space="preserve">of the SP </w:t>
      </w:r>
      <w:r w:rsidR="00224BA0">
        <w:rPr>
          <w:lang w:val="en-GB"/>
        </w:rPr>
        <w:t xml:space="preserve">in accordance to </w:t>
      </w:r>
      <w:r w:rsidR="008241BF">
        <w:rPr>
          <w:lang w:val="en-GB"/>
        </w:rPr>
        <w:t xml:space="preserve">the change of developing </w:t>
      </w:r>
      <w:r w:rsidR="00224BA0">
        <w:rPr>
          <w:lang w:val="en-GB"/>
        </w:rPr>
        <w:t>clinical findings of back pain</w:t>
      </w:r>
      <w:r w:rsidR="007354FB">
        <w:rPr>
          <w:lang w:val="en-GB"/>
        </w:rPr>
        <w:t xml:space="preserve"> in the future</w:t>
      </w:r>
      <w:r w:rsidR="00224BA0">
        <w:rPr>
          <w:lang w:val="en-GB"/>
        </w:rPr>
        <w:t xml:space="preserve">. </w:t>
      </w:r>
      <w:r w:rsidR="00224567" w:rsidRPr="00105869">
        <w:rPr>
          <w:lang w:val="en-GB"/>
        </w:rPr>
        <w:t xml:space="preserve">This, in association with our findings of moderate agreement of scoring SP of unaffected horses on PPE and the statement of the FEEVA indicates that inclusion of radiographs of the thoracolumbar SP in a PPE is questionable. </w:t>
      </w:r>
      <w:r w:rsidR="00F411D1">
        <w:rPr>
          <w:lang w:val="en-GB"/>
        </w:rPr>
        <w:t xml:space="preserve">Follow-up studies are required to establish cut-off values for severity in radiographic abnormalities of the SP. </w:t>
      </w:r>
    </w:p>
    <w:p w14:paraId="25C604F2" w14:textId="77777777" w:rsidR="002D1191" w:rsidRPr="00105869" w:rsidRDefault="002D1191" w:rsidP="005B693E">
      <w:pPr>
        <w:spacing w:line="480" w:lineRule="auto"/>
        <w:rPr>
          <w:lang w:val="en-GB"/>
        </w:rPr>
      </w:pPr>
    </w:p>
    <w:p w14:paraId="0667B39B" w14:textId="276C262E" w:rsidR="00FA632F" w:rsidRPr="00105869" w:rsidRDefault="00FD55EA" w:rsidP="005B693E">
      <w:pPr>
        <w:spacing w:line="480" w:lineRule="auto"/>
        <w:rPr>
          <w:lang w:val="en-GB"/>
        </w:rPr>
      </w:pPr>
      <w:r w:rsidRPr="00105869">
        <w:rPr>
          <w:lang w:val="en-GB"/>
        </w:rPr>
        <w:t xml:space="preserve">Limitations of </w:t>
      </w:r>
      <w:r w:rsidR="0012726E" w:rsidRPr="00105869">
        <w:rPr>
          <w:lang w:val="en-GB"/>
        </w:rPr>
        <w:t>the</w:t>
      </w:r>
      <w:r w:rsidRPr="00105869">
        <w:rPr>
          <w:lang w:val="en-GB"/>
        </w:rPr>
        <w:t xml:space="preserve"> study </w:t>
      </w:r>
      <w:r w:rsidR="00296122">
        <w:rPr>
          <w:lang w:val="en-GB"/>
        </w:rPr>
        <w:t>relate to</w:t>
      </w:r>
      <w:r w:rsidRPr="00105869">
        <w:rPr>
          <w:lang w:val="en-GB"/>
        </w:rPr>
        <w:t xml:space="preserve"> the chosen study cohort. </w:t>
      </w:r>
      <w:r w:rsidR="00463C63" w:rsidRPr="00105869">
        <w:rPr>
          <w:lang w:val="en-GB"/>
        </w:rPr>
        <w:t>By including</w:t>
      </w:r>
      <w:r w:rsidRPr="00105869">
        <w:rPr>
          <w:lang w:val="en-GB"/>
        </w:rPr>
        <w:t xml:space="preserve"> only horses without clinical </w:t>
      </w:r>
      <w:r w:rsidR="00380B5C" w:rsidRPr="00105869">
        <w:rPr>
          <w:lang w:val="en-GB"/>
        </w:rPr>
        <w:t xml:space="preserve">signs </w:t>
      </w:r>
      <w:r w:rsidRPr="00105869">
        <w:rPr>
          <w:lang w:val="en-GB"/>
        </w:rPr>
        <w:t>of back pain</w:t>
      </w:r>
      <w:r w:rsidR="00463C63" w:rsidRPr="00105869">
        <w:rPr>
          <w:lang w:val="en-GB"/>
        </w:rPr>
        <w:t xml:space="preserve"> only</w:t>
      </w:r>
      <w:r w:rsidRPr="00105869">
        <w:rPr>
          <w:lang w:val="en-GB"/>
        </w:rPr>
        <w:t xml:space="preserve"> less severe radiographic abnormalities and a lower prevalence of those abnormalities</w:t>
      </w:r>
      <w:r w:rsidR="00463C63" w:rsidRPr="00105869">
        <w:rPr>
          <w:lang w:val="en-GB"/>
        </w:rPr>
        <w:t xml:space="preserve"> were observ</w:t>
      </w:r>
      <w:r w:rsidR="00C71D6C" w:rsidRPr="00105869">
        <w:rPr>
          <w:lang w:val="en-GB"/>
        </w:rPr>
        <w:t>e</w:t>
      </w:r>
      <w:r w:rsidR="00463C63" w:rsidRPr="00105869">
        <w:rPr>
          <w:lang w:val="en-GB"/>
        </w:rPr>
        <w:t>d</w:t>
      </w:r>
      <w:bookmarkStart w:id="26" w:name="OLE_LINK31"/>
      <w:bookmarkStart w:id="27" w:name="OLE_LINK32"/>
      <w:r w:rsidRPr="00105869">
        <w:rPr>
          <w:lang w:val="en-GB"/>
        </w:rPr>
        <w:t xml:space="preserve">. </w:t>
      </w:r>
      <w:r w:rsidR="00B56CA6">
        <w:rPr>
          <w:lang w:val="en-GB"/>
        </w:rPr>
        <w:t xml:space="preserve">Secondly, the mean age of this group was five years and it can be expected that radiographic changes might be of less extent. This is similar to what was found in another study where results showed that the only group where no radiographic abnormalities were found in SP in the scope of PPE was the youngster group (age between 3-7 years). </w:t>
      </w:r>
      <w:r w:rsidR="00B56CA6">
        <w:rPr>
          <w:lang w:val="en-GB"/>
        </w:rPr>
        <w:fldChar w:fldCharType="begin" w:fldLock="1"/>
      </w:r>
      <w:r w:rsidR="00B56CA6">
        <w:rPr>
          <w:lang w:val="en-GB"/>
        </w:rPr>
        <w:instrText>ADDIN CSL_CITATION {"citationItems":[{"id":"ITEM-1","itemData":{"DOI":"10.21836/pem20070506","ISSN":"01777726","abstract":"The significance of X-ray alterations in the sense of \"Kissing Spines\" for the usefulness of saddle horses is highly disputed. In spite of considerable x-ray results some horses show no clinical discomfort. On the other hand alterations on the spinal processes can cause pain and involve problems when riding the horse or make a horse even unridable. In order to being better equipped to assess the x-ray results on the spinal processes, a retrospective study was performed by way of analysis of spinal processes -x-rays of 295 clinically back sound warm-blood horses. All horses of this study were x-rayed in \"Tierklinik Telgte\". X-ray alterations on the spinal processes were diagnosed with 91,5% of the horses. The x-ray results were assessed according to localisation, character and degree of alteration. Most afflicted spinal processes were found to be vertebras T12 to T18. The most frequent results were diminished internal spaces of spinal processes including changes of the bone structure of the spinal processes. Only 8,5% of the tested horses showed no abnormality in the x-ray results. X-ray alterations thus are frequent even among clinically back healthy horses. If alterations occur almost always the spinal processes of the caudal saddle position are affected. Recent court decisions have ruled x-ray alterations not accompanied by clinical symptoms as not being material defects. Therefore it is worth discussing whether an x-ray exam as part of a general exam at the time of a purchase makes sense at all under these circumstances when x-rays are performed without a clinical suspicion of a dorsal ailment it would most probably be sufficient to perform a singular x-ray of the caudal saddle position allowing for radiation protection.","author":[{"dropping-particle":"","family":"Holmer","given":"Matilda","non-dropping-particle":"","parse-names":false,"suffix":""},{"dropping-particle":"","family":"Wollanke","given":"Bettina","non-dropping-particle":"","parse-names":false,"suffix":""},{"dropping-particle":"","family":"Stadtbäumer","given":"Guido","non-dropping-particle":"","parse-names":false,"suffix":""}],"container-title":"Pferdeheilkunde","id":"ITEM-1","issue":"5","issued":{"date-parts":[["2007"]]},"page":"507-511","title":"X-ray alterations on spinal processes of 295 warmblood horses without clinical findings","type":"article-journal","volume":"23"},"uris":["http://www.mendeley.com/documents/?uuid=5f9009b5-eac1-45b6-991a-0f7938b67ebb"]}],"mendeley":{"formattedCitation":"(5)","plainTextFormattedCitation":"(5)"},"properties":{"noteIndex":0},"schema":"https://github.com/citation-style-language/schema/raw/master/csl-citation.json"}</w:instrText>
      </w:r>
      <w:r w:rsidR="00B56CA6">
        <w:rPr>
          <w:lang w:val="en-GB"/>
        </w:rPr>
        <w:fldChar w:fldCharType="separate"/>
      </w:r>
      <w:r w:rsidR="00B56CA6" w:rsidRPr="00B56CA6">
        <w:rPr>
          <w:noProof/>
          <w:lang w:val="en-GB"/>
        </w:rPr>
        <w:t>(5)</w:t>
      </w:r>
      <w:r w:rsidR="00B56CA6">
        <w:rPr>
          <w:lang w:val="en-GB"/>
        </w:rPr>
        <w:fldChar w:fldCharType="end"/>
      </w:r>
      <w:bookmarkEnd w:id="26"/>
      <w:bookmarkEnd w:id="27"/>
      <w:r w:rsidR="00B56CA6">
        <w:rPr>
          <w:lang w:val="en-GB"/>
        </w:rPr>
        <w:t xml:space="preserve"> </w:t>
      </w:r>
      <w:r w:rsidRPr="00105869">
        <w:rPr>
          <w:lang w:val="en-GB"/>
        </w:rPr>
        <w:t>Therefore, poor agreement of certain radiographic features might be associated with the</w:t>
      </w:r>
      <w:r w:rsidR="00463C63" w:rsidRPr="00105869">
        <w:rPr>
          <w:lang w:val="en-GB"/>
        </w:rPr>
        <w:t xml:space="preserve"> prevalence of</w:t>
      </w:r>
      <w:r w:rsidRPr="00105869">
        <w:rPr>
          <w:lang w:val="en-GB"/>
        </w:rPr>
        <w:t xml:space="preserve"> these abnormalities. </w:t>
      </w:r>
      <w:r w:rsidRPr="002F43E0">
        <w:rPr>
          <w:lang w:val="en-GB"/>
        </w:rPr>
        <w:t xml:space="preserve">This most likely </w:t>
      </w:r>
      <w:r w:rsidR="00463C63" w:rsidRPr="002F43E0">
        <w:rPr>
          <w:lang w:val="en-GB"/>
        </w:rPr>
        <w:t>led to the poor agreement</w:t>
      </w:r>
      <w:r w:rsidRPr="002F43E0">
        <w:rPr>
          <w:lang w:val="en-GB"/>
        </w:rPr>
        <w:t xml:space="preserve"> in grading </w:t>
      </w:r>
      <w:proofErr w:type="spellStart"/>
      <w:r w:rsidRPr="002F43E0">
        <w:rPr>
          <w:lang w:val="en-GB"/>
        </w:rPr>
        <w:t>radiolucencies</w:t>
      </w:r>
      <w:proofErr w:type="spellEnd"/>
      <w:r w:rsidRPr="002F43E0">
        <w:rPr>
          <w:lang w:val="en-GB"/>
        </w:rPr>
        <w:t xml:space="preserve"> as well as osseous cyst like lesions in the current study</w:t>
      </w:r>
      <w:r w:rsidR="002D1191" w:rsidRPr="002F43E0">
        <w:rPr>
          <w:lang w:val="en-GB"/>
        </w:rPr>
        <w:t xml:space="preserve">, which </w:t>
      </w:r>
      <w:r w:rsidR="008D7549" w:rsidRPr="002F43E0">
        <w:rPr>
          <w:lang w:val="en-GB"/>
        </w:rPr>
        <w:t xml:space="preserve">could be </w:t>
      </w:r>
      <w:r w:rsidR="002D1191" w:rsidRPr="002F43E0">
        <w:rPr>
          <w:lang w:val="en-GB"/>
        </w:rPr>
        <w:t xml:space="preserve">explained by a </w:t>
      </w:r>
      <w:r w:rsidRPr="002F43E0">
        <w:rPr>
          <w:lang w:val="en-GB"/>
        </w:rPr>
        <w:t xml:space="preserve">similar effect </w:t>
      </w:r>
      <w:r w:rsidR="007354FB" w:rsidRPr="002F43E0">
        <w:rPr>
          <w:lang w:val="en-GB"/>
        </w:rPr>
        <w:t xml:space="preserve">due to low prevalence which was </w:t>
      </w:r>
      <w:r w:rsidRPr="002F43E0">
        <w:rPr>
          <w:lang w:val="en-GB"/>
        </w:rPr>
        <w:t>found in another study</w:t>
      </w:r>
      <w:r w:rsidR="001A15BB" w:rsidRPr="002F43E0">
        <w:rPr>
          <w:lang w:val="en-GB"/>
        </w:rPr>
        <w:t>.</w:t>
      </w:r>
      <w:r w:rsidR="003364F1" w:rsidRPr="002F43E0">
        <w:rPr>
          <w:lang w:val="en-GB"/>
        </w:rPr>
        <w:fldChar w:fldCharType="begin" w:fldLock="1"/>
      </w:r>
      <w:r w:rsidR="00B56CA6">
        <w:rPr>
          <w:lang w:val="en-GB"/>
        </w:rPr>
        <w:instrText>ADDIN CSL_CITATION {"citationItems":[{"id":"ITEM-1","itemData":{"DOI":"10.2746/042516408X345125","ISBN":"042516408X","ISSN":"04251644","PMID":"19418739","abstract":"Reasons for performing study: Criteria for the radiographic evaluation of navicular bones in horses have been published to standardise classification of radiographic signs. However, intra- and interobserver agreement have not been established. Objective: To determine intra- and interobserver agreement in the evaluation of radiographic and computed tomographic (CT) navicular changes. It was hypothesised that: 1) intraobserver agreement would be better than interobserver agreement; 2) agreement would be better for CT than for radiography; and 3) pathological changes would be recognised with greater certainty with CT. Methods: Radiographs and CT scans of 60 cadaver navicular bones were evaluated by 3 observers using published criteria. A subset of 30 studies was evaluated twice by one observer. Agreement was tested using the kappa statistic. Certainty about pathological changes was evaluated by giving the observers the option to choose 'not sure'. Results: Agreement varied from poor to almost perfect for radiographic evaluation and from poor to substantial for CT evaluation. For radiographic evaluation mean interobserver agreement was fair, as it was for CT evaluation. For radiographic evaluation mean intraobserver agreement was moderate as it was for CT evaluation. Pathological changes were evaluated with greater certainty on CT scans compared to radiographs; however, this was not associated with improved agreement. Conclusions: Variations in classification of navicular lesions in radiographic and CT studies were considerable between and within observers and challenge the use of such studies for diagnostic and prognostic purposes. Potential relevance: The results of this study allowed the identification of evaluation criteria with sufficient precision to be useful for navicular bone evaluation.","author":[{"dropping-particle":"","family":"Groth","given":"A. M.","non-dropping-particle":"","parse-names":false,"suffix":""},{"dropping-particle":"","family":"May","given":"S. A.","non-dropping-particle":"","parse-names":false,"suffix":""},{"dropping-particle":"","family":"Weaver","given":"M. P.","non-dropping-particle":"","parse-names":false,"suffix":""},{"dropping-particle":"","family":"Weller","given":"R.","non-dropping-particle":"","parse-names":false,"suffix":""}],"container-title":"Equine Veterinary Journal","id":"ITEM-1","issue":"2","issued":{"date-parts":[["2009"]]},"page":"124-129","title":"Intra- and interobserver agreement in the interpretation of navicular bones on radiographs and computed tomography scans","type":"article-journal","volume":"41"},"uris":["http://www.mendeley.com/documents/?uuid=046df5bf-0366-41ed-950e-55758d595766"]}],"mendeley":{"formattedCitation":"(29)","plainTextFormattedCitation":"(29)","previouslyFormattedCitation":"(29)"},"properties":{"noteIndex":0},"schema":"https://github.com/citation-style-language/schema/raw/master/csl-citation.json"}</w:instrText>
      </w:r>
      <w:r w:rsidR="003364F1" w:rsidRPr="002F43E0">
        <w:rPr>
          <w:lang w:val="en-GB"/>
        </w:rPr>
        <w:fldChar w:fldCharType="separate"/>
      </w:r>
      <w:r w:rsidR="009F0CC5" w:rsidRPr="009F0CC5">
        <w:rPr>
          <w:noProof/>
          <w:lang w:val="en-GB"/>
        </w:rPr>
        <w:t>(29)</w:t>
      </w:r>
      <w:r w:rsidR="003364F1" w:rsidRPr="002F43E0">
        <w:rPr>
          <w:lang w:val="en-GB"/>
        </w:rPr>
        <w:fldChar w:fldCharType="end"/>
      </w:r>
      <w:r w:rsidR="005B263D" w:rsidRPr="00105869">
        <w:rPr>
          <w:lang w:val="en-GB"/>
        </w:rPr>
        <w:t xml:space="preserve"> </w:t>
      </w:r>
      <w:r w:rsidR="00FA632F" w:rsidRPr="00105869">
        <w:rPr>
          <w:lang w:val="en-GB"/>
        </w:rPr>
        <w:t>Follow-up of this coh</w:t>
      </w:r>
      <w:r w:rsidR="004D245C" w:rsidRPr="00105869">
        <w:rPr>
          <w:lang w:val="en-GB"/>
        </w:rPr>
        <w:t>o</w:t>
      </w:r>
      <w:r w:rsidR="00FA632F" w:rsidRPr="00105869">
        <w:rPr>
          <w:lang w:val="en-GB"/>
        </w:rPr>
        <w:t xml:space="preserve">rt was not </w:t>
      </w:r>
      <w:r w:rsidR="004D245C" w:rsidRPr="00105869">
        <w:rPr>
          <w:lang w:val="en-GB"/>
        </w:rPr>
        <w:t>obtained</w:t>
      </w:r>
      <w:r w:rsidR="00FA632F" w:rsidRPr="00105869">
        <w:rPr>
          <w:lang w:val="en-GB"/>
        </w:rPr>
        <w:t xml:space="preserve"> since the </w:t>
      </w:r>
      <w:r w:rsidR="009F4E1B" w:rsidRPr="00105869">
        <w:rPr>
          <w:lang w:val="en-GB"/>
        </w:rPr>
        <w:t xml:space="preserve">aim of the </w:t>
      </w:r>
      <w:r w:rsidR="00FA632F" w:rsidRPr="00105869">
        <w:rPr>
          <w:lang w:val="en-GB"/>
        </w:rPr>
        <w:t xml:space="preserve">study only </w:t>
      </w:r>
      <w:r w:rsidR="008D7549">
        <w:rPr>
          <w:lang w:val="en-GB"/>
        </w:rPr>
        <w:t>investigated</w:t>
      </w:r>
      <w:r w:rsidR="008D7549" w:rsidRPr="00105869">
        <w:rPr>
          <w:lang w:val="en-GB"/>
        </w:rPr>
        <w:t xml:space="preserve"> </w:t>
      </w:r>
      <w:r w:rsidR="004D245C" w:rsidRPr="00105869">
        <w:rPr>
          <w:lang w:val="en-GB"/>
        </w:rPr>
        <w:t>inter</w:t>
      </w:r>
      <w:r w:rsidR="0012726E" w:rsidRPr="00105869">
        <w:rPr>
          <w:lang w:val="en-GB"/>
        </w:rPr>
        <w:t>-</w:t>
      </w:r>
      <w:r w:rsidR="004D245C" w:rsidRPr="00105869">
        <w:rPr>
          <w:lang w:val="en-GB"/>
        </w:rPr>
        <w:t xml:space="preserve"> and intra</w:t>
      </w:r>
      <w:r w:rsidR="0012726E" w:rsidRPr="00105869">
        <w:rPr>
          <w:lang w:val="en-GB"/>
        </w:rPr>
        <w:t>-</w:t>
      </w:r>
      <w:r w:rsidR="004D245C" w:rsidRPr="00105869">
        <w:rPr>
          <w:lang w:val="en-GB"/>
        </w:rPr>
        <w:t xml:space="preserve">observer agreement </w:t>
      </w:r>
      <w:r w:rsidR="002D1191" w:rsidRPr="00105869">
        <w:rPr>
          <w:lang w:val="en-GB"/>
        </w:rPr>
        <w:t xml:space="preserve">of different radiographic alterations </w:t>
      </w:r>
      <w:r w:rsidR="004D245C" w:rsidRPr="00105869">
        <w:rPr>
          <w:lang w:val="en-GB"/>
        </w:rPr>
        <w:t xml:space="preserve">amongst </w:t>
      </w:r>
      <w:r w:rsidR="004D245C" w:rsidRPr="00105869">
        <w:rPr>
          <w:lang w:val="en-GB"/>
        </w:rPr>
        <w:lastRenderedPageBreak/>
        <w:t xml:space="preserve">observers and therefore stating healthy horses is only true for that aforementioned time frame </w:t>
      </w:r>
      <w:r w:rsidR="00296122">
        <w:rPr>
          <w:lang w:val="en-GB"/>
        </w:rPr>
        <w:t>in which</w:t>
      </w:r>
      <w:r w:rsidR="004D245C" w:rsidRPr="00105869">
        <w:rPr>
          <w:lang w:val="en-GB"/>
        </w:rPr>
        <w:t xml:space="preserve"> the </w:t>
      </w:r>
      <w:r w:rsidR="00E46901" w:rsidRPr="00105869">
        <w:rPr>
          <w:lang w:val="en-GB"/>
        </w:rPr>
        <w:t>PPE</w:t>
      </w:r>
      <w:r w:rsidR="004D245C" w:rsidRPr="00105869">
        <w:rPr>
          <w:lang w:val="en-GB"/>
        </w:rPr>
        <w:t xml:space="preserve"> was performed. </w:t>
      </w:r>
    </w:p>
    <w:p w14:paraId="67157EAA" w14:textId="77777777" w:rsidR="00016922" w:rsidRPr="00105869" w:rsidRDefault="00016922" w:rsidP="005B693E">
      <w:pPr>
        <w:spacing w:line="480" w:lineRule="auto"/>
        <w:rPr>
          <w:lang w:val="en-GB"/>
        </w:rPr>
      </w:pPr>
    </w:p>
    <w:p w14:paraId="3C26040A" w14:textId="5751E4B3" w:rsidR="00A16FB9" w:rsidRPr="00105869" w:rsidRDefault="00016922" w:rsidP="00A16FB9">
      <w:pPr>
        <w:spacing w:line="480" w:lineRule="auto"/>
        <w:rPr>
          <w:b/>
          <w:bCs/>
          <w:lang w:val="en-GB"/>
        </w:rPr>
      </w:pPr>
      <w:bookmarkStart w:id="28" w:name="OLE_LINK33"/>
      <w:bookmarkStart w:id="29" w:name="OLE_LINK34"/>
      <w:r w:rsidRPr="00105869">
        <w:rPr>
          <w:lang w:val="en-GB"/>
        </w:rPr>
        <w:t>Inter</w:t>
      </w:r>
      <w:r w:rsidR="00717772" w:rsidRPr="00105869">
        <w:rPr>
          <w:lang w:val="en-GB"/>
        </w:rPr>
        <w:t>-</w:t>
      </w:r>
      <w:r w:rsidRPr="00105869">
        <w:rPr>
          <w:lang w:val="en-GB"/>
        </w:rPr>
        <w:t xml:space="preserve"> and intra</w:t>
      </w:r>
      <w:r w:rsidR="00717772" w:rsidRPr="00105869">
        <w:rPr>
          <w:lang w:val="en-GB"/>
        </w:rPr>
        <w:t>-</w:t>
      </w:r>
      <w:r w:rsidRPr="00105869">
        <w:rPr>
          <w:lang w:val="en-GB"/>
        </w:rPr>
        <w:t xml:space="preserve">observer agreement for grading thoracolumbar </w:t>
      </w:r>
      <w:r w:rsidR="00DF198D" w:rsidRPr="00105869">
        <w:rPr>
          <w:lang w:val="en-GB"/>
        </w:rPr>
        <w:t>SP</w:t>
      </w:r>
      <w:r w:rsidRPr="00105869">
        <w:rPr>
          <w:lang w:val="en-GB"/>
        </w:rPr>
        <w:t xml:space="preserve"> of horses </w:t>
      </w:r>
      <w:r w:rsidR="00F7589A">
        <w:rPr>
          <w:lang w:val="en-GB"/>
        </w:rPr>
        <w:t xml:space="preserve">without back pain </w:t>
      </w:r>
      <w:r w:rsidRPr="00105869">
        <w:rPr>
          <w:lang w:val="en-GB"/>
        </w:rPr>
        <w:t xml:space="preserve">at </w:t>
      </w:r>
      <w:r w:rsidR="00E46901" w:rsidRPr="00105869">
        <w:rPr>
          <w:lang w:val="en-GB"/>
        </w:rPr>
        <w:t>PPE</w:t>
      </w:r>
      <w:r w:rsidRPr="00105869">
        <w:rPr>
          <w:lang w:val="en-GB"/>
        </w:rPr>
        <w:t xml:space="preserve"> </w:t>
      </w:r>
      <w:r w:rsidR="00EE43DC" w:rsidRPr="00105869">
        <w:rPr>
          <w:lang w:val="en-GB"/>
        </w:rPr>
        <w:t>show</w:t>
      </w:r>
      <w:r w:rsidR="00201C6B">
        <w:rPr>
          <w:lang w:val="en-GB"/>
        </w:rPr>
        <w:t>ed</w:t>
      </w:r>
      <w:r w:rsidRPr="00105869">
        <w:rPr>
          <w:lang w:val="en-GB"/>
        </w:rPr>
        <w:t xml:space="preserve"> variable levels of agreement. </w:t>
      </w:r>
      <w:bookmarkEnd w:id="28"/>
      <w:bookmarkEnd w:id="29"/>
      <w:r w:rsidRPr="00105869">
        <w:rPr>
          <w:lang w:val="en-GB"/>
        </w:rPr>
        <w:t xml:space="preserve">Several single parameters such as </w:t>
      </w:r>
      <w:r w:rsidR="00E46901" w:rsidRPr="00105869">
        <w:rPr>
          <w:lang w:val="en-GB"/>
        </w:rPr>
        <w:t>ISW</w:t>
      </w:r>
      <w:r w:rsidRPr="00105869">
        <w:rPr>
          <w:lang w:val="en-GB"/>
        </w:rPr>
        <w:t xml:space="preserve"> and the presence, size of isolated opacities dorsal to the </w:t>
      </w:r>
      <w:r w:rsidR="00C9695E" w:rsidRPr="00105869">
        <w:rPr>
          <w:lang w:val="en-GB"/>
        </w:rPr>
        <w:t>SP</w:t>
      </w:r>
      <w:r w:rsidRPr="00105869">
        <w:rPr>
          <w:lang w:val="en-GB"/>
        </w:rPr>
        <w:t>, craniodorsal beak-shaped formations and cranioventral modelling process appear</w:t>
      </w:r>
      <w:r w:rsidR="005B263D" w:rsidRPr="00105869">
        <w:rPr>
          <w:lang w:val="en-GB"/>
        </w:rPr>
        <w:t>ed</w:t>
      </w:r>
      <w:r w:rsidRPr="00105869">
        <w:rPr>
          <w:lang w:val="en-GB"/>
        </w:rPr>
        <w:t xml:space="preserve"> reliable. However, </w:t>
      </w:r>
      <w:r w:rsidR="006A3D18">
        <w:rPr>
          <w:lang w:val="en-GB"/>
        </w:rPr>
        <w:t xml:space="preserve">structural changes such as </w:t>
      </w:r>
      <w:r w:rsidRPr="00105869">
        <w:rPr>
          <w:lang w:val="en-GB"/>
        </w:rPr>
        <w:t xml:space="preserve">modelling along the other cortical margins of the </w:t>
      </w:r>
      <w:r w:rsidR="00396B34" w:rsidRPr="00105869">
        <w:rPr>
          <w:lang w:val="en-GB"/>
        </w:rPr>
        <w:t>SP</w:t>
      </w:r>
      <w:r w:rsidRPr="00105869">
        <w:rPr>
          <w:lang w:val="en-GB"/>
        </w:rPr>
        <w:t xml:space="preserve">, </w:t>
      </w:r>
      <w:proofErr w:type="spellStart"/>
      <w:r w:rsidRPr="00105869">
        <w:rPr>
          <w:lang w:val="en-GB"/>
        </w:rPr>
        <w:t>radiolucencies</w:t>
      </w:r>
      <w:proofErr w:type="spellEnd"/>
      <w:r w:rsidR="006F384F" w:rsidRPr="00105869">
        <w:rPr>
          <w:lang w:val="en-GB"/>
        </w:rPr>
        <w:t xml:space="preserve">, radiopacities </w:t>
      </w:r>
      <w:r w:rsidRPr="00105869">
        <w:rPr>
          <w:lang w:val="en-GB"/>
        </w:rPr>
        <w:t xml:space="preserve">or OCCLs are less precise. Combining certain features </w:t>
      </w:r>
      <w:r w:rsidR="00396B34" w:rsidRPr="00105869">
        <w:rPr>
          <w:lang w:val="en-GB"/>
        </w:rPr>
        <w:t xml:space="preserve">of </w:t>
      </w:r>
      <w:r w:rsidRPr="00105869">
        <w:rPr>
          <w:lang w:val="en-GB"/>
        </w:rPr>
        <w:t xml:space="preserve">the </w:t>
      </w:r>
      <w:r w:rsidR="00396B34" w:rsidRPr="00105869">
        <w:rPr>
          <w:lang w:val="en-GB"/>
        </w:rPr>
        <w:t>SP</w:t>
      </w:r>
      <w:r w:rsidRPr="00105869">
        <w:rPr>
          <w:lang w:val="en-GB"/>
        </w:rPr>
        <w:t xml:space="preserve"> such as the sum</w:t>
      </w:r>
      <w:r w:rsidR="00B14EAD" w:rsidRPr="00105869">
        <w:rPr>
          <w:lang w:val="en-GB"/>
        </w:rPr>
        <w:t xml:space="preserve"> of</w:t>
      </w:r>
      <w:r w:rsidRPr="00105869">
        <w:rPr>
          <w:lang w:val="en-GB"/>
        </w:rPr>
        <w:t xml:space="preserve"> different sides of modelling</w:t>
      </w:r>
      <w:r w:rsidR="000A1C04" w:rsidRPr="00105869">
        <w:rPr>
          <w:lang w:val="en-GB"/>
        </w:rPr>
        <w:t xml:space="preserve">, </w:t>
      </w:r>
      <w:r w:rsidRPr="00105869">
        <w:rPr>
          <w:lang w:val="en-GB"/>
        </w:rPr>
        <w:t xml:space="preserve">different features of </w:t>
      </w:r>
      <w:r w:rsidR="000A1C04" w:rsidRPr="00105869">
        <w:rPr>
          <w:lang w:val="en-GB"/>
        </w:rPr>
        <w:t>abnormal</w:t>
      </w:r>
      <w:r w:rsidRPr="00105869">
        <w:rPr>
          <w:lang w:val="en-GB"/>
        </w:rPr>
        <w:t xml:space="preserve"> </w:t>
      </w:r>
      <w:r w:rsidR="000A1C04" w:rsidRPr="00105869">
        <w:rPr>
          <w:lang w:val="en-GB"/>
        </w:rPr>
        <w:t>radi</w:t>
      </w:r>
      <w:r w:rsidRPr="00105869">
        <w:rPr>
          <w:lang w:val="en-GB"/>
        </w:rPr>
        <w:t xml:space="preserve">opacity, or certain different associated radiographic abnormalities </w:t>
      </w:r>
      <w:r w:rsidR="007354FB">
        <w:rPr>
          <w:lang w:val="en-GB"/>
        </w:rPr>
        <w:t xml:space="preserve">either per anatomical region of the SP or for the complete SP </w:t>
      </w:r>
      <w:r w:rsidRPr="00105869">
        <w:rPr>
          <w:lang w:val="en-GB"/>
        </w:rPr>
        <w:t>show promising results.</w:t>
      </w:r>
      <w:r w:rsidR="001272EB" w:rsidRPr="00105869">
        <w:rPr>
          <w:lang w:val="en-GB"/>
        </w:rPr>
        <w:t xml:space="preserve"> </w:t>
      </w:r>
      <w:bookmarkStart w:id="30" w:name="OLE_LINK25"/>
      <w:bookmarkStart w:id="31" w:name="OLE_LINK26"/>
      <w:r w:rsidR="00A16FB9">
        <w:rPr>
          <w:lang w:val="en-GB"/>
        </w:rPr>
        <w:t>Parameters advised for a future grading system would involve: Interspinous space width, Intensity and width of increased opacity cranial &amp; caudal margin of the spinous process, Modelling cranial &amp; caudal margins of the spinous process, Osseous cyst like lesions cranially and caudally of the spinous process, Isolated linear radiopacity dorsal margin spinous processes, Modelling craniodorsal margin of the spinous process, Number of affected spinous processes in total and Location(s) of affected spinous processes</w:t>
      </w:r>
      <w:bookmarkEnd w:id="30"/>
      <w:bookmarkEnd w:id="31"/>
      <w:r w:rsidR="00A16FB9">
        <w:rPr>
          <w:lang w:val="en-GB"/>
        </w:rPr>
        <w:t>. However, i</w:t>
      </w:r>
      <w:r w:rsidR="00A16FB9" w:rsidRPr="00105869">
        <w:rPr>
          <w:lang w:val="en-GB"/>
        </w:rPr>
        <w:t>n light of the possible clinical insignificance of radiographic alterations on horses without clinical symptoms of back pain, the relevance of these radiographs might be questionable. Future research will need to incorporate such combinations to establish a single reliable and repeatable scoring system tested on horses with and without back pain.</w:t>
      </w:r>
    </w:p>
    <w:p w14:paraId="5A88FD5A" w14:textId="1975B4D3" w:rsidR="009314E0" w:rsidRDefault="009314E0" w:rsidP="005B693E">
      <w:pPr>
        <w:spacing w:line="480" w:lineRule="auto"/>
        <w:rPr>
          <w:lang w:val="en-GB"/>
        </w:rPr>
      </w:pPr>
    </w:p>
    <w:p w14:paraId="484B8138" w14:textId="2E11B8DC" w:rsidR="00CB4D62" w:rsidRPr="00105869" w:rsidRDefault="00CB4D62" w:rsidP="005B693E">
      <w:pPr>
        <w:spacing w:line="480" w:lineRule="auto"/>
        <w:rPr>
          <w:lang w:val="en-GB"/>
        </w:rPr>
        <w:sectPr w:rsidR="00CB4D62" w:rsidRPr="00105869" w:rsidSect="00575A81">
          <w:pgSz w:w="11900" w:h="16840"/>
          <w:pgMar w:top="1417" w:right="1417" w:bottom="1417" w:left="1417" w:header="708" w:footer="708" w:gutter="0"/>
          <w:lnNumType w:countBy="1" w:restart="continuous"/>
          <w:cols w:space="708"/>
          <w:docGrid w:linePitch="360"/>
        </w:sectPr>
      </w:pPr>
    </w:p>
    <w:p w14:paraId="10B09B04" w14:textId="38F546EB" w:rsidR="00BB07B7" w:rsidRPr="00C666E4" w:rsidRDefault="003B5463" w:rsidP="00921183">
      <w:pPr>
        <w:spacing w:line="480" w:lineRule="auto"/>
        <w:rPr>
          <w:lang w:val="en-GB"/>
        </w:rPr>
      </w:pPr>
      <w:r w:rsidRPr="00C666E4">
        <w:rPr>
          <w:lang w:val="en-GB"/>
        </w:rPr>
        <w:lastRenderedPageBreak/>
        <w:t>Manufacturers’ addresses</w:t>
      </w:r>
    </w:p>
    <w:p w14:paraId="34AE7505" w14:textId="62B2550A" w:rsidR="003B5463" w:rsidRPr="00C666E4" w:rsidRDefault="003B5463" w:rsidP="00921183">
      <w:pPr>
        <w:spacing w:line="480" w:lineRule="auto"/>
        <w:rPr>
          <w:lang w:val="en-GB"/>
        </w:rPr>
      </w:pPr>
      <w:proofErr w:type="spellStart"/>
      <w:r w:rsidRPr="00C666E4">
        <w:rPr>
          <w:vertAlign w:val="superscript"/>
          <w:lang w:val="en-GB"/>
        </w:rPr>
        <w:t>a</w:t>
      </w:r>
      <w:r w:rsidRPr="00C666E4">
        <w:rPr>
          <w:lang w:val="en-GB"/>
        </w:rPr>
        <w:t>Zoetis</w:t>
      </w:r>
      <w:proofErr w:type="spellEnd"/>
      <w:r w:rsidRPr="00C666E4">
        <w:rPr>
          <w:lang w:val="en-GB"/>
        </w:rPr>
        <w:t xml:space="preserve"> Belgian, Louvain-la-</w:t>
      </w:r>
      <w:proofErr w:type="spellStart"/>
      <w:r w:rsidRPr="00C666E4">
        <w:rPr>
          <w:lang w:val="en-GB"/>
        </w:rPr>
        <w:t>Neuve</w:t>
      </w:r>
      <w:proofErr w:type="spellEnd"/>
      <w:r w:rsidRPr="00C666E4">
        <w:rPr>
          <w:lang w:val="en-GB"/>
        </w:rPr>
        <w:t>, Belgium</w:t>
      </w:r>
    </w:p>
    <w:p w14:paraId="6E7543D6" w14:textId="251AF525" w:rsidR="003B5463" w:rsidRPr="00C666E4" w:rsidRDefault="003B5463" w:rsidP="00921183">
      <w:pPr>
        <w:spacing w:line="480" w:lineRule="auto"/>
        <w:rPr>
          <w:lang w:val="en-GB"/>
        </w:rPr>
      </w:pPr>
      <w:proofErr w:type="spellStart"/>
      <w:r w:rsidRPr="00C666E4">
        <w:rPr>
          <w:vertAlign w:val="superscript"/>
          <w:lang w:val="en-GB"/>
        </w:rPr>
        <w:t>b</w:t>
      </w:r>
      <w:r w:rsidRPr="00C666E4">
        <w:rPr>
          <w:lang w:val="en-GB"/>
        </w:rPr>
        <w:t>Sedecal</w:t>
      </w:r>
      <w:proofErr w:type="spellEnd"/>
      <w:r w:rsidRPr="00C666E4">
        <w:rPr>
          <w:lang w:val="en-GB"/>
        </w:rPr>
        <w:t>, Madrid, Spain</w:t>
      </w:r>
    </w:p>
    <w:p w14:paraId="163B4BAF" w14:textId="446BB353" w:rsidR="003B5463" w:rsidRPr="00C666E4" w:rsidRDefault="003B5463" w:rsidP="00921183">
      <w:pPr>
        <w:spacing w:line="480" w:lineRule="auto"/>
        <w:rPr>
          <w:lang w:val="en-GB"/>
        </w:rPr>
      </w:pPr>
      <w:proofErr w:type="spellStart"/>
      <w:r w:rsidRPr="00C666E4">
        <w:rPr>
          <w:vertAlign w:val="superscript"/>
          <w:lang w:val="en-GB"/>
        </w:rPr>
        <w:t>c</w:t>
      </w:r>
      <w:r w:rsidRPr="00C666E4">
        <w:rPr>
          <w:lang w:val="en-GB"/>
        </w:rPr>
        <w:t>VetZ</w:t>
      </w:r>
      <w:proofErr w:type="spellEnd"/>
      <w:r w:rsidRPr="00C666E4">
        <w:rPr>
          <w:lang w:val="en-GB"/>
        </w:rPr>
        <w:t xml:space="preserve">, </w:t>
      </w:r>
      <w:proofErr w:type="spellStart"/>
      <w:r w:rsidRPr="00C666E4">
        <w:rPr>
          <w:lang w:val="en-GB"/>
        </w:rPr>
        <w:t>Sliedrecht</w:t>
      </w:r>
      <w:proofErr w:type="spellEnd"/>
      <w:r w:rsidRPr="00C666E4">
        <w:rPr>
          <w:lang w:val="en-GB"/>
        </w:rPr>
        <w:t>, The Netherlands</w:t>
      </w:r>
    </w:p>
    <w:p w14:paraId="72CB447A" w14:textId="223A2798" w:rsidR="003B5463" w:rsidRDefault="003B5463" w:rsidP="00921183">
      <w:pPr>
        <w:spacing w:line="480" w:lineRule="auto"/>
        <w:rPr>
          <w:lang w:val="en-GB"/>
        </w:rPr>
      </w:pPr>
      <w:proofErr w:type="spellStart"/>
      <w:r w:rsidRPr="00C666E4">
        <w:rPr>
          <w:vertAlign w:val="superscript"/>
          <w:lang w:val="en-GB"/>
        </w:rPr>
        <w:t>d</w:t>
      </w:r>
      <w:r w:rsidRPr="00C666E4">
        <w:rPr>
          <w:lang w:val="en-GB"/>
        </w:rPr>
        <w:t>Pixmeo</w:t>
      </w:r>
      <w:proofErr w:type="spellEnd"/>
      <w:r w:rsidRPr="00C666E4">
        <w:rPr>
          <w:lang w:val="en-GB"/>
        </w:rPr>
        <w:t xml:space="preserve"> SARL, Bernex, Switzerland</w:t>
      </w:r>
    </w:p>
    <w:p w14:paraId="2C0DA698" w14:textId="3516991E" w:rsidR="003B5463" w:rsidRDefault="003B5463" w:rsidP="00921183">
      <w:pPr>
        <w:spacing w:line="480" w:lineRule="auto"/>
        <w:rPr>
          <w:lang w:val="en-GB"/>
        </w:rPr>
      </w:pPr>
    </w:p>
    <w:p w14:paraId="3EFCF1C9" w14:textId="4000ABF9" w:rsidR="003B5463" w:rsidRDefault="003B5463" w:rsidP="00921183">
      <w:pPr>
        <w:spacing w:line="480" w:lineRule="auto"/>
        <w:rPr>
          <w:lang w:val="en-GB"/>
        </w:rPr>
      </w:pPr>
      <w:r>
        <w:rPr>
          <w:lang w:val="en-GB"/>
        </w:rPr>
        <w:t>Presented at: Parts of this study were presented as oral presentation at the ECVDI Online Conference 2020, September 17</w:t>
      </w:r>
      <w:r w:rsidR="00C666E4">
        <w:rPr>
          <w:lang w:val="en-GB"/>
        </w:rPr>
        <w:t>-</w:t>
      </w:r>
      <w:r>
        <w:rPr>
          <w:lang w:val="en-GB"/>
        </w:rPr>
        <w:t>18</w:t>
      </w:r>
      <w:r w:rsidR="00C666E4">
        <w:rPr>
          <w:lang w:val="en-GB"/>
        </w:rPr>
        <w:t>.</w:t>
      </w:r>
    </w:p>
    <w:p w14:paraId="24F20951" w14:textId="77777777" w:rsidR="00A66E93" w:rsidRPr="00105869" w:rsidRDefault="00A66E93" w:rsidP="00105869">
      <w:pPr>
        <w:spacing w:line="480" w:lineRule="auto"/>
        <w:rPr>
          <w:b/>
          <w:bCs/>
          <w:lang w:val="en-GB"/>
        </w:rPr>
      </w:pPr>
    </w:p>
    <w:p w14:paraId="4FC19EF1" w14:textId="42EB45A1" w:rsidR="00921183" w:rsidRPr="00C666E4" w:rsidRDefault="00A66E93" w:rsidP="00105869">
      <w:pPr>
        <w:spacing w:line="480" w:lineRule="auto"/>
        <w:rPr>
          <w:lang w:val="en-GB"/>
        </w:rPr>
      </w:pPr>
      <w:r w:rsidRPr="00C666E4">
        <w:rPr>
          <w:lang w:val="en-GB"/>
        </w:rPr>
        <w:t xml:space="preserve">Author </w:t>
      </w:r>
      <w:proofErr w:type="spellStart"/>
      <w:r w:rsidRPr="00C666E4">
        <w:rPr>
          <w:lang w:val="en-GB"/>
        </w:rPr>
        <w:t>contributorship</w:t>
      </w:r>
      <w:proofErr w:type="spellEnd"/>
    </w:p>
    <w:p w14:paraId="51FB5A2B" w14:textId="1E880DE4" w:rsidR="00921183" w:rsidRPr="00105869" w:rsidRDefault="00921183" w:rsidP="00105869">
      <w:pPr>
        <w:spacing w:line="480" w:lineRule="auto"/>
        <w:rPr>
          <w:lang w:val="en-GB"/>
        </w:rPr>
      </w:pPr>
      <w:r w:rsidRPr="00105869">
        <w:rPr>
          <w:lang w:val="en-GB"/>
        </w:rPr>
        <w:t xml:space="preserve">All authors contributed to study design. Data collection and analysis was performed by </w:t>
      </w:r>
      <w:r w:rsidR="008D7549">
        <w:rPr>
          <w:lang w:val="en-GB"/>
        </w:rPr>
        <w:t xml:space="preserve">all authors. Statistical analysis was performed by </w:t>
      </w:r>
      <w:r w:rsidRPr="00105869">
        <w:rPr>
          <w:lang w:val="en-GB"/>
        </w:rPr>
        <w:t xml:space="preserve">M.G.P. </w:t>
      </w:r>
      <w:proofErr w:type="spellStart"/>
      <w:r w:rsidRPr="00105869">
        <w:rPr>
          <w:lang w:val="en-GB"/>
        </w:rPr>
        <w:t>Looijen</w:t>
      </w:r>
      <w:proofErr w:type="spellEnd"/>
      <w:r w:rsidR="008D7549">
        <w:rPr>
          <w:lang w:val="en-GB"/>
        </w:rPr>
        <w:t xml:space="preserve"> and D. Berner</w:t>
      </w:r>
      <w:r w:rsidRPr="00105869">
        <w:rPr>
          <w:lang w:val="en-GB"/>
        </w:rPr>
        <w:t xml:space="preserve">. M.G.P. </w:t>
      </w:r>
      <w:proofErr w:type="spellStart"/>
      <w:r w:rsidRPr="00105869">
        <w:rPr>
          <w:lang w:val="en-GB"/>
        </w:rPr>
        <w:t>Looijen</w:t>
      </w:r>
      <w:proofErr w:type="spellEnd"/>
      <w:r w:rsidRPr="00105869">
        <w:rPr>
          <w:lang w:val="en-GB"/>
        </w:rPr>
        <w:t xml:space="preserve"> </w:t>
      </w:r>
      <w:r w:rsidR="006A3D18">
        <w:rPr>
          <w:lang w:val="en-GB"/>
        </w:rPr>
        <w:t>drafted</w:t>
      </w:r>
      <w:r w:rsidR="008D7549">
        <w:rPr>
          <w:lang w:val="en-GB"/>
        </w:rPr>
        <w:t xml:space="preserve"> the manuscript and </w:t>
      </w:r>
      <w:r w:rsidRPr="00105869">
        <w:rPr>
          <w:lang w:val="en-GB"/>
        </w:rPr>
        <w:t>all authors contributed to and approved the final manuscript.</w:t>
      </w:r>
    </w:p>
    <w:p w14:paraId="32BEFC90" w14:textId="77777777" w:rsidR="00921183" w:rsidRPr="00105869" w:rsidRDefault="00921183" w:rsidP="00105869">
      <w:pPr>
        <w:spacing w:line="480" w:lineRule="auto"/>
        <w:rPr>
          <w:lang w:val="en-GB"/>
        </w:rPr>
      </w:pPr>
    </w:p>
    <w:p w14:paraId="63EBEB17" w14:textId="6D47DDDA" w:rsidR="00921183" w:rsidRPr="00C666E4" w:rsidRDefault="00A66E93" w:rsidP="00105869">
      <w:pPr>
        <w:spacing w:line="480" w:lineRule="auto"/>
        <w:rPr>
          <w:lang w:val="en-GB"/>
        </w:rPr>
      </w:pPr>
      <w:r w:rsidRPr="00C666E4">
        <w:rPr>
          <w:lang w:val="en-GB"/>
        </w:rPr>
        <w:t>Funding</w:t>
      </w:r>
    </w:p>
    <w:p w14:paraId="6CA6B5D5" w14:textId="77777777" w:rsidR="00921183" w:rsidRPr="00105869" w:rsidRDefault="00921183" w:rsidP="00105869">
      <w:pPr>
        <w:spacing w:line="480" w:lineRule="auto"/>
        <w:rPr>
          <w:lang w:val="en-GB"/>
        </w:rPr>
      </w:pPr>
      <w:r w:rsidRPr="00105869">
        <w:rPr>
          <w:lang w:val="en-GB"/>
        </w:rPr>
        <w:t xml:space="preserve">This research did not receive any specific grant from funding agencies in the public, commercial or not-for-profit sectors. </w:t>
      </w:r>
    </w:p>
    <w:p w14:paraId="529A9C79" w14:textId="77777777" w:rsidR="00921183" w:rsidRPr="00105869" w:rsidRDefault="00921183" w:rsidP="00105869">
      <w:pPr>
        <w:spacing w:line="480" w:lineRule="auto"/>
        <w:rPr>
          <w:b/>
          <w:bCs/>
          <w:lang w:val="en-GB"/>
        </w:rPr>
      </w:pPr>
    </w:p>
    <w:p w14:paraId="10719D9C" w14:textId="63A70C61" w:rsidR="00921183" w:rsidRPr="00C666E4" w:rsidRDefault="00A66E93" w:rsidP="00105869">
      <w:pPr>
        <w:spacing w:line="480" w:lineRule="auto"/>
        <w:rPr>
          <w:lang w:val="en-GB"/>
        </w:rPr>
      </w:pPr>
      <w:r w:rsidRPr="00C666E4">
        <w:rPr>
          <w:lang w:val="en-GB"/>
        </w:rPr>
        <w:t>Competing interests</w:t>
      </w:r>
    </w:p>
    <w:p w14:paraId="71B8205E" w14:textId="1FB2BB9B" w:rsidR="00921183" w:rsidRPr="00105869" w:rsidRDefault="00921183" w:rsidP="00921183">
      <w:pPr>
        <w:spacing w:line="480" w:lineRule="auto"/>
        <w:rPr>
          <w:lang w:val="en-GB"/>
        </w:rPr>
      </w:pPr>
      <w:r w:rsidRPr="00105869">
        <w:rPr>
          <w:lang w:val="en-GB"/>
        </w:rPr>
        <w:t>No competing interests have been declared.</w:t>
      </w:r>
    </w:p>
    <w:p w14:paraId="26D3EB2C" w14:textId="77777777" w:rsidR="00A66E93" w:rsidRPr="00105869" w:rsidRDefault="00A66E93" w:rsidP="00105869">
      <w:pPr>
        <w:spacing w:line="480" w:lineRule="auto"/>
        <w:rPr>
          <w:lang w:val="en-GB"/>
        </w:rPr>
      </w:pPr>
    </w:p>
    <w:p w14:paraId="3FBEA6EA" w14:textId="052AB21B" w:rsidR="00921183" w:rsidRPr="00C666E4" w:rsidRDefault="00A66E93" w:rsidP="00105869">
      <w:pPr>
        <w:spacing w:line="480" w:lineRule="auto"/>
        <w:rPr>
          <w:lang w:val="en-GB"/>
        </w:rPr>
      </w:pPr>
      <w:r w:rsidRPr="00C666E4">
        <w:rPr>
          <w:lang w:val="en-GB"/>
        </w:rPr>
        <w:t>Ethical approval</w:t>
      </w:r>
    </w:p>
    <w:p w14:paraId="00F18FFB" w14:textId="0DF3C7C3" w:rsidR="007B3A44" w:rsidRPr="005B07F1" w:rsidRDefault="005B07F1" w:rsidP="005B07F1">
      <w:pPr>
        <w:spacing w:line="480" w:lineRule="auto"/>
        <w:rPr>
          <w:lang w:val="en-GB"/>
        </w:rPr>
      </w:pPr>
      <w:r>
        <w:rPr>
          <w:lang w:val="en-GB"/>
        </w:rPr>
        <w:t>E</w:t>
      </w:r>
      <w:proofErr w:type="spellStart"/>
      <w:r w:rsidR="007B3A44">
        <w:t>thics</w:t>
      </w:r>
      <w:proofErr w:type="spellEnd"/>
      <w:r w:rsidR="007B3A44">
        <w:t xml:space="preserve"> </w:t>
      </w:r>
      <w:proofErr w:type="spellStart"/>
      <w:r w:rsidR="007B3A44">
        <w:t>approval</w:t>
      </w:r>
      <w:proofErr w:type="spellEnd"/>
      <w:r w:rsidR="007B3A44">
        <w:t xml:space="preserve"> has been </w:t>
      </w:r>
      <w:proofErr w:type="spellStart"/>
      <w:r w:rsidR="007B3A44">
        <w:t>given</w:t>
      </w:r>
      <w:proofErr w:type="spellEnd"/>
      <w:r w:rsidR="007B3A44">
        <w:t xml:space="preserve"> </w:t>
      </w:r>
      <w:proofErr w:type="spellStart"/>
      <w:r w:rsidR="007B3A44">
        <w:t>by</w:t>
      </w:r>
      <w:proofErr w:type="spellEnd"/>
      <w:r w:rsidR="007B3A44">
        <w:t xml:space="preserve"> </w:t>
      </w:r>
      <w:proofErr w:type="spellStart"/>
      <w:r w:rsidR="007B3A44">
        <w:t>the</w:t>
      </w:r>
      <w:proofErr w:type="spellEnd"/>
      <w:r w:rsidR="007B3A44">
        <w:t xml:space="preserve"> </w:t>
      </w:r>
      <w:proofErr w:type="spellStart"/>
      <w:r w:rsidR="007B3A44">
        <w:t>Social</w:t>
      </w:r>
      <w:proofErr w:type="spellEnd"/>
      <w:r w:rsidR="007B3A44">
        <w:t xml:space="preserve"> </w:t>
      </w:r>
      <w:proofErr w:type="spellStart"/>
      <w:r w:rsidR="007B3A44">
        <w:t>Science</w:t>
      </w:r>
      <w:proofErr w:type="spellEnd"/>
      <w:r w:rsidR="007B3A44">
        <w:t xml:space="preserve"> Research </w:t>
      </w:r>
      <w:proofErr w:type="spellStart"/>
      <w:r w:rsidR="007B3A44">
        <w:t>Ethical</w:t>
      </w:r>
      <w:proofErr w:type="spellEnd"/>
      <w:r w:rsidR="007B3A44">
        <w:t xml:space="preserve"> Review Board at </w:t>
      </w:r>
      <w:proofErr w:type="spellStart"/>
      <w:r w:rsidR="007B3A44">
        <w:t>the</w:t>
      </w:r>
      <w:proofErr w:type="spellEnd"/>
      <w:r w:rsidR="007B3A44">
        <w:t xml:space="preserve"> Royal </w:t>
      </w:r>
      <w:proofErr w:type="spellStart"/>
      <w:r w:rsidR="007B3A44">
        <w:t>Veterinary</w:t>
      </w:r>
      <w:proofErr w:type="spellEnd"/>
      <w:r w:rsidR="007B3A44">
        <w:t xml:space="preserve"> College</w:t>
      </w:r>
      <w:r w:rsidR="007B3A44">
        <w:rPr>
          <w:lang w:val="en-GB"/>
        </w:rPr>
        <w:t xml:space="preserve"> </w:t>
      </w:r>
      <w:r w:rsidR="007B3A44" w:rsidRPr="005B07F1">
        <w:rPr>
          <w:lang w:val="en-GB"/>
        </w:rPr>
        <w:t>(URN SR2020-0015)</w:t>
      </w:r>
      <w:r w:rsidR="007B3A44">
        <w:rPr>
          <w:lang w:val="en-GB"/>
        </w:rPr>
        <w:t>.</w:t>
      </w:r>
    </w:p>
    <w:p w14:paraId="10164716" w14:textId="184DBE78" w:rsidR="00921183" w:rsidRPr="00105869" w:rsidRDefault="00921183" w:rsidP="00105869">
      <w:pPr>
        <w:spacing w:line="480" w:lineRule="auto"/>
        <w:rPr>
          <w:lang w:val="en-GB"/>
        </w:rPr>
      </w:pPr>
    </w:p>
    <w:p w14:paraId="41B1D5EF" w14:textId="77777777" w:rsidR="00921183" w:rsidRPr="00105869" w:rsidRDefault="00921183" w:rsidP="00105869">
      <w:pPr>
        <w:spacing w:line="480" w:lineRule="auto"/>
        <w:rPr>
          <w:lang w:val="en-GB"/>
        </w:rPr>
      </w:pPr>
    </w:p>
    <w:p w14:paraId="5E68FB7A" w14:textId="4CD966AB" w:rsidR="00921183" w:rsidRPr="00C666E4" w:rsidRDefault="00A66E93" w:rsidP="00105869">
      <w:pPr>
        <w:spacing w:line="480" w:lineRule="auto"/>
        <w:rPr>
          <w:lang w:val="en-GB"/>
        </w:rPr>
      </w:pPr>
      <w:r w:rsidRPr="00C666E4">
        <w:rPr>
          <w:lang w:val="en-GB"/>
        </w:rPr>
        <w:t>Patient consent</w:t>
      </w:r>
    </w:p>
    <w:p w14:paraId="7C84665C" w14:textId="77777777" w:rsidR="00921183" w:rsidRPr="00105869" w:rsidRDefault="00921183" w:rsidP="00105869">
      <w:pPr>
        <w:spacing w:line="480" w:lineRule="auto"/>
        <w:rPr>
          <w:lang w:val="en-GB"/>
        </w:rPr>
      </w:pPr>
      <w:r w:rsidRPr="00105869">
        <w:rPr>
          <w:lang w:val="en-GB"/>
        </w:rPr>
        <w:t xml:space="preserve">Client confidentiality has been maintained throughout the study. Explicit owner informed consent for participation in the study was not obtained. </w:t>
      </w:r>
    </w:p>
    <w:p w14:paraId="58B96F5B" w14:textId="77777777" w:rsidR="00921183" w:rsidRPr="00105869" w:rsidRDefault="00921183" w:rsidP="00105869">
      <w:pPr>
        <w:spacing w:line="480" w:lineRule="auto"/>
        <w:rPr>
          <w:lang w:val="en-GB"/>
        </w:rPr>
      </w:pPr>
    </w:p>
    <w:p w14:paraId="5CF1E494" w14:textId="59BAF7EF" w:rsidR="00921183" w:rsidRPr="00C666E4" w:rsidRDefault="00A66E93" w:rsidP="00105869">
      <w:pPr>
        <w:spacing w:line="480" w:lineRule="auto"/>
        <w:rPr>
          <w:lang w:val="en-GB"/>
        </w:rPr>
      </w:pPr>
      <w:r w:rsidRPr="00C666E4">
        <w:rPr>
          <w:lang w:val="en-GB"/>
        </w:rPr>
        <w:t>Data sharing</w:t>
      </w:r>
    </w:p>
    <w:p w14:paraId="46DAD888" w14:textId="6E1332C3" w:rsidR="00921183" w:rsidRDefault="00921183" w:rsidP="00105869">
      <w:pPr>
        <w:spacing w:line="480" w:lineRule="auto"/>
        <w:rPr>
          <w:lang w:val="en-GB"/>
        </w:rPr>
      </w:pPr>
      <w:r w:rsidRPr="00105869">
        <w:rPr>
          <w:lang w:val="en-GB"/>
        </w:rPr>
        <w:t>The data that support the findings of this study are available from the corresponding author upon reasonable request.</w:t>
      </w:r>
    </w:p>
    <w:p w14:paraId="718F5973" w14:textId="77777777" w:rsidR="003B5463" w:rsidRPr="00105869" w:rsidRDefault="003B5463" w:rsidP="00105869">
      <w:pPr>
        <w:spacing w:line="480" w:lineRule="auto"/>
        <w:rPr>
          <w:lang w:val="en-GB"/>
        </w:rPr>
      </w:pPr>
    </w:p>
    <w:p w14:paraId="3588E645" w14:textId="77777777" w:rsidR="003B5463" w:rsidRPr="000B4056" w:rsidRDefault="003B5463" w:rsidP="003B5463">
      <w:pPr>
        <w:spacing w:line="480" w:lineRule="auto"/>
        <w:rPr>
          <w:lang w:val="en-GB"/>
        </w:rPr>
      </w:pPr>
      <w:r w:rsidRPr="000B4056">
        <w:rPr>
          <w:lang w:val="en-GB"/>
        </w:rPr>
        <w:t xml:space="preserve">Acknowledgments </w:t>
      </w:r>
    </w:p>
    <w:p w14:paraId="5FF6C439" w14:textId="0F0EBC11" w:rsidR="003B5463" w:rsidRDefault="003B5463" w:rsidP="003B5463">
      <w:pPr>
        <w:spacing w:line="480" w:lineRule="auto"/>
        <w:rPr>
          <w:lang w:val="en-GB"/>
        </w:rPr>
      </w:pPr>
      <w:r>
        <w:rPr>
          <w:lang w:val="en-GB"/>
        </w:rPr>
        <w:t>The authors</w:t>
      </w:r>
      <w:r w:rsidRPr="00105869">
        <w:rPr>
          <w:lang w:val="en-GB"/>
        </w:rPr>
        <w:t xml:space="preserve"> </w:t>
      </w:r>
      <w:r>
        <w:rPr>
          <w:lang w:val="en-GB"/>
        </w:rPr>
        <w:t>thank</w:t>
      </w:r>
      <w:r w:rsidRPr="00105869">
        <w:rPr>
          <w:lang w:val="en-GB"/>
        </w:rPr>
        <w:t xml:space="preserve"> the staff of </w:t>
      </w:r>
      <w:proofErr w:type="spellStart"/>
      <w:r w:rsidRPr="00105869">
        <w:rPr>
          <w:lang w:val="en-GB"/>
        </w:rPr>
        <w:t>Evidensia</w:t>
      </w:r>
      <w:proofErr w:type="spellEnd"/>
      <w:r w:rsidRPr="00105869">
        <w:rPr>
          <w:lang w:val="en-GB"/>
        </w:rPr>
        <w:t xml:space="preserve"> </w:t>
      </w:r>
      <w:proofErr w:type="spellStart"/>
      <w:r w:rsidRPr="00105869">
        <w:rPr>
          <w:lang w:val="en-GB"/>
        </w:rPr>
        <w:t>Veterinair</w:t>
      </w:r>
      <w:proofErr w:type="spellEnd"/>
      <w:r w:rsidRPr="00105869">
        <w:rPr>
          <w:lang w:val="en-GB"/>
        </w:rPr>
        <w:t xml:space="preserve"> Centrum </w:t>
      </w:r>
      <w:proofErr w:type="spellStart"/>
      <w:r w:rsidRPr="00105869">
        <w:rPr>
          <w:lang w:val="en-GB"/>
        </w:rPr>
        <w:t>Honselersdijk</w:t>
      </w:r>
      <w:proofErr w:type="spellEnd"/>
      <w:r w:rsidR="00BB589D">
        <w:rPr>
          <w:lang w:val="en-GB"/>
        </w:rPr>
        <w:t xml:space="preserve">, </w:t>
      </w:r>
      <w:proofErr w:type="spellStart"/>
      <w:r w:rsidRPr="00105869">
        <w:rPr>
          <w:lang w:val="en-GB"/>
        </w:rPr>
        <w:t>Dr.</w:t>
      </w:r>
      <w:proofErr w:type="spellEnd"/>
      <w:r w:rsidRPr="00105869">
        <w:rPr>
          <w:lang w:val="en-GB"/>
        </w:rPr>
        <w:t xml:space="preserve"> </w:t>
      </w:r>
      <w:proofErr w:type="spellStart"/>
      <w:r w:rsidRPr="00105869">
        <w:rPr>
          <w:lang w:val="en-GB"/>
        </w:rPr>
        <w:t>Poen</w:t>
      </w:r>
      <w:proofErr w:type="spellEnd"/>
      <w:r w:rsidRPr="00105869">
        <w:rPr>
          <w:lang w:val="en-GB"/>
        </w:rPr>
        <w:t xml:space="preserve"> and O.K. </w:t>
      </w:r>
      <w:proofErr w:type="spellStart"/>
      <w:r w:rsidRPr="00105869">
        <w:rPr>
          <w:lang w:val="en-GB"/>
        </w:rPr>
        <w:t>Kortlang</w:t>
      </w:r>
      <w:proofErr w:type="spellEnd"/>
      <w:r w:rsidRPr="00105869">
        <w:rPr>
          <w:lang w:val="en-GB"/>
        </w:rPr>
        <w:t xml:space="preserve"> for their assistan</w:t>
      </w:r>
      <w:r w:rsidR="008651DA">
        <w:rPr>
          <w:lang w:val="en-GB"/>
        </w:rPr>
        <w:t xml:space="preserve">ce in collecting all the data. </w:t>
      </w:r>
    </w:p>
    <w:p w14:paraId="0A9E5594" w14:textId="77777777" w:rsidR="008651DA" w:rsidRPr="00105869" w:rsidRDefault="008651DA" w:rsidP="003B5463">
      <w:pPr>
        <w:spacing w:line="480" w:lineRule="auto"/>
        <w:rPr>
          <w:lang w:val="en-GB"/>
        </w:rPr>
      </w:pPr>
    </w:p>
    <w:p w14:paraId="28FA811B" w14:textId="77777777" w:rsidR="008651DA" w:rsidRPr="008651DA" w:rsidRDefault="008651DA" w:rsidP="008651DA">
      <w:pPr>
        <w:spacing w:line="480" w:lineRule="auto"/>
        <w:rPr>
          <w:b/>
          <w:bCs/>
          <w:lang w:val="en-GB"/>
        </w:rPr>
      </w:pPr>
      <w:r w:rsidRPr="008651DA">
        <w:rPr>
          <w:b/>
          <w:bCs/>
          <w:lang w:val="en-GB"/>
        </w:rPr>
        <w:t>REFERENCES</w:t>
      </w:r>
    </w:p>
    <w:p w14:paraId="2D37C353" w14:textId="77777777" w:rsidR="008651DA" w:rsidRPr="008651DA" w:rsidRDefault="008651DA" w:rsidP="008651DA">
      <w:pPr>
        <w:spacing w:line="480" w:lineRule="auto"/>
        <w:ind w:left="709" w:hanging="709"/>
        <w:rPr>
          <w:bCs/>
          <w:lang w:val="en-GB"/>
        </w:rPr>
      </w:pPr>
      <w:r w:rsidRPr="008651DA">
        <w:rPr>
          <w:bCs/>
          <w:lang w:val="en-GB"/>
        </w:rPr>
        <w:t xml:space="preserve">1. </w:t>
      </w:r>
      <w:r w:rsidRPr="008651DA">
        <w:rPr>
          <w:bCs/>
          <w:lang w:val="en-GB"/>
        </w:rPr>
        <w:tab/>
        <w:t>FEEVA Position Statement of pre-purchase radiography on dorsal spinous processes. FEEVA. 2018. Available from: https://feeva.fve.org/working_documents/ppe_rx/</w:t>
      </w:r>
    </w:p>
    <w:p w14:paraId="4F4D0AD0" w14:textId="0DC210AD" w:rsidR="008651DA" w:rsidRPr="008651DA" w:rsidRDefault="008651DA" w:rsidP="008651DA">
      <w:pPr>
        <w:spacing w:line="480" w:lineRule="auto"/>
        <w:ind w:left="709" w:hanging="709"/>
        <w:rPr>
          <w:bCs/>
          <w:lang w:val="en-GB"/>
        </w:rPr>
      </w:pPr>
      <w:r w:rsidRPr="008651DA">
        <w:rPr>
          <w:bCs/>
          <w:lang w:val="en-GB"/>
        </w:rPr>
        <w:t xml:space="preserve">2. </w:t>
      </w:r>
      <w:r w:rsidRPr="008651DA">
        <w:rPr>
          <w:bCs/>
          <w:lang w:val="en-GB"/>
        </w:rPr>
        <w:tab/>
      </w:r>
      <w:proofErr w:type="spellStart"/>
      <w:r w:rsidRPr="008651DA">
        <w:rPr>
          <w:bCs/>
          <w:lang w:val="en-GB"/>
        </w:rPr>
        <w:t>Rieland</w:t>
      </w:r>
      <w:proofErr w:type="spellEnd"/>
      <w:r w:rsidRPr="008651DA">
        <w:rPr>
          <w:bCs/>
          <w:lang w:val="en-GB"/>
        </w:rPr>
        <w:t xml:space="preserve"> E. Radiological findings in spinous processes in clinically sound horses. Proc 4th Maastricht International Conference Equine Medicine, Maastricht, the Net</w:t>
      </w:r>
      <w:r w:rsidR="00AC206E">
        <w:rPr>
          <w:bCs/>
          <w:lang w:val="en-GB"/>
        </w:rPr>
        <w:t>h</w:t>
      </w:r>
      <w:r w:rsidRPr="008651DA">
        <w:rPr>
          <w:bCs/>
          <w:lang w:val="en-GB"/>
        </w:rPr>
        <w:t xml:space="preserve">erlands, 6-7th December, 2002. </w:t>
      </w:r>
    </w:p>
    <w:p w14:paraId="59A4A839" w14:textId="77777777" w:rsidR="008651DA" w:rsidRPr="002D62C1" w:rsidRDefault="008651DA" w:rsidP="008651DA">
      <w:pPr>
        <w:spacing w:line="480" w:lineRule="auto"/>
        <w:ind w:left="709" w:hanging="709"/>
        <w:rPr>
          <w:bCs/>
          <w:lang w:val="en-GB"/>
        </w:rPr>
      </w:pPr>
      <w:r w:rsidRPr="008651DA">
        <w:rPr>
          <w:bCs/>
          <w:lang w:val="de-DE"/>
        </w:rPr>
        <w:t xml:space="preserve">3. </w:t>
      </w:r>
      <w:r w:rsidRPr="008651DA">
        <w:rPr>
          <w:bCs/>
          <w:lang w:val="de-DE"/>
        </w:rPr>
        <w:tab/>
      </w:r>
      <w:proofErr w:type="spellStart"/>
      <w:r w:rsidRPr="008651DA">
        <w:rPr>
          <w:bCs/>
          <w:lang w:val="de-DE"/>
        </w:rPr>
        <w:t>Ranner</w:t>
      </w:r>
      <w:proofErr w:type="spellEnd"/>
      <w:r w:rsidRPr="008651DA">
        <w:rPr>
          <w:bCs/>
          <w:lang w:val="de-DE"/>
        </w:rPr>
        <w:t xml:space="preserve"> W, Gerhards H. Vorkommen und Bedeutung von Rückenerkrankungen-Insbesondere des “</w:t>
      </w:r>
      <w:proofErr w:type="spellStart"/>
      <w:r w:rsidRPr="008651DA">
        <w:rPr>
          <w:bCs/>
          <w:lang w:val="de-DE"/>
        </w:rPr>
        <w:t>Kissing</w:t>
      </w:r>
      <w:proofErr w:type="spellEnd"/>
      <w:r w:rsidRPr="008651DA">
        <w:rPr>
          <w:bCs/>
          <w:lang w:val="de-DE"/>
        </w:rPr>
        <w:t xml:space="preserve"> </w:t>
      </w:r>
      <w:proofErr w:type="spellStart"/>
      <w:r w:rsidRPr="008651DA">
        <w:rPr>
          <w:bCs/>
          <w:lang w:val="de-DE"/>
        </w:rPr>
        <w:t>Spine</w:t>
      </w:r>
      <w:proofErr w:type="spellEnd"/>
      <w:r w:rsidRPr="008651DA">
        <w:rPr>
          <w:bCs/>
          <w:lang w:val="de-DE"/>
        </w:rPr>
        <w:t xml:space="preserve">”-Syndroms-Bei Pferden in Süddeutschland. </w:t>
      </w:r>
      <w:proofErr w:type="spellStart"/>
      <w:r w:rsidRPr="002D62C1">
        <w:rPr>
          <w:bCs/>
          <w:lang w:val="en-GB"/>
        </w:rPr>
        <w:t>Pferdeheilkunde</w:t>
      </w:r>
      <w:proofErr w:type="spellEnd"/>
      <w:r w:rsidRPr="002D62C1">
        <w:rPr>
          <w:bCs/>
          <w:lang w:val="en-GB"/>
        </w:rPr>
        <w:t xml:space="preserve">. 2002;18(1):21-3 </w:t>
      </w:r>
    </w:p>
    <w:p w14:paraId="1CD68AAB" w14:textId="77777777" w:rsidR="008651DA" w:rsidRPr="008651DA" w:rsidRDefault="008651DA" w:rsidP="008651DA">
      <w:pPr>
        <w:spacing w:line="480" w:lineRule="auto"/>
        <w:ind w:left="709" w:hanging="709"/>
        <w:rPr>
          <w:bCs/>
          <w:lang w:val="en-GB"/>
        </w:rPr>
      </w:pPr>
      <w:r w:rsidRPr="008651DA">
        <w:rPr>
          <w:bCs/>
          <w:lang w:val="en-GB"/>
        </w:rPr>
        <w:t xml:space="preserve">4. </w:t>
      </w:r>
      <w:r w:rsidRPr="008651DA">
        <w:rPr>
          <w:bCs/>
          <w:lang w:val="en-GB"/>
        </w:rPr>
        <w:tab/>
      </w:r>
      <w:proofErr w:type="spellStart"/>
      <w:r w:rsidRPr="008651DA">
        <w:rPr>
          <w:bCs/>
          <w:lang w:val="en-GB"/>
        </w:rPr>
        <w:t>Erichsen</w:t>
      </w:r>
      <w:proofErr w:type="spellEnd"/>
      <w:r w:rsidRPr="008651DA">
        <w:rPr>
          <w:bCs/>
          <w:lang w:val="en-GB"/>
        </w:rPr>
        <w:t xml:space="preserve"> C, </w:t>
      </w:r>
      <w:proofErr w:type="spellStart"/>
      <w:r w:rsidRPr="008651DA">
        <w:rPr>
          <w:bCs/>
          <w:lang w:val="en-GB"/>
        </w:rPr>
        <w:t>Eksell</w:t>
      </w:r>
      <w:proofErr w:type="spellEnd"/>
      <w:r w:rsidRPr="008651DA">
        <w:rPr>
          <w:bCs/>
          <w:lang w:val="en-GB"/>
        </w:rPr>
        <w:t xml:space="preserve"> P, Roethlisberger Holm K, Lord P, Johnston C. Relationship between </w:t>
      </w:r>
      <w:proofErr w:type="spellStart"/>
      <w:r w:rsidRPr="008651DA">
        <w:rPr>
          <w:bCs/>
          <w:lang w:val="en-GB"/>
        </w:rPr>
        <w:t>scintigraphic</w:t>
      </w:r>
      <w:proofErr w:type="spellEnd"/>
      <w:r w:rsidRPr="008651DA">
        <w:rPr>
          <w:bCs/>
          <w:lang w:val="en-GB"/>
        </w:rPr>
        <w:t xml:space="preserve"> and radiographic evaluations of spinous processes in the </w:t>
      </w:r>
      <w:r w:rsidRPr="008651DA">
        <w:rPr>
          <w:bCs/>
          <w:lang w:val="en-GB"/>
        </w:rPr>
        <w:lastRenderedPageBreak/>
        <w:t xml:space="preserve">thoracolumbar spine in riding horses without clinical signs of back problems. Equine Vet J. 2004;36(6):458–65. </w:t>
      </w:r>
    </w:p>
    <w:p w14:paraId="6D92948A" w14:textId="77777777" w:rsidR="008651DA" w:rsidRPr="008651DA" w:rsidRDefault="008651DA" w:rsidP="008651DA">
      <w:pPr>
        <w:spacing w:line="480" w:lineRule="auto"/>
        <w:ind w:left="709" w:hanging="709"/>
        <w:rPr>
          <w:bCs/>
          <w:lang w:val="de-DE"/>
        </w:rPr>
      </w:pPr>
      <w:r w:rsidRPr="008651DA">
        <w:rPr>
          <w:bCs/>
          <w:lang w:val="en-GB"/>
        </w:rPr>
        <w:t xml:space="preserve">5. </w:t>
      </w:r>
      <w:r w:rsidRPr="008651DA">
        <w:rPr>
          <w:bCs/>
          <w:lang w:val="en-GB"/>
        </w:rPr>
        <w:tab/>
      </w:r>
      <w:proofErr w:type="spellStart"/>
      <w:r w:rsidRPr="008651DA">
        <w:rPr>
          <w:bCs/>
          <w:lang w:val="en-GB"/>
        </w:rPr>
        <w:t>Holmer</w:t>
      </w:r>
      <w:proofErr w:type="spellEnd"/>
      <w:r w:rsidRPr="008651DA">
        <w:rPr>
          <w:bCs/>
          <w:lang w:val="en-GB"/>
        </w:rPr>
        <w:t xml:space="preserve"> M, </w:t>
      </w:r>
      <w:proofErr w:type="spellStart"/>
      <w:r w:rsidRPr="008651DA">
        <w:rPr>
          <w:bCs/>
          <w:lang w:val="en-GB"/>
        </w:rPr>
        <w:t>Wollanke</w:t>
      </w:r>
      <w:proofErr w:type="spellEnd"/>
      <w:r w:rsidRPr="008651DA">
        <w:rPr>
          <w:bCs/>
          <w:lang w:val="en-GB"/>
        </w:rPr>
        <w:t xml:space="preserve"> B, </w:t>
      </w:r>
      <w:proofErr w:type="spellStart"/>
      <w:r w:rsidRPr="008651DA">
        <w:rPr>
          <w:bCs/>
          <w:lang w:val="en-GB"/>
        </w:rPr>
        <w:t>Stadtbäumer</w:t>
      </w:r>
      <w:proofErr w:type="spellEnd"/>
      <w:r w:rsidRPr="008651DA">
        <w:rPr>
          <w:bCs/>
          <w:lang w:val="en-GB"/>
        </w:rPr>
        <w:t xml:space="preserve"> G. X-ray alterations on spinal processes of 295 warmblood horses without clinical findings. </w:t>
      </w:r>
      <w:r w:rsidRPr="008651DA">
        <w:rPr>
          <w:bCs/>
          <w:lang w:val="de-DE"/>
        </w:rPr>
        <w:t xml:space="preserve">Pferdeheilkunde. 2007;23(5):507–11. </w:t>
      </w:r>
    </w:p>
    <w:p w14:paraId="2B596AD8" w14:textId="77777777" w:rsidR="008651DA" w:rsidRPr="008651DA" w:rsidRDefault="008651DA" w:rsidP="008651DA">
      <w:pPr>
        <w:spacing w:line="480" w:lineRule="auto"/>
        <w:ind w:left="709" w:hanging="709"/>
        <w:rPr>
          <w:bCs/>
          <w:lang w:val="en-GB"/>
        </w:rPr>
      </w:pPr>
      <w:r w:rsidRPr="008651DA">
        <w:rPr>
          <w:bCs/>
          <w:lang w:val="de-DE"/>
        </w:rPr>
        <w:t xml:space="preserve">6. </w:t>
      </w:r>
      <w:r w:rsidRPr="008651DA">
        <w:rPr>
          <w:bCs/>
          <w:lang w:val="de-DE"/>
        </w:rPr>
        <w:tab/>
        <w:t xml:space="preserve">Geiger CP, Gerhards H. Radiologische Befunderhebung an der Brustwirbelsäule des Pferdes gemäß des Röntgenleitfadens 2007 unter Berücksichtigung der klinischen Relevanz. </w:t>
      </w:r>
      <w:proofErr w:type="spellStart"/>
      <w:r w:rsidRPr="008651DA">
        <w:rPr>
          <w:bCs/>
          <w:lang w:val="en-GB"/>
        </w:rPr>
        <w:t>Pferdeheilkunde</w:t>
      </w:r>
      <w:proofErr w:type="spellEnd"/>
      <w:r w:rsidRPr="008651DA">
        <w:rPr>
          <w:bCs/>
          <w:lang w:val="en-GB"/>
        </w:rPr>
        <w:t xml:space="preserve">. 2015;31(1):39–48. </w:t>
      </w:r>
    </w:p>
    <w:p w14:paraId="2064ABEC" w14:textId="77777777" w:rsidR="008651DA" w:rsidRPr="008651DA" w:rsidRDefault="008651DA" w:rsidP="008651DA">
      <w:pPr>
        <w:spacing w:line="480" w:lineRule="auto"/>
        <w:ind w:left="709" w:hanging="709"/>
        <w:rPr>
          <w:bCs/>
          <w:lang w:val="en-GB"/>
        </w:rPr>
      </w:pPr>
      <w:r w:rsidRPr="008651DA">
        <w:rPr>
          <w:bCs/>
          <w:lang w:val="en-GB"/>
        </w:rPr>
        <w:t xml:space="preserve">7. </w:t>
      </w:r>
      <w:r w:rsidRPr="008651DA">
        <w:rPr>
          <w:bCs/>
          <w:lang w:val="en-GB"/>
        </w:rPr>
        <w:tab/>
        <w:t xml:space="preserve">Zimmerman M, Dyson S, Murray R. Close, impinging and overriding spinous processes in the thoracolumbar spine: The relationship between radiological and </w:t>
      </w:r>
      <w:proofErr w:type="spellStart"/>
      <w:r w:rsidRPr="008651DA">
        <w:rPr>
          <w:bCs/>
          <w:lang w:val="en-GB"/>
        </w:rPr>
        <w:t>scintigraphic</w:t>
      </w:r>
      <w:proofErr w:type="spellEnd"/>
      <w:r w:rsidRPr="008651DA">
        <w:rPr>
          <w:bCs/>
          <w:lang w:val="en-GB"/>
        </w:rPr>
        <w:t xml:space="preserve"> findings and clinical signs. Equine Vet J. 2012;44(2):178–84. </w:t>
      </w:r>
    </w:p>
    <w:p w14:paraId="51245333" w14:textId="7341DFAD" w:rsidR="008651DA" w:rsidRPr="008651DA" w:rsidRDefault="008651DA" w:rsidP="008651DA">
      <w:pPr>
        <w:spacing w:line="480" w:lineRule="auto"/>
        <w:ind w:left="709" w:hanging="709"/>
        <w:rPr>
          <w:bCs/>
          <w:lang w:val="en-GB"/>
        </w:rPr>
      </w:pPr>
      <w:r w:rsidRPr="008651DA">
        <w:rPr>
          <w:bCs/>
          <w:lang w:val="en-GB"/>
        </w:rPr>
        <w:t xml:space="preserve">8. </w:t>
      </w:r>
      <w:r w:rsidRPr="008651DA">
        <w:rPr>
          <w:bCs/>
          <w:lang w:val="en-GB"/>
        </w:rPr>
        <w:tab/>
        <w:t>Turner TA. Overriding Spinous Processes (“Kissing Spines”) in Horses: Diagnosis, Treatment, and Outcome in 212 Cases. Proc 57th Annu</w:t>
      </w:r>
      <w:r w:rsidR="00427620">
        <w:rPr>
          <w:bCs/>
          <w:lang w:val="en-GB"/>
        </w:rPr>
        <w:t>al</w:t>
      </w:r>
      <w:r w:rsidRPr="008651DA">
        <w:rPr>
          <w:bCs/>
          <w:lang w:val="en-GB"/>
        </w:rPr>
        <w:t xml:space="preserve"> Conv</w:t>
      </w:r>
      <w:r w:rsidR="00427620">
        <w:rPr>
          <w:bCs/>
          <w:lang w:val="en-GB"/>
        </w:rPr>
        <w:t>ention</w:t>
      </w:r>
      <w:r w:rsidRPr="008651DA">
        <w:rPr>
          <w:bCs/>
          <w:lang w:val="en-GB"/>
        </w:rPr>
        <w:t xml:space="preserve"> </w:t>
      </w:r>
      <w:r w:rsidR="00427620">
        <w:rPr>
          <w:bCs/>
          <w:lang w:val="en-GB"/>
        </w:rPr>
        <w:t xml:space="preserve">of the </w:t>
      </w:r>
      <w:r w:rsidRPr="008651DA">
        <w:rPr>
          <w:bCs/>
          <w:lang w:val="en-GB"/>
        </w:rPr>
        <w:t>Am</w:t>
      </w:r>
      <w:r w:rsidR="00427620">
        <w:rPr>
          <w:bCs/>
          <w:lang w:val="en-GB"/>
        </w:rPr>
        <w:t>erican</w:t>
      </w:r>
      <w:r w:rsidRPr="008651DA">
        <w:rPr>
          <w:bCs/>
          <w:lang w:val="en-GB"/>
        </w:rPr>
        <w:t xml:space="preserve"> Assoc</w:t>
      </w:r>
      <w:r w:rsidR="00427620">
        <w:rPr>
          <w:bCs/>
          <w:lang w:val="en-GB"/>
        </w:rPr>
        <w:t>iation of</w:t>
      </w:r>
      <w:r w:rsidRPr="008651DA">
        <w:rPr>
          <w:bCs/>
          <w:lang w:val="en-GB"/>
        </w:rPr>
        <w:t xml:space="preserve"> Equine Pract</w:t>
      </w:r>
      <w:r w:rsidR="00427620">
        <w:rPr>
          <w:bCs/>
          <w:lang w:val="en-GB"/>
        </w:rPr>
        <w:t>itioners</w:t>
      </w:r>
      <w:r w:rsidRPr="008651DA">
        <w:rPr>
          <w:bCs/>
          <w:lang w:val="en-GB"/>
        </w:rPr>
        <w:t xml:space="preserve">. </w:t>
      </w:r>
      <w:r w:rsidR="00427620">
        <w:rPr>
          <w:bCs/>
          <w:lang w:val="en-GB"/>
        </w:rPr>
        <w:t xml:space="preserve">San Antonio, Texas, USA, 18-22 November, </w:t>
      </w:r>
      <w:r w:rsidRPr="008651DA">
        <w:rPr>
          <w:bCs/>
          <w:lang w:val="en-GB"/>
        </w:rPr>
        <w:t xml:space="preserve">2011. </w:t>
      </w:r>
    </w:p>
    <w:p w14:paraId="73937036" w14:textId="357772C5" w:rsidR="008651DA" w:rsidRPr="008651DA" w:rsidRDefault="008651DA" w:rsidP="009F0CC5">
      <w:pPr>
        <w:spacing w:line="480" w:lineRule="auto"/>
        <w:ind w:left="709" w:hanging="709"/>
        <w:rPr>
          <w:bCs/>
          <w:lang w:val="en-GB"/>
        </w:rPr>
      </w:pPr>
      <w:r w:rsidRPr="008651DA">
        <w:rPr>
          <w:bCs/>
          <w:lang w:val="en-GB"/>
        </w:rPr>
        <w:t xml:space="preserve">9. </w:t>
      </w:r>
      <w:r w:rsidRPr="008651DA">
        <w:rPr>
          <w:bCs/>
          <w:lang w:val="en-GB"/>
        </w:rPr>
        <w:tab/>
      </w:r>
      <w:proofErr w:type="spellStart"/>
      <w:r w:rsidRPr="008651DA">
        <w:rPr>
          <w:bCs/>
          <w:lang w:val="en-GB"/>
        </w:rPr>
        <w:t>Cousty</w:t>
      </w:r>
      <w:proofErr w:type="spellEnd"/>
      <w:r w:rsidRPr="008651DA">
        <w:rPr>
          <w:bCs/>
          <w:lang w:val="en-GB"/>
        </w:rPr>
        <w:t xml:space="preserve"> M, </w:t>
      </w:r>
      <w:proofErr w:type="spellStart"/>
      <w:r w:rsidRPr="008651DA">
        <w:rPr>
          <w:bCs/>
          <w:lang w:val="en-GB"/>
        </w:rPr>
        <w:t>Retureau</w:t>
      </w:r>
      <w:proofErr w:type="spellEnd"/>
      <w:r w:rsidRPr="008651DA">
        <w:rPr>
          <w:bCs/>
          <w:lang w:val="en-GB"/>
        </w:rPr>
        <w:t xml:space="preserve"> C, </w:t>
      </w:r>
      <w:proofErr w:type="spellStart"/>
      <w:r w:rsidRPr="008651DA">
        <w:rPr>
          <w:bCs/>
          <w:lang w:val="en-GB"/>
        </w:rPr>
        <w:t>Tricaud</w:t>
      </w:r>
      <w:proofErr w:type="spellEnd"/>
      <w:r w:rsidRPr="008651DA">
        <w:rPr>
          <w:bCs/>
          <w:lang w:val="en-GB"/>
        </w:rPr>
        <w:t xml:space="preserve"> C, </w:t>
      </w:r>
      <w:proofErr w:type="spellStart"/>
      <w:r w:rsidRPr="008651DA">
        <w:rPr>
          <w:bCs/>
          <w:lang w:val="en-GB"/>
        </w:rPr>
        <w:t>Geffroy</w:t>
      </w:r>
      <w:proofErr w:type="spellEnd"/>
      <w:r w:rsidRPr="008651DA">
        <w:rPr>
          <w:bCs/>
          <w:lang w:val="en-GB"/>
        </w:rPr>
        <w:t xml:space="preserve"> O, </w:t>
      </w:r>
      <w:proofErr w:type="spellStart"/>
      <w:r w:rsidRPr="008651DA">
        <w:rPr>
          <w:bCs/>
          <w:lang w:val="en-GB"/>
        </w:rPr>
        <w:t>Caure</w:t>
      </w:r>
      <w:proofErr w:type="spellEnd"/>
      <w:r w:rsidRPr="008651DA">
        <w:rPr>
          <w:bCs/>
          <w:lang w:val="en-GB"/>
        </w:rPr>
        <w:t xml:space="preserve"> S. Location of radiological lesions of the thoracolumbar column in French trotters with and without signs of back pain. Vet Rec. 2010;166(2):41–5. </w:t>
      </w:r>
    </w:p>
    <w:p w14:paraId="7A44AB58" w14:textId="72F16F83" w:rsidR="008651DA" w:rsidRPr="008651DA" w:rsidRDefault="008651DA" w:rsidP="008651DA">
      <w:pPr>
        <w:spacing w:line="480" w:lineRule="auto"/>
        <w:ind w:left="709" w:hanging="709"/>
        <w:rPr>
          <w:bCs/>
          <w:lang w:val="en-GB"/>
        </w:rPr>
      </w:pPr>
      <w:r w:rsidRPr="008651DA">
        <w:rPr>
          <w:bCs/>
          <w:lang w:val="en-GB"/>
        </w:rPr>
        <w:t>1</w:t>
      </w:r>
      <w:r w:rsidR="009F0CC5">
        <w:rPr>
          <w:bCs/>
          <w:lang w:val="en-GB"/>
        </w:rPr>
        <w:t>0</w:t>
      </w:r>
      <w:r w:rsidRPr="008651DA">
        <w:rPr>
          <w:bCs/>
          <w:lang w:val="en-GB"/>
        </w:rPr>
        <w:t xml:space="preserve">. </w:t>
      </w:r>
      <w:r w:rsidRPr="008651DA">
        <w:rPr>
          <w:bCs/>
          <w:lang w:val="en-GB"/>
        </w:rPr>
        <w:tab/>
        <w:t xml:space="preserve">Hendrickson D. The thoracolumbar spine/Back. In: Baxter GM, editor. Adams’ Lameness in Horses. 7th ed. Lippincott Williams &amp; Wilkins; 2020. p. 784–95. </w:t>
      </w:r>
    </w:p>
    <w:p w14:paraId="376E462E" w14:textId="7F64EDC2" w:rsidR="008651DA" w:rsidRPr="008651DA" w:rsidRDefault="008651DA" w:rsidP="008651DA">
      <w:pPr>
        <w:spacing w:line="480" w:lineRule="auto"/>
        <w:ind w:left="709" w:hanging="709"/>
        <w:rPr>
          <w:bCs/>
          <w:lang w:val="en-GB"/>
        </w:rPr>
      </w:pPr>
      <w:r w:rsidRPr="008651DA">
        <w:rPr>
          <w:bCs/>
          <w:lang w:val="en-GB"/>
        </w:rPr>
        <w:t>1</w:t>
      </w:r>
      <w:r w:rsidR="009F0CC5">
        <w:rPr>
          <w:bCs/>
          <w:lang w:val="en-GB"/>
        </w:rPr>
        <w:t>1</w:t>
      </w:r>
      <w:r w:rsidRPr="008651DA">
        <w:rPr>
          <w:bCs/>
          <w:lang w:val="en-GB"/>
        </w:rPr>
        <w:t xml:space="preserve">. </w:t>
      </w:r>
      <w:r w:rsidRPr="008651DA">
        <w:rPr>
          <w:bCs/>
          <w:lang w:val="en-GB"/>
        </w:rPr>
        <w:tab/>
        <w:t xml:space="preserve">Berner D, Winter K, Brehm W, Gerlach K. Influence of head and neck position on radiographic measurement of intervertebral distances between thoracic dorsal spinous processes in clinically sound horses. Equine Vet J. 2012;44(SUPPL. 43):21–6. </w:t>
      </w:r>
    </w:p>
    <w:p w14:paraId="1C872C41" w14:textId="46B06023" w:rsidR="008651DA" w:rsidRPr="008651DA" w:rsidRDefault="008651DA" w:rsidP="008651DA">
      <w:pPr>
        <w:spacing w:line="480" w:lineRule="auto"/>
        <w:ind w:left="709" w:hanging="709"/>
        <w:rPr>
          <w:bCs/>
          <w:lang w:val="de-DE"/>
        </w:rPr>
      </w:pPr>
      <w:r w:rsidRPr="008651DA">
        <w:rPr>
          <w:bCs/>
          <w:lang w:val="en-GB"/>
        </w:rPr>
        <w:t>1</w:t>
      </w:r>
      <w:r w:rsidR="009F0CC5">
        <w:rPr>
          <w:bCs/>
          <w:lang w:val="en-GB"/>
        </w:rPr>
        <w:t>2</w:t>
      </w:r>
      <w:r w:rsidRPr="008651DA">
        <w:rPr>
          <w:bCs/>
          <w:lang w:val="en-GB"/>
        </w:rPr>
        <w:t xml:space="preserve">. </w:t>
      </w:r>
      <w:r w:rsidRPr="008651DA">
        <w:rPr>
          <w:bCs/>
          <w:lang w:val="en-GB"/>
        </w:rPr>
        <w:tab/>
      </w:r>
      <w:proofErr w:type="spellStart"/>
      <w:r w:rsidRPr="008651DA">
        <w:rPr>
          <w:bCs/>
          <w:lang w:val="en-GB"/>
        </w:rPr>
        <w:t>Djernæs</w:t>
      </w:r>
      <w:proofErr w:type="spellEnd"/>
      <w:r w:rsidRPr="008651DA">
        <w:rPr>
          <w:bCs/>
          <w:lang w:val="en-GB"/>
        </w:rPr>
        <w:t xml:space="preserve"> JD, Nielsen J V., Berg LC. Effects of X-Ray Beam Angle and Geometric Distortion on Width of Equine Thoracolumbar Interspinous Spaces Using </w:t>
      </w:r>
      <w:r w:rsidRPr="008651DA">
        <w:rPr>
          <w:bCs/>
          <w:lang w:val="en-GB"/>
        </w:rPr>
        <w:lastRenderedPageBreak/>
        <w:t xml:space="preserve">Radiography and Computed Tomography—a Cadaveric Study. </w:t>
      </w:r>
      <w:proofErr w:type="spellStart"/>
      <w:r w:rsidRPr="008651DA">
        <w:rPr>
          <w:bCs/>
          <w:lang w:val="de-DE"/>
        </w:rPr>
        <w:t>Vet</w:t>
      </w:r>
      <w:proofErr w:type="spellEnd"/>
      <w:r w:rsidRPr="008651DA">
        <w:rPr>
          <w:bCs/>
          <w:lang w:val="de-DE"/>
        </w:rPr>
        <w:t xml:space="preserve"> </w:t>
      </w:r>
      <w:proofErr w:type="spellStart"/>
      <w:r w:rsidRPr="008651DA">
        <w:rPr>
          <w:bCs/>
          <w:lang w:val="de-DE"/>
        </w:rPr>
        <w:t>Radiol</w:t>
      </w:r>
      <w:proofErr w:type="spellEnd"/>
      <w:r w:rsidRPr="008651DA">
        <w:rPr>
          <w:bCs/>
          <w:lang w:val="de-DE"/>
        </w:rPr>
        <w:t xml:space="preserve"> Ultrasound. 2017;58(2):169–75. </w:t>
      </w:r>
    </w:p>
    <w:p w14:paraId="08B96F6A" w14:textId="2DBD7D6A" w:rsidR="008651DA" w:rsidRPr="008651DA" w:rsidRDefault="008651DA" w:rsidP="008651DA">
      <w:pPr>
        <w:spacing w:line="480" w:lineRule="auto"/>
        <w:ind w:left="709" w:hanging="709"/>
        <w:rPr>
          <w:bCs/>
          <w:lang w:val="en-GB"/>
        </w:rPr>
      </w:pPr>
      <w:r w:rsidRPr="008651DA">
        <w:rPr>
          <w:bCs/>
          <w:lang w:val="de-DE"/>
        </w:rPr>
        <w:t>1</w:t>
      </w:r>
      <w:r w:rsidR="009F0CC5">
        <w:rPr>
          <w:bCs/>
          <w:lang w:val="de-DE"/>
        </w:rPr>
        <w:t>3</w:t>
      </w:r>
      <w:r w:rsidRPr="008651DA">
        <w:rPr>
          <w:bCs/>
          <w:lang w:val="de-DE"/>
        </w:rPr>
        <w:t xml:space="preserve">. </w:t>
      </w:r>
      <w:r w:rsidRPr="008651DA">
        <w:rPr>
          <w:bCs/>
          <w:lang w:val="de-DE"/>
        </w:rPr>
        <w:tab/>
      </w:r>
      <w:proofErr w:type="spellStart"/>
      <w:r w:rsidRPr="008651DA">
        <w:rPr>
          <w:bCs/>
          <w:lang w:val="de-DE"/>
        </w:rPr>
        <w:t>Holmer</w:t>
      </w:r>
      <w:proofErr w:type="spellEnd"/>
      <w:r w:rsidRPr="008651DA">
        <w:rPr>
          <w:bCs/>
          <w:lang w:val="de-DE"/>
        </w:rPr>
        <w:t xml:space="preserve"> M. Röntgenbefunde an den Dornfortsätzen klinisch rückengesunder Warmblutpferde. </w:t>
      </w:r>
      <w:r w:rsidRPr="008651DA">
        <w:rPr>
          <w:bCs/>
          <w:lang w:val="en-GB"/>
        </w:rPr>
        <w:t xml:space="preserve">Doctoral dissertation, </w:t>
      </w:r>
      <w:r>
        <w:rPr>
          <w:bCs/>
          <w:lang w:val="en-GB"/>
        </w:rPr>
        <w:t>Ludwig</w:t>
      </w:r>
      <w:r w:rsidR="00427620">
        <w:rPr>
          <w:bCs/>
          <w:lang w:val="en-GB"/>
        </w:rPr>
        <w:t>-</w:t>
      </w:r>
      <w:proofErr w:type="spellStart"/>
      <w:r>
        <w:rPr>
          <w:bCs/>
          <w:lang w:val="en-GB"/>
        </w:rPr>
        <w:t>Maximilian</w:t>
      </w:r>
      <w:r w:rsidR="00427620">
        <w:rPr>
          <w:bCs/>
          <w:lang w:val="en-GB"/>
        </w:rPr>
        <w:t>s</w:t>
      </w:r>
      <w:proofErr w:type="spellEnd"/>
      <w:r w:rsidR="00427620">
        <w:rPr>
          <w:bCs/>
          <w:lang w:val="en-GB"/>
        </w:rPr>
        <w:t>-</w:t>
      </w:r>
      <w:r>
        <w:rPr>
          <w:bCs/>
          <w:lang w:val="en-GB"/>
        </w:rPr>
        <w:t>University, Munich</w:t>
      </w:r>
      <w:r w:rsidRPr="008651DA">
        <w:rPr>
          <w:bCs/>
          <w:lang w:val="en-GB"/>
        </w:rPr>
        <w:t xml:space="preserve">, </w:t>
      </w:r>
      <w:r w:rsidR="00427620">
        <w:rPr>
          <w:bCs/>
          <w:lang w:val="en-GB"/>
        </w:rPr>
        <w:t xml:space="preserve">Germany, </w:t>
      </w:r>
      <w:r w:rsidRPr="008651DA">
        <w:rPr>
          <w:bCs/>
          <w:lang w:val="en-GB"/>
        </w:rPr>
        <w:t xml:space="preserve">2005. </w:t>
      </w:r>
    </w:p>
    <w:p w14:paraId="4CF3F905" w14:textId="670D0CA6" w:rsidR="008651DA" w:rsidRPr="008651DA" w:rsidRDefault="008651DA" w:rsidP="008651DA">
      <w:pPr>
        <w:spacing w:line="480" w:lineRule="auto"/>
        <w:ind w:left="709" w:hanging="709"/>
        <w:rPr>
          <w:bCs/>
          <w:lang w:val="de-DE"/>
        </w:rPr>
      </w:pPr>
      <w:r w:rsidRPr="008651DA">
        <w:rPr>
          <w:bCs/>
          <w:lang w:val="en-GB"/>
        </w:rPr>
        <w:t>1</w:t>
      </w:r>
      <w:r w:rsidR="009F0CC5">
        <w:rPr>
          <w:bCs/>
          <w:lang w:val="en-GB"/>
        </w:rPr>
        <w:t>4</w:t>
      </w:r>
      <w:r w:rsidRPr="008651DA">
        <w:rPr>
          <w:bCs/>
          <w:lang w:val="en-GB"/>
        </w:rPr>
        <w:t xml:space="preserve">. </w:t>
      </w:r>
      <w:r w:rsidRPr="008651DA">
        <w:rPr>
          <w:bCs/>
          <w:lang w:val="en-GB"/>
        </w:rPr>
        <w:tab/>
        <w:t xml:space="preserve">De Graaf K, </w:t>
      </w:r>
      <w:proofErr w:type="spellStart"/>
      <w:r w:rsidRPr="008651DA">
        <w:rPr>
          <w:bCs/>
          <w:lang w:val="en-GB"/>
        </w:rPr>
        <w:t>Enzerink</w:t>
      </w:r>
      <w:proofErr w:type="spellEnd"/>
      <w:r w:rsidRPr="008651DA">
        <w:rPr>
          <w:bCs/>
          <w:lang w:val="en-GB"/>
        </w:rPr>
        <w:t xml:space="preserve"> E, Van </w:t>
      </w:r>
      <w:proofErr w:type="spellStart"/>
      <w:r w:rsidRPr="008651DA">
        <w:rPr>
          <w:bCs/>
          <w:lang w:val="en-GB"/>
        </w:rPr>
        <w:t>Oijen</w:t>
      </w:r>
      <w:proofErr w:type="spellEnd"/>
      <w:r w:rsidRPr="008651DA">
        <w:rPr>
          <w:bCs/>
          <w:lang w:val="en-GB"/>
        </w:rPr>
        <w:t xml:space="preserve"> P, </w:t>
      </w:r>
      <w:proofErr w:type="spellStart"/>
      <w:r w:rsidRPr="008651DA">
        <w:rPr>
          <w:bCs/>
          <w:lang w:val="en-GB"/>
        </w:rPr>
        <w:t>Smeenk</w:t>
      </w:r>
      <w:proofErr w:type="spellEnd"/>
      <w:r w:rsidRPr="008651DA">
        <w:rPr>
          <w:bCs/>
          <w:lang w:val="en-GB"/>
        </w:rPr>
        <w:t xml:space="preserve"> A, </w:t>
      </w:r>
      <w:proofErr w:type="spellStart"/>
      <w:r w:rsidRPr="008651DA">
        <w:rPr>
          <w:bCs/>
          <w:lang w:val="en-GB"/>
        </w:rPr>
        <w:t>Dik</w:t>
      </w:r>
      <w:proofErr w:type="spellEnd"/>
      <w:r w:rsidRPr="008651DA">
        <w:rPr>
          <w:bCs/>
          <w:lang w:val="en-GB"/>
        </w:rPr>
        <w:t xml:space="preserve"> KJ. The radiographic frequency of impingement of the dorsal spinous processes at purchase examination and its clinical significance in 220 warmblood </w:t>
      </w:r>
      <w:proofErr w:type="spellStart"/>
      <w:r w:rsidRPr="008651DA">
        <w:rPr>
          <w:bCs/>
          <w:lang w:val="en-GB"/>
        </w:rPr>
        <w:t>sporthorses</w:t>
      </w:r>
      <w:proofErr w:type="spellEnd"/>
      <w:r w:rsidRPr="008651DA">
        <w:rPr>
          <w:bCs/>
          <w:lang w:val="en-GB"/>
        </w:rPr>
        <w:t xml:space="preserve">. </w:t>
      </w:r>
      <w:r w:rsidRPr="008651DA">
        <w:rPr>
          <w:bCs/>
          <w:lang w:val="de-DE"/>
        </w:rPr>
        <w:t xml:space="preserve">Pferdeheilkunde. 2015;31(5):461–8. </w:t>
      </w:r>
    </w:p>
    <w:p w14:paraId="46A5018B" w14:textId="4B308AA2" w:rsidR="008651DA" w:rsidRPr="008651DA" w:rsidRDefault="008651DA" w:rsidP="008651DA">
      <w:pPr>
        <w:spacing w:line="480" w:lineRule="auto"/>
        <w:ind w:left="709" w:hanging="709"/>
        <w:rPr>
          <w:bCs/>
          <w:lang w:val="de-DE"/>
        </w:rPr>
      </w:pPr>
      <w:r w:rsidRPr="008651DA">
        <w:rPr>
          <w:bCs/>
          <w:lang w:val="de-DE"/>
        </w:rPr>
        <w:t>1</w:t>
      </w:r>
      <w:r w:rsidR="009F0CC5">
        <w:rPr>
          <w:bCs/>
          <w:lang w:val="de-DE"/>
        </w:rPr>
        <w:t>5</w:t>
      </w:r>
      <w:r w:rsidRPr="008651DA">
        <w:rPr>
          <w:bCs/>
          <w:lang w:val="de-DE"/>
        </w:rPr>
        <w:t>.</w:t>
      </w:r>
      <w:r>
        <w:rPr>
          <w:bCs/>
          <w:lang w:val="de-DE"/>
        </w:rPr>
        <w:t xml:space="preserve"> </w:t>
      </w:r>
      <w:r>
        <w:rPr>
          <w:bCs/>
          <w:lang w:val="de-DE"/>
        </w:rPr>
        <w:tab/>
        <w:t xml:space="preserve">Pettersson, H., B. </w:t>
      </w:r>
      <w:proofErr w:type="spellStart"/>
      <w:r>
        <w:rPr>
          <w:bCs/>
          <w:lang w:val="de-DE"/>
        </w:rPr>
        <w:t>Strömberg</w:t>
      </w:r>
      <w:proofErr w:type="spellEnd"/>
      <w:r>
        <w:rPr>
          <w:bCs/>
          <w:lang w:val="de-DE"/>
        </w:rPr>
        <w:t xml:space="preserve"> </w:t>
      </w:r>
      <w:proofErr w:type="spellStart"/>
      <w:r w:rsidRPr="008651DA">
        <w:rPr>
          <w:bCs/>
          <w:lang w:val="de-DE"/>
        </w:rPr>
        <w:t>and</w:t>
      </w:r>
      <w:proofErr w:type="spellEnd"/>
      <w:r w:rsidRPr="008651DA">
        <w:rPr>
          <w:bCs/>
          <w:lang w:val="de-DE"/>
        </w:rPr>
        <w:t xml:space="preserve"> IM. Das </w:t>
      </w:r>
      <w:proofErr w:type="spellStart"/>
      <w:r w:rsidRPr="008651DA">
        <w:rPr>
          <w:bCs/>
          <w:lang w:val="de-DE"/>
        </w:rPr>
        <w:t>thor</w:t>
      </w:r>
      <w:r>
        <w:rPr>
          <w:bCs/>
          <w:lang w:val="de-DE"/>
        </w:rPr>
        <w:t>a</w:t>
      </w:r>
      <w:r w:rsidRPr="008651DA">
        <w:rPr>
          <w:bCs/>
          <w:lang w:val="de-DE"/>
        </w:rPr>
        <w:t>kolumbale</w:t>
      </w:r>
      <w:proofErr w:type="spellEnd"/>
      <w:r w:rsidRPr="008651DA">
        <w:rPr>
          <w:bCs/>
          <w:lang w:val="de-DE"/>
        </w:rPr>
        <w:t xml:space="preserve">, interspinale Syndrom (TLI) des Reitpferdes-Retrospektiver Vergleich konservativ und chirurgisch behandelter Fälle. Pferdeheilkunde. </w:t>
      </w:r>
      <w:proofErr w:type="gramStart"/>
      <w:r w:rsidRPr="008651DA">
        <w:rPr>
          <w:bCs/>
          <w:lang w:val="de-DE"/>
        </w:rPr>
        <w:t>1987;3:313</w:t>
      </w:r>
      <w:proofErr w:type="gramEnd"/>
      <w:r w:rsidRPr="008651DA">
        <w:rPr>
          <w:bCs/>
          <w:lang w:val="de-DE"/>
        </w:rPr>
        <w:t xml:space="preserve">–9. </w:t>
      </w:r>
    </w:p>
    <w:p w14:paraId="43390B56" w14:textId="40ACCA3A" w:rsidR="008651DA" w:rsidRPr="002D62C1" w:rsidRDefault="008651DA" w:rsidP="008651DA">
      <w:pPr>
        <w:spacing w:line="480" w:lineRule="auto"/>
        <w:ind w:left="709" w:hanging="709"/>
        <w:rPr>
          <w:bCs/>
          <w:lang w:val="en-GB"/>
        </w:rPr>
      </w:pPr>
      <w:r w:rsidRPr="008651DA">
        <w:rPr>
          <w:bCs/>
          <w:lang w:val="de-DE"/>
        </w:rPr>
        <w:t>1</w:t>
      </w:r>
      <w:r w:rsidR="009F0CC5">
        <w:rPr>
          <w:bCs/>
          <w:lang w:val="de-DE"/>
        </w:rPr>
        <w:t>6</w:t>
      </w:r>
      <w:r w:rsidRPr="008651DA">
        <w:rPr>
          <w:bCs/>
          <w:lang w:val="de-DE"/>
        </w:rPr>
        <w:t xml:space="preserve">. </w:t>
      </w:r>
      <w:r w:rsidRPr="008651DA">
        <w:rPr>
          <w:bCs/>
          <w:lang w:val="de-DE"/>
        </w:rPr>
        <w:tab/>
        <w:t xml:space="preserve">Sager J. Die Erkrankungen der </w:t>
      </w:r>
      <w:proofErr w:type="spellStart"/>
      <w:r w:rsidRPr="008651DA">
        <w:rPr>
          <w:bCs/>
          <w:lang w:val="de-DE"/>
        </w:rPr>
        <w:t>Processus</w:t>
      </w:r>
      <w:proofErr w:type="spellEnd"/>
      <w:r w:rsidRPr="008651DA">
        <w:rPr>
          <w:bCs/>
          <w:lang w:val="de-DE"/>
        </w:rPr>
        <w:t xml:space="preserve"> </w:t>
      </w:r>
      <w:proofErr w:type="spellStart"/>
      <w:r w:rsidRPr="008651DA">
        <w:rPr>
          <w:bCs/>
          <w:lang w:val="de-DE"/>
        </w:rPr>
        <w:t>spinosi</w:t>
      </w:r>
      <w:proofErr w:type="spellEnd"/>
      <w:r w:rsidRPr="008651DA">
        <w:rPr>
          <w:bCs/>
          <w:lang w:val="de-DE"/>
        </w:rPr>
        <w:t xml:space="preserve"> der Brust-und Lendenwirbelsäule des Pferdes: eine klinische und röntgenologische Studie.</w:t>
      </w:r>
      <w:r w:rsidR="00427620">
        <w:rPr>
          <w:bCs/>
          <w:lang w:val="de-DE"/>
        </w:rPr>
        <w:t xml:space="preserve"> </w:t>
      </w:r>
      <w:r w:rsidR="00427620" w:rsidRPr="008651DA">
        <w:rPr>
          <w:bCs/>
          <w:lang w:val="en-GB"/>
        </w:rPr>
        <w:t>Doctoral dissertation</w:t>
      </w:r>
      <w:r w:rsidR="00427620">
        <w:rPr>
          <w:bCs/>
          <w:lang w:val="en-GB"/>
        </w:rPr>
        <w:t>, Free University of Berlin, Berlin, Germany</w:t>
      </w:r>
      <w:r w:rsidR="00427620" w:rsidRPr="002D62C1">
        <w:rPr>
          <w:bCs/>
          <w:lang w:val="en-GB"/>
        </w:rPr>
        <w:t>,</w:t>
      </w:r>
      <w:r w:rsidRPr="002D62C1">
        <w:rPr>
          <w:bCs/>
          <w:lang w:val="en-GB"/>
        </w:rPr>
        <w:t xml:space="preserve"> 1997. </w:t>
      </w:r>
    </w:p>
    <w:p w14:paraId="7E74B3E9" w14:textId="6A758D5E" w:rsidR="008651DA" w:rsidRPr="008651DA" w:rsidRDefault="008651DA" w:rsidP="008651DA">
      <w:pPr>
        <w:spacing w:line="480" w:lineRule="auto"/>
        <w:ind w:left="709" w:hanging="709"/>
        <w:rPr>
          <w:bCs/>
          <w:lang w:val="de-DE"/>
        </w:rPr>
      </w:pPr>
      <w:r w:rsidRPr="008651DA">
        <w:rPr>
          <w:bCs/>
          <w:lang w:val="en-GB"/>
        </w:rPr>
        <w:t>1</w:t>
      </w:r>
      <w:r w:rsidR="009F0CC5">
        <w:rPr>
          <w:bCs/>
          <w:lang w:val="en-GB"/>
        </w:rPr>
        <w:t>7</w:t>
      </w:r>
      <w:r w:rsidRPr="008651DA">
        <w:rPr>
          <w:bCs/>
          <w:lang w:val="en-GB"/>
        </w:rPr>
        <w:t xml:space="preserve">. </w:t>
      </w:r>
      <w:r w:rsidRPr="008651DA">
        <w:rPr>
          <w:bCs/>
          <w:lang w:val="en-GB"/>
        </w:rPr>
        <w:tab/>
      </w:r>
      <w:proofErr w:type="spellStart"/>
      <w:r w:rsidRPr="008651DA">
        <w:rPr>
          <w:bCs/>
          <w:lang w:val="en-GB"/>
        </w:rPr>
        <w:t>Denoix</w:t>
      </w:r>
      <w:proofErr w:type="spellEnd"/>
      <w:r w:rsidRPr="008651DA">
        <w:rPr>
          <w:bCs/>
          <w:lang w:val="en-GB"/>
        </w:rPr>
        <w:t xml:space="preserve">, Jean-Marie M., Dyson SJ. Thoracolumbar spine. In: Diagnosis and Management of Lameness in the Horse 2nd ed. </w:t>
      </w:r>
      <w:r w:rsidRPr="008651DA">
        <w:rPr>
          <w:bCs/>
          <w:lang w:val="de-DE"/>
        </w:rPr>
        <w:t xml:space="preserve">Eds Ross MW, </w:t>
      </w:r>
      <w:proofErr w:type="spellStart"/>
      <w:r w:rsidRPr="008651DA">
        <w:rPr>
          <w:bCs/>
          <w:lang w:val="de-DE"/>
        </w:rPr>
        <w:t>Dyson</w:t>
      </w:r>
      <w:proofErr w:type="spellEnd"/>
      <w:r w:rsidRPr="008651DA">
        <w:rPr>
          <w:bCs/>
          <w:lang w:val="de-DE"/>
        </w:rPr>
        <w:t xml:space="preserve"> SJ, WB Saunders; 2011. p. 592–605. </w:t>
      </w:r>
    </w:p>
    <w:p w14:paraId="5E26F165" w14:textId="2C1DDC92" w:rsidR="008651DA" w:rsidRPr="008651DA" w:rsidRDefault="008651DA" w:rsidP="008651DA">
      <w:pPr>
        <w:spacing w:line="480" w:lineRule="auto"/>
        <w:ind w:left="709" w:hanging="709"/>
        <w:rPr>
          <w:bCs/>
          <w:lang w:val="en-GB"/>
        </w:rPr>
      </w:pPr>
      <w:r w:rsidRPr="008651DA">
        <w:rPr>
          <w:bCs/>
          <w:lang w:val="de-DE"/>
        </w:rPr>
        <w:t>1</w:t>
      </w:r>
      <w:r w:rsidR="009F0CC5">
        <w:rPr>
          <w:bCs/>
          <w:lang w:val="de-DE"/>
        </w:rPr>
        <w:t>8</w:t>
      </w:r>
      <w:r w:rsidRPr="008651DA">
        <w:rPr>
          <w:bCs/>
          <w:lang w:val="de-DE"/>
        </w:rPr>
        <w:t xml:space="preserve">. </w:t>
      </w:r>
      <w:r w:rsidRPr="008651DA">
        <w:rPr>
          <w:bCs/>
          <w:lang w:val="de-DE"/>
        </w:rPr>
        <w:tab/>
        <w:t xml:space="preserve">Gerhards, H., </w:t>
      </w:r>
      <w:proofErr w:type="spellStart"/>
      <w:r w:rsidRPr="008651DA">
        <w:rPr>
          <w:bCs/>
          <w:lang w:val="de-DE"/>
        </w:rPr>
        <w:t>Hertsch</w:t>
      </w:r>
      <w:proofErr w:type="spellEnd"/>
      <w:r w:rsidRPr="008651DA">
        <w:rPr>
          <w:bCs/>
          <w:lang w:val="de-DE"/>
        </w:rPr>
        <w:t xml:space="preserve">, B., Jahn, P., &amp; </w:t>
      </w:r>
      <w:proofErr w:type="spellStart"/>
      <w:r w:rsidRPr="008651DA">
        <w:rPr>
          <w:bCs/>
          <w:lang w:val="de-DE"/>
        </w:rPr>
        <w:t>Brunken</w:t>
      </w:r>
      <w:proofErr w:type="spellEnd"/>
      <w:r w:rsidRPr="008651DA">
        <w:rPr>
          <w:bCs/>
          <w:lang w:val="de-DE"/>
        </w:rPr>
        <w:t xml:space="preserve"> G. Leitfaden für die röntgenologische Beurteilung bei der Kaufuntersuchung des Pferdes (RoLF07). </w:t>
      </w:r>
      <w:proofErr w:type="spellStart"/>
      <w:r w:rsidRPr="008651DA">
        <w:rPr>
          <w:bCs/>
          <w:lang w:val="en-GB"/>
        </w:rPr>
        <w:t>Deutsch</w:t>
      </w:r>
      <w:r>
        <w:rPr>
          <w:bCs/>
          <w:lang w:val="en-GB"/>
        </w:rPr>
        <w:t>es</w:t>
      </w:r>
      <w:proofErr w:type="spellEnd"/>
      <w:r w:rsidRPr="008651DA">
        <w:rPr>
          <w:bCs/>
          <w:lang w:val="en-GB"/>
        </w:rPr>
        <w:t xml:space="preserve"> </w:t>
      </w:r>
      <w:proofErr w:type="spellStart"/>
      <w:r w:rsidRPr="008651DA">
        <w:rPr>
          <w:bCs/>
          <w:lang w:val="en-GB"/>
        </w:rPr>
        <w:t>Tier</w:t>
      </w:r>
      <w:r>
        <w:rPr>
          <w:bCs/>
          <w:lang w:val="en-GB"/>
        </w:rPr>
        <w:t>ä</w:t>
      </w:r>
      <w:r w:rsidRPr="008651DA">
        <w:rPr>
          <w:bCs/>
          <w:lang w:val="en-GB"/>
        </w:rPr>
        <w:t>rzteblatt</w:t>
      </w:r>
      <w:proofErr w:type="spellEnd"/>
      <w:r w:rsidRPr="008651DA">
        <w:rPr>
          <w:bCs/>
          <w:lang w:val="en-GB"/>
        </w:rPr>
        <w:t xml:space="preserve">. </w:t>
      </w:r>
      <w:proofErr w:type="gramStart"/>
      <w:r w:rsidRPr="008651DA">
        <w:rPr>
          <w:bCs/>
          <w:lang w:val="en-GB"/>
        </w:rPr>
        <w:t>2007;57:292</w:t>
      </w:r>
      <w:proofErr w:type="gramEnd"/>
      <w:r w:rsidRPr="008651DA">
        <w:rPr>
          <w:bCs/>
          <w:lang w:val="en-GB"/>
        </w:rPr>
        <w:t xml:space="preserve">–303. </w:t>
      </w:r>
    </w:p>
    <w:p w14:paraId="1707A45C" w14:textId="79DB7097" w:rsidR="008651DA" w:rsidRPr="008651DA" w:rsidRDefault="009F0CC5" w:rsidP="008651DA">
      <w:pPr>
        <w:spacing w:line="480" w:lineRule="auto"/>
        <w:ind w:left="709" w:hanging="709"/>
        <w:rPr>
          <w:bCs/>
          <w:lang w:val="en-GB"/>
        </w:rPr>
      </w:pPr>
      <w:r>
        <w:rPr>
          <w:bCs/>
          <w:lang w:val="en-GB"/>
        </w:rPr>
        <w:t>19</w:t>
      </w:r>
      <w:r w:rsidR="008651DA" w:rsidRPr="008651DA">
        <w:rPr>
          <w:bCs/>
          <w:lang w:val="en-GB"/>
        </w:rPr>
        <w:t xml:space="preserve">. </w:t>
      </w:r>
      <w:r w:rsidR="008651DA" w:rsidRPr="008651DA">
        <w:rPr>
          <w:bCs/>
          <w:lang w:val="en-GB"/>
        </w:rPr>
        <w:tab/>
        <w:t xml:space="preserve">Zimmerman M, Dyson S, Murray R. Comparison of radiographic and </w:t>
      </w:r>
      <w:proofErr w:type="spellStart"/>
      <w:r w:rsidR="008651DA" w:rsidRPr="008651DA">
        <w:rPr>
          <w:bCs/>
          <w:lang w:val="en-GB"/>
        </w:rPr>
        <w:t>scintigraphic</w:t>
      </w:r>
      <w:proofErr w:type="spellEnd"/>
      <w:r w:rsidR="008651DA" w:rsidRPr="008651DA">
        <w:rPr>
          <w:bCs/>
          <w:lang w:val="en-GB"/>
        </w:rPr>
        <w:t xml:space="preserve"> findings of the spinous processes in the equine thoracolumbar region. Vet </w:t>
      </w:r>
      <w:proofErr w:type="spellStart"/>
      <w:r w:rsidR="008651DA" w:rsidRPr="008651DA">
        <w:rPr>
          <w:bCs/>
          <w:lang w:val="en-GB"/>
        </w:rPr>
        <w:t>Radiol</w:t>
      </w:r>
      <w:proofErr w:type="spellEnd"/>
      <w:r w:rsidR="008651DA" w:rsidRPr="008651DA">
        <w:rPr>
          <w:bCs/>
          <w:lang w:val="en-GB"/>
        </w:rPr>
        <w:t xml:space="preserve"> Ultrasound. 2011;52(6):661–71. </w:t>
      </w:r>
    </w:p>
    <w:p w14:paraId="1B3909C8" w14:textId="427ABBEB" w:rsidR="008651DA" w:rsidRPr="008651DA" w:rsidRDefault="008651DA" w:rsidP="008651DA">
      <w:pPr>
        <w:spacing w:line="480" w:lineRule="auto"/>
        <w:ind w:left="709" w:hanging="709"/>
        <w:rPr>
          <w:bCs/>
          <w:lang w:val="de-DE"/>
        </w:rPr>
      </w:pPr>
      <w:r w:rsidRPr="008651DA">
        <w:rPr>
          <w:bCs/>
          <w:lang w:val="en-GB"/>
        </w:rPr>
        <w:lastRenderedPageBreak/>
        <w:t>2</w:t>
      </w:r>
      <w:r w:rsidR="009F0CC5">
        <w:rPr>
          <w:bCs/>
          <w:lang w:val="en-GB"/>
        </w:rPr>
        <w:t>0</w:t>
      </w:r>
      <w:r w:rsidRPr="008651DA">
        <w:rPr>
          <w:bCs/>
          <w:lang w:val="en-GB"/>
        </w:rPr>
        <w:t xml:space="preserve">. </w:t>
      </w:r>
      <w:r w:rsidRPr="008651DA">
        <w:rPr>
          <w:bCs/>
          <w:lang w:val="en-GB"/>
        </w:rPr>
        <w:tab/>
      </w:r>
      <w:bookmarkStart w:id="32" w:name="OLE_LINK5"/>
      <w:bookmarkStart w:id="33" w:name="OLE_LINK6"/>
      <w:proofErr w:type="spellStart"/>
      <w:r w:rsidRPr="008651DA">
        <w:rPr>
          <w:bCs/>
          <w:lang w:val="en-GB"/>
        </w:rPr>
        <w:t>Hellige</w:t>
      </w:r>
      <w:proofErr w:type="spellEnd"/>
      <w:r w:rsidRPr="008651DA">
        <w:rPr>
          <w:bCs/>
          <w:lang w:val="en-GB"/>
        </w:rPr>
        <w:t xml:space="preserve"> M, </w:t>
      </w:r>
      <w:proofErr w:type="spellStart"/>
      <w:r w:rsidRPr="008651DA">
        <w:rPr>
          <w:bCs/>
          <w:lang w:val="en-GB"/>
        </w:rPr>
        <w:t>Rohn</w:t>
      </w:r>
      <w:proofErr w:type="spellEnd"/>
      <w:r w:rsidRPr="008651DA">
        <w:rPr>
          <w:bCs/>
          <w:lang w:val="en-GB"/>
        </w:rPr>
        <w:t xml:space="preserve"> K, </w:t>
      </w:r>
      <w:proofErr w:type="spellStart"/>
      <w:r w:rsidR="00952BF4" w:rsidRPr="008651DA">
        <w:rPr>
          <w:bCs/>
          <w:lang w:val="en-GB"/>
        </w:rPr>
        <w:t>Buschkamp</w:t>
      </w:r>
      <w:proofErr w:type="spellEnd"/>
      <w:r w:rsidR="00952BF4" w:rsidRPr="008651DA">
        <w:rPr>
          <w:bCs/>
          <w:lang w:val="en-GB"/>
        </w:rPr>
        <w:t xml:space="preserve"> L</w:t>
      </w:r>
      <w:r w:rsidR="00952BF4">
        <w:rPr>
          <w:bCs/>
          <w:lang w:val="en-GB"/>
        </w:rPr>
        <w:t xml:space="preserve">, </w:t>
      </w:r>
      <w:r w:rsidRPr="008651DA">
        <w:rPr>
          <w:bCs/>
          <w:lang w:val="en-GB"/>
        </w:rPr>
        <w:t>Stadler P. Interobserver agreement in interpreting radiographs of horses using the German Radiology-Guidelines 2007 (“</w:t>
      </w:r>
      <w:proofErr w:type="spellStart"/>
      <w:r w:rsidRPr="008651DA">
        <w:rPr>
          <w:bCs/>
          <w:lang w:val="en-GB"/>
        </w:rPr>
        <w:t>Röntgenleitfaden</w:t>
      </w:r>
      <w:proofErr w:type="spellEnd"/>
      <w:r w:rsidRPr="008651DA">
        <w:rPr>
          <w:bCs/>
          <w:lang w:val="en-GB"/>
        </w:rPr>
        <w:t xml:space="preserve"> 2007”). </w:t>
      </w:r>
      <w:r w:rsidRPr="008651DA">
        <w:rPr>
          <w:bCs/>
          <w:lang w:val="de-DE"/>
        </w:rPr>
        <w:t>Pferdeheilkunde. 2018;34(3):212–22.</w:t>
      </w:r>
      <w:bookmarkEnd w:id="32"/>
      <w:bookmarkEnd w:id="33"/>
    </w:p>
    <w:p w14:paraId="76390582" w14:textId="485182BC" w:rsidR="008651DA" w:rsidRPr="008651DA" w:rsidRDefault="008651DA" w:rsidP="008651DA">
      <w:pPr>
        <w:spacing w:line="480" w:lineRule="auto"/>
        <w:ind w:left="709" w:hanging="709"/>
        <w:rPr>
          <w:bCs/>
          <w:lang w:val="en-GB"/>
        </w:rPr>
      </w:pPr>
      <w:r w:rsidRPr="008651DA">
        <w:rPr>
          <w:bCs/>
          <w:lang w:val="de-DE"/>
        </w:rPr>
        <w:t>2</w:t>
      </w:r>
      <w:r w:rsidR="009F0CC5">
        <w:rPr>
          <w:bCs/>
          <w:lang w:val="de-DE"/>
        </w:rPr>
        <w:t>1</w:t>
      </w:r>
      <w:r w:rsidRPr="008651DA">
        <w:rPr>
          <w:bCs/>
          <w:lang w:val="de-DE"/>
        </w:rPr>
        <w:t xml:space="preserve">. </w:t>
      </w:r>
      <w:r w:rsidRPr="008651DA">
        <w:rPr>
          <w:bCs/>
          <w:lang w:val="de-DE"/>
        </w:rPr>
        <w:tab/>
        <w:t xml:space="preserve">Butler JA, </w:t>
      </w:r>
      <w:proofErr w:type="spellStart"/>
      <w:r w:rsidRPr="008651DA">
        <w:rPr>
          <w:bCs/>
          <w:lang w:val="de-DE"/>
        </w:rPr>
        <w:t>Colles</w:t>
      </w:r>
      <w:proofErr w:type="spellEnd"/>
      <w:r w:rsidRPr="008651DA">
        <w:rPr>
          <w:bCs/>
          <w:lang w:val="de-DE"/>
        </w:rPr>
        <w:t xml:space="preserve"> CM, </w:t>
      </w:r>
      <w:proofErr w:type="spellStart"/>
      <w:r w:rsidRPr="008651DA">
        <w:rPr>
          <w:bCs/>
          <w:lang w:val="de-DE"/>
        </w:rPr>
        <w:t>Dyson</w:t>
      </w:r>
      <w:proofErr w:type="spellEnd"/>
      <w:r w:rsidRPr="008651DA">
        <w:rPr>
          <w:bCs/>
          <w:lang w:val="de-DE"/>
        </w:rPr>
        <w:t xml:space="preserve"> SJ, </w:t>
      </w:r>
      <w:proofErr w:type="spellStart"/>
      <w:r w:rsidRPr="008651DA">
        <w:rPr>
          <w:bCs/>
          <w:lang w:val="de-DE"/>
        </w:rPr>
        <w:t>Kold</w:t>
      </w:r>
      <w:proofErr w:type="spellEnd"/>
      <w:r w:rsidRPr="008651DA">
        <w:rPr>
          <w:bCs/>
          <w:lang w:val="de-DE"/>
        </w:rPr>
        <w:t xml:space="preserve"> SE, </w:t>
      </w:r>
      <w:proofErr w:type="spellStart"/>
      <w:r w:rsidRPr="008651DA">
        <w:rPr>
          <w:bCs/>
          <w:lang w:val="de-DE"/>
        </w:rPr>
        <w:t>Poulos</w:t>
      </w:r>
      <w:proofErr w:type="spellEnd"/>
      <w:r w:rsidRPr="008651DA">
        <w:rPr>
          <w:bCs/>
          <w:lang w:val="de-DE"/>
        </w:rPr>
        <w:t xml:space="preserve"> PW. </w:t>
      </w:r>
      <w:r w:rsidRPr="008651DA">
        <w:rPr>
          <w:bCs/>
          <w:lang w:val="en-GB"/>
        </w:rPr>
        <w:t xml:space="preserve">The vertebral column. In: Clinical radiology of the horse 4th ed. Eds Butler JA, </w:t>
      </w:r>
      <w:proofErr w:type="spellStart"/>
      <w:r w:rsidRPr="008651DA">
        <w:rPr>
          <w:bCs/>
          <w:lang w:val="en-GB"/>
        </w:rPr>
        <w:t>Colles</w:t>
      </w:r>
      <w:proofErr w:type="spellEnd"/>
      <w:r w:rsidRPr="008651DA">
        <w:rPr>
          <w:bCs/>
          <w:lang w:val="en-GB"/>
        </w:rPr>
        <w:t xml:space="preserve"> CM, Dyson SJ, </w:t>
      </w:r>
      <w:proofErr w:type="spellStart"/>
      <w:r w:rsidRPr="008651DA">
        <w:rPr>
          <w:bCs/>
          <w:lang w:val="en-GB"/>
        </w:rPr>
        <w:t>Kold</w:t>
      </w:r>
      <w:proofErr w:type="spellEnd"/>
      <w:r w:rsidRPr="008651DA">
        <w:rPr>
          <w:bCs/>
          <w:lang w:val="en-GB"/>
        </w:rPr>
        <w:t xml:space="preserve"> SE, Poulos PW. Blackwell Scientific Publications Ltd; 2017. p. 569–601. </w:t>
      </w:r>
    </w:p>
    <w:p w14:paraId="049553DA" w14:textId="37F0054A" w:rsidR="008651DA" w:rsidRPr="008651DA" w:rsidRDefault="008651DA" w:rsidP="008651DA">
      <w:pPr>
        <w:spacing w:line="480" w:lineRule="auto"/>
        <w:ind w:left="709" w:hanging="709"/>
        <w:rPr>
          <w:bCs/>
          <w:lang w:val="en-GB"/>
        </w:rPr>
      </w:pPr>
      <w:r w:rsidRPr="008651DA">
        <w:rPr>
          <w:bCs/>
          <w:lang w:val="en-GB"/>
        </w:rPr>
        <w:t>2</w:t>
      </w:r>
      <w:r w:rsidR="009F0CC5">
        <w:rPr>
          <w:bCs/>
          <w:lang w:val="en-GB"/>
        </w:rPr>
        <w:t>2</w:t>
      </w:r>
      <w:r w:rsidRPr="008651DA">
        <w:rPr>
          <w:bCs/>
          <w:lang w:val="en-GB"/>
        </w:rPr>
        <w:t xml:space="preserve">. </w:t>
      </w:r>
      <w:r w:rsidRPr="008651DA">
        <w:rPr>
          <w:bCs/>
          <w:lang w:val="en-GB"/>
        </w:rPr>
        <w:tab/>
        <w:t xml:space="preserve">McHugh ML. Lessons in biostatistics interrater </w:t>
      </w:r>
      <w:proofErr w:type="gramStart"/>
      <w:r w:rsidRPr="008651DA">
        <w:rPr>
          <w:bCs/>
          <w:lang w:val="en-GB"/>
        </w:rPr>
        <w:t>reliability :</w:t>
      </w:r>
      <w:proofErr w:type="gramEnd"/>
      <w:r w:rsidRPr="008651DA">
        <w:rPr>
          <w:bCs/>
          <w:lang w:val="en-GB"/>
        </w:rPr>
        <w:t xml:space="preserve"> the kappa statistic. </w:t>
      </w:r>
      <w:proofErr w:type="spellStart"/>
      <w:r w:rsidRPr="008651DA">
        <w:rPr>
          <w:bCs/>
          <w:lang w:val="en-GB"/>
        </w:rPr>
        <w:t>Biochem</w:t>
      </w:r>
      <w:proofErr w:type="spellEnd"/>
      <w:r w:rsidRPr="008651DA">
        <w:rPr>
          <w:bCs/>
          <w:lang w:val="en-GB"/>
        </w:rPr>
        <w:t xml:space="preserve"> Medica. 2012;22(3):276–82. </w:t>
      </w:r>
    </w:p>
    <w:p w14:paraId="6FBE7CFA" w14:textId="68992F27" w:rsidR="008651DA" w:rsidRPr="008651DA" w:rsidRDefault="008651DA" w:rsidP="008651DA">
      <w:pPr>
        <w:spacing w:line="480" w:lineRule="auto"/>
        <w:ind w:left="709" w:hanging="709"/>
        <w:rPr>
          <w:bCs/>
          <w:lang w:val="en-GB"/>
        </w:rPr>
      </w:pPr>
      <w:r w:rsidRPr="008651DA">
        <w:rPr>
          <w:bCs/>
          <w:lang w:val="en-GB"/>
        </w:rPr>
        <w:t>2</w:t>
      </w:r>
      <w:r w:rsidR="009F0CC5">
        <w:rPr>
          <w:bCs/>
          <w:lang w:val="en-GB"/>
        </w:rPr>
        <w:t>3</w:t>
      </w:r>
      <w:r w:rsidRPr="008651DA">
        <w:rPr>
          <w:bCs/>
          <w:lang w:val="en-GB"/>
        </w:rPr>
        <w:t xml:space="preserve">. </w:t>
      </w:r>
      <w:r w:rsidRPr="008651DA">
        <w:rPr>
          <w:bCs/>
          <w:lang w:val="en-GB"/>
        </w:rPr>
        <w:tab/>
        <w:t xml:space="preserve">Schober P, </w:t>
      </w:r>
      <w:proofErr w:type="spellStart"/>
      <w:r w:rsidRPr="008651DA">
        <w:rPr>
          <w:bCs/>
          <w:lang w:val="en-GB"/>
        </w:rPr>
        <w:t>Schwarte</w:t>
      </w:r>
      <w:proofErr w:type="spellEnd"/>
      <w:r w:rsidRPr="008651DA">
        <w:rPr>
          <w:bCs/>
          <w:lang w:val="en-GB"/>
        </w:rPr>
        <w:t xml:space="preserve"> LA. Correlation coefficients: Appropriate use and interpretation. </w:t>
      </w:r>
      <w:proofErr w:type="spellStart"/>
      <w:r w:rsidRPr="008651DA">
        <w:rPr>
          <w:bCs/>
          <w:lang w:val="en-GB"/>
        </w:rPr>
        <w:t>Anesth</w:t>
      </w:r>
      <w:proofErr w:type="spellEnd"/>
      <w:r w:rsidRPr="008651DA">
        <w:rPr>
          <w:bCs/>
          <w:lang w:val="en-GB"/>
        </w:rPr>
        <w:t xml:space="preserve"> </w:t>
      </w:r>
      <w:proofErr w:type="spellStart"/>
      <w:r w:rsidRPr="008651DA">
        <w:rPr>
          <w:bCs/>
          <w:lang w:val="en-GB"/>
        </w:rPr>
        <w:t>Analg</w:t>
      </w:r>
      <w:proofErr w:type="spellEnd"/>
      <w:r w:rsidRPr="008651DA">
        <w:rPr>
          <w:bCs/>
          <w:lang w:val="en-GB"/>
        </w:rPr>
        <w:t xml:space="preserve">. 2018;126(5):1763–8. </w:t>
      </w:r>
    </w:p>
    <w:p w14:paraId="79CD7828" w14:textId="6643C2D9" w:rsidR="008651DA" w:rsidRPr="008651DA" w:rsidRDefault="008651DA" w:rsidP="008651DA">
      <w:pPr>
        <w:spacing w:line="480" w:lineRule="auto"/>
        <w:ind w:left="709" w:hanging="709"/>
        <w:rPr>
          <w:bCs/>
          <w:lang w:val="en-GB"/>
        </w:rPr>
      </w:pPr>
      <w:r w:rsidRPr="008651DA">
        <w:rPr>
          <w:bCs/>
          <w:lang w:val="en-GB"/>
        </w:rPr>
        <w:t>2</w:t>
      </w:r>
      <w:r w:rsidR="009F0CC5">
        <w:rPr>
          <w:bCs/>
          <w:lang w:val="en-GB"/>
        </w:rPr>
        <w:t>4</w:t>
      </w:r>
      <w:r w:rsidRPr="008651DA">
        <w:rPr>
          <w:bCs/>
          <w:lang w:val="en-GB"/>
        </w:rPr>
        <w:t xml:space="preserve">. </w:t>
      </w:r>
      <w:r w:rsidRPr="008651DA">
        <w:rPr>
          <w:bCs/>
          <w:lang w:val="en-GB"/>
        </w:rPr>
        <w:tab/>
      </w:r>
      <w:proofErr w:type="spellStart"/>
      <w:r w:rsidRPr="008651DA">
        <w:rPr>
          <w:bCs/>
          <w:lang w:val="en-GB"/>
        </w:rPr>
        <w:t>Akoglu</w:t>
      </w:r>
      <w:proofErr w:type="spellEnd"/>
      <w:r w:rsidRPr="008651DA">
        <w:rPr>
          <w:bCs/>
          <w:lang w:val="en-GB"/>
        </w:rPr>
        <w:t xml:space="preserve"> H. User’s guide to correlation coefficients. Turkish J </w:t>
      </w:r>
      <w:proofErr w:type="spellStart"/>
      <w:r w:rsidRPr="008651DA">
        <w:rPr>
          <w:bCs/>
          <w:lang w:val="en-GB"/>
        </w:rPr>
        <w:t>Emerg</w:t>
      </w:r>
      <w:proofErr w:type="spellEnd"/>
      <w:r w:rsidRPr="008651DA">
        <w:rPr>
          <w:bCs/>
          <w:lang w:val="en-GB"/>
        </w:rPr>
        <w:t xml:space="preserve"> Med. 2018;18(3):91–3. </w:t>
      </w:r>
    </w:p>
    <w:p w14:paraId="5A8781C1" w14:textId="295C23B3" w:rsidR="008651DA" w:rsidRPr="008651DA" w:rsidRDefault="008651DA" w:rsidP="008651DA">
      <w:pPr>
        <w:spacing w:line="480" w:lineRule="auto"/>
        <w:ind w:left="709" w:hanging="709"/>
        <w:rPr>
          <w:bCs/>
          <w:lang w:val="en-GB"/>
        </w:rPr>
      </w:pPr>
      <w:r w:rsidRPr="008651DA">
        <w:rPr>
          <w:bCs/>
          <w:lang w:val="en-GB"/>
        </w:rPr>
        <w:t>2</w:t>
      </w:r>
      <w:r w:rsidR="009F0CC5">
        <w:rPr>
          <w:bCs/>
          <w:lang w:val="en-GB"/>
        </w:rPr>
        <w:t>5</w:t>
      </w:r>
      <w:r w:rsidRPr="008651DA">
        <w:rPr>
          <w:bCs/>
          <w:lang w:val="en-GB"/>
        </w:rPr>
        <w:t xml:space="preserve">. </w:t>
      </w:r>
      <w:r w:rsidRPr="008651DA">
        <w:rPr>
          <w:bCs/>
          <w:lang w:val="en-GB"/>
        </w:rPr>
        <w:tab/>
      </w:r>
      <w:proofErr w:type="spellStart"/>
      <w:r w:rsidRPr="008651DA">
        <w:rPr>
          <w:bCs/>
          <w:lang w:val="en-GB"/>
        </w:rPr>
        <w:t>Lepeule</w:t>
      </w:r>
      <w:proofErr w:type="spellEnd"/>
      <w:r w:rsidRPr="008651DA">
        <w:rPr>
          <w:bCs/>
          <w:lang w:val="en-GB"/>
        </w:rPr>
        <w:t xml:space="preserve"> J, Robert C, </w:t>
      </w:r>
      <w:proofErr w:type="spellStart"/>
      <w:r w:rsidRPr="008651DA">
        <w:rPr>
          <w:bCs/>
          <w:lang w:val="en-GB"/>
        </w:rPr>
        <w:t>Bareille</w:t>
      </w:r>
      <w:proofErr w:type="spellEnd"/>
      <w:r w:rsidRPr="008651DA">
        <w:rPr>
          <w:bCs/>
          <w:lang w:val="en-GB"/>
        </w:rPr>
        <w:t xml:space="preserve"> N, Valette JP, </w:t>
      </w:r>
      <w:proofErr w:type="spellStart"/>
      <w:r w:rsidRPr="008651DA">
        <w:rPr>
          <w:bCs/>
          <w:lang w:val="en-GB"/>
        </w:rPr>
        <w:t>Jacquet</w:t>
      </w:r>
      <w:proofErr w:type="spellEnd"/>
      <w:r w:rsidRPr="008651DA">
        <w:rPr>
          <w:bCs/>
          <w:lang w:val="en-GB"/>
        </w:rPr>
        <w:t xml:space="preserve"> S, </w:t>
      </w:r>
      <w:proofErr w:type="spellStart"/>
      <w:r w:rsidRPr="008651DA">
        <w:rPr>
          <w:bCs/>
          <w:lang w:val="en-GB"/>
        </w:rPr>
        <w:t>Seegers</w:t>
      </w:r>
      <w:proofErr w:type="spellEnd"/>
      <w:r w:rsidRPr="008651DA">
        <w:rPr>
          <w:bCs/>
          <w:lang w:val="en-GB"/>
        </w:rPr>
        <w:t xml:space="preserve"> H, et al. A reliable severity scoring system for radiographic findings in the limbs of young horses. Vet J. 2013;197(1):52–7.</w:t>
      </w:r>
    </w:p>
    <w:p w14:paraId="1B89A042" w14:textId="4EC66E16" w:rsidR="008651DA" w:rsidRPr="008651DA" w:rsidRDefault="008651DA" w:rsidP="008651DA">
      <w:pPr>
        <w:spacing w:line="480" w:lineRule="auto"/>
        <w:ind w:left="709" w:hanging="709"/>
        <w:rPr>
          <w:bCs/>
          <w:lang w:val="en-GB"/>
        </w:rPr>
      </w:pPr>
      <w:r w:rsidRPr="008651DA">
        <w:rPr>
          <w:bCs/>
          <w:lang w:val="en-GB"/>
        </w:rPr>
        <w:t>2</w:t>
      </w:r>
      <w:r w:rsidR="009F0CC5">
        <w:rPr>
          <w:bCs/>
          <w:lang w:val="en-GB"/>
        </w:rPr>
        <w:t>6</w:t>
      </w:r>
      <w:r w:rsidRPr="008651DA">
        <w:rPr>
          <w:bCs/>
          <w:lang w:val="en-GB"/>
        </w:rPr>
        <w:t xml:space="preserve">. </w:t>
      </w:r>
      <w:r w:rsidRPr="008651DA">
        <w:rPr>
          <w:bCs/>
          <w:lang w:val="en-GB"/>
        </w:rPr>
        <w:tab/>
        <w:t xml:space="preserve">Hauspie S. The proximal aspect of the dorsal condylar sagittal ridge and the adjacent soft tissues in the fetlock joint of the Warmblood horse. Doctoral dissertation, Ghent </w:t>
      </w:r>
      <w:r w:rsidR="00427620" w:rsidRPr="008651DA">
        <w:rPr>
          <w:bCs/>
          <w:lang w:val="en-GB"/>
        </w:rPr>
        <w:t>University</w:t>
      </w:r>
      <w:r w:rsidRPr="008651DA">
        <w:rPr>
          <w:bCs/>
          <w:lang w:val="en-GB"/>
        </w:rPr>
        <w:t xml:space="preserve">, </w:t>
      </w:r>
      <w:r w:rsidR="00427620">
        <w:rPr>
          <w:bCs/>
          <w:lang w:val="en-GB"/>
        </w:rPr>
        <w:t xml:space="preserve">Belgium, </w:t>
      </w:r>
      <w:r w:rsidRPr="008651DA">
        <w:rPr>
          <w:bCs/>
          <w:lang w:val="en-GB"/>
        </w:rPr>
        <w:t xml:space="preserve">2012. </w:t>
      </w:r>
    </w:p>
    <w:p w14:paraId="09D5C0F9" w14:textId="29A9AA32" w:rsidR="008651DA" w:rsidRPr="008651DA" w:rsidRDefault="008651DA" w:rsidP="008651DA">
      <w:pPr>
        <w:spacing w:line="480" w:lineRule="auto"/>
        <w:ind w:left="709" w:hanging="709"/>
        <w:rPr>
          <w:bCs/>
          <w:lang w:val="en-GB"/>
        </w:rPr>
      </w:pPr>
      <w:r w:rsidRPr="008651DA">
        <w:rPr>
          <w:bCs/>
          <w:lang w:val="en-GB"/>
        </w:rPr>
        <w:t>2</w:t>
      </w:r>
      <w:r w:rsidR="009F0CC5">
        <w:rPr>
          <w:bCs/>
          <w:lang w:val="en-GB"/>
        </w:rPr>
        <w:t>7</w:t>
      </w:r>
      <w:r w:rsidRPr="008651DA">
        <w:rPr>
          <w:bCs/>
          <w:lang w:val="en-GB"/>
        </w:rPr>
        <w:t xml:space="preserve">. </w:t>
      </w:r>
      <w:r w:rsidRPr="008651DA">
        <w:rPr>
          <w:bCs/>
          <w:lang w:val="en-GB"/>
        </w:rPr>
        <w:tab/>
        <w:t xml:space="preserve">Johnson SA, Barrett MF, </w:t>
      </w:r>
      <w:proofErr w:type="spellStart"/>
      <w:r w:rsidRPr="008651DA">
        <w:rPr>
          <w:bCs/>
          <w:lang w:val="en-GB"/>
        </w:rPr>
        <w:t>Frisbie</w:t>
      </w:r>
      <w:proofErr w:type="spellEnd"/>
      <w:r w:rsidRPr="008651DA">
        <w:rPr>
          <w:bCs/>
          <w:lang w:val="en-GB"/>
        </w:rPr>
        <w:t xml:space="preserve"> DD. Additional </w:t>
      </w:r>
      <w:proofErr w:type="spellStart"/>
      <w:r w:rsidRPr="008651DA">
        <w:rPr>
          <w:bCs/>
          <w:lang w:val="en-GB"/>
        </w:rPr>
        <w:t>palmaroproximal</w:t>
      </w:r>
      <w:proofErr w:type="spellEnd"/>
      <w:r w:rsidRPr="008651DA">
        <w:rPr>
          <w:bCs/>
          <w:lang w:val="en-GB"/>
        </w:rPr>
        <w:t>–</w:t>
      </w:r>
      <w:proofErr w:type="spellStart"/>
      <w:r w:rsidRPr="008651DA">
        <w:rPr>
          <w:bCs/>
          <w:lang w:val="en-GB"/>
        </w:rPr>
        <w:t>palmarodistal</w:t>
      </w:r>
      <w:proofErr w:type="spellEnd"/>
      <w:r w:rsidRPr="008651DA">
        <w:rPr>
          <w:bCs/>
          <w:lang w:val="en-GB"/>
        </w:rPr>
        <w:t xml:space="preserve"> oblique radiographic projections improve accuracy of detection and characterization of equine flexor cortical lysis. Vet </w:t>
      </w:r>
      <w:proofErr w:type="spellStart"/>
      <w:r w:rsidRPr="008651DA">
        <w:rPr>
          <w:bCs/>
          <w:lang w:val="en-GB"/>
        </w:rPr>
        <w:t>Radiol</w:t>
      </w:r>
      <w:proofErr w:type="spellEnd"/>
      <w:r w:rsidRPr="008651DA">
        <w:rPr>
          <w:bCs/>
          <w:lang w:val="en-GB"/>
        </w:rPr>
        <w:t xml:space="preserve"> Ultrasound. 2018;59(4):387–95. </w:t>
      </w:r>
    </w:p>
    <w:p w14:paraId="6858BE63" w14:textId="3A919705" w:rsidR="008651DA" w:rsidRPr="008651DA" w:rsidRDefault="008651DA" w:rsidP="008651DA">
      <w:pPr>
        <w:spacing w:line="480" w:lineRule="auto"/>
        <w:ind w:left="709" w:hanging="709"/>
        <w:rPr>
          <w:bCs/>
          <w:lang w:val="en-GB"/>
        </w:rPr>
      </w:pPr>
      <w:r w:rsidRPr="008651DA">
        <w:rPr>
          <w:bCs/>
          <w:lang w:val="en-GB"/>
        </w:rPr>
        <w:t>2</w:t>
      </w:r>
      <w:r w:rsidR="009F0CC5">
        <w:rPr>
          <w:bCs/>
          <w:lang w:val="en-GB"/>
        </w:rPr>
        <w:t>8</w:t>
      </w:r>
      <w:r w:rsidRPr="008651DA">
        <w:rPr>
          <w:bCs/>
          <w:lang w:val="en-GB"/>
        </w:rPr>
        <w:t xml:space="preserve">. </w:t>
      </w:r>
      <w:r w:rsidRPr="008651DA">
        <w:rPr>
          <w:bCs/>
          <w:lang w:val="en-GB"/>
        </w:rPr>
        <w:tab/>
      </w:r>
      <w:proofErr w:type="spellStart"/>
      <w:r w:rsidRPr="008651DA">
        <w:rPr>
          <w:bCs/>
          <w:lang w:val="en-GB"/>
        </w:rPr>
        <w:t>Labens</w:t>
      </w:r>
      <w:proofErr w:type="spellEnd"/>
      <w:r w:rsidRPr="008651DA">
        <w:rPr>
          <w:bCs/>
          <w:lang w:val="en-GB"/>
        </w:rPr>
        <w:t xml:space="preserve"> R, Innocent GT, </w:t>
      </w:r>
      <w:proofErr w:type="spellStart"/>
      <w:r w:rsidRPr="008651DA">
        <w:rPr>
          <w:bCs/>
          <w:lang w:val="en-GB"/>
        </w:rPr>
        <w:t>Voûte</w:t>
      </w:r>
      <w:proofErr w:type="spellEnd"/>
      <w:r w:rsidRPr="008651DA">
        <w:rPr>
          <w:bCs/>
          <w:lang w:val="en-GB"/>
        </w:rPr>
        <w:t xml:space="preserve"> LC. Reliability of a quantitative rating scale for assessment of horses with distal tarsal osteoarthritis. Vet </w:t>
      </w:r>
      <w:proofErr w:type="spellStart"/>
      <w:r w:rsidRPr="008651DA">
        <w:rPr>
          <w:bCs/>
          <w:lang w:val="en-GB"/>
        </w:rPr>
        <w:t>Radiol</w:t>
      </w:r>
      <w:proofErr w:type="spellEnd"/>
      <w:r w:rsidRPr="008651DA">
        <w:rPr>
          <w:bCs/>
          <w:lang w:val="en-GB"/>
        </w:rPr>
        <w:t xml:space="preserve"> Ultrasound. 2007;48(3):204–11. </w:t>
      </w:r>
    </w:p>
    <w:p w14:paraId="2F8CC311" w14:textId="197A6EA0" w:rsidR="008651DA" w:rsidRPr="008651DA" w:rsidRDefault="009F0CC5" w:rsidP="008651DA">
      <w:pPr>
        <w:spacing w:line="480" w:lineRule="auto"/>
        <w:ind w:left="709" w:hanging="709"/>
        <w:rPr>
          <w:bCs/>
          <w:lang w:val="en-GB"/>
        </w:rPr>
      </w:pPr>
      <w:r>
        <w:rPr>
          <w:bCs/>
          <w:lang w:val="en-GB"/>
        </w:rPr>
        <w:lastRenderedPageBreak/>
        <w:t>29</w:t>
      </w:r>
      <w:r w:rsidR="008651DA" w:rsidRPr="008651DA">
        <w:rPr>
          <w:bCs/>
          <w:lang w:val="en-GB"/>
        </w:rPr>
        <w:t xml:space="preserve">. </w:t>
      </w:r>
      <w:r w:rsidR="008651DA" w:rsidRPr="008651DA">
        <w:rPr>
          <w:bCs/>
          <w:lang w:val="en-GB"/>
        </w:rPr>
        <w:tab/>
      </w:r>
      <w:proofErr w:type="spellStart"/>
      <w:r w:rsidR="008651DA" w:rsidRPr="008651DA">
        <w:rPr>
          <w:bCs/>
          <w:lang w:val="en-GB"/>
        </w:rPr>
        <w:t>Groth</w:t>
      </w:r>
      <w:proofErr w:type="spellEnd"/>
      <w:r w:rsidR="008651DA" w:rsidRPr="008651DA">
        <w:rPr>
          <w:bCs/>
          <w:lang w:val="en-GB"/>
        </w:rPr>
        <w:t xml:space="preserve"> AM, May SA, Weaver MP, Weller R. Intra- and interobserver agreement in the interpretation of navicular bones on radiographs and computed tomography scans. Equine Vet J. 2009;41(2):124–9. </w:t>
      </w:r>
    </w:p>
    <w:p w14:paraId="46243A9E" w14:textId="7EBDE41F" w:rsidR="008651DA" w:rsidRPr="008651DA" w:rsidRDefault="008651DA" w:rsidP="008651DA">
      <w:pPr>
        <w:spacing w:line="480" w:lineRule="auto"/>
        <w:ind w:left="709" w:hanging="709"/>
        <w:rPr>
          <w:bCs/>
          <w:lang w:val="en-GB"/>
        </w:rPr>
      </w:pPr>
      <w:r w:rsidRPr="008651DA">
        <w:rPr>
          <w:bCs/>
          <w:lang w:val="en-GB"/>
        </w:rPr>
        <w:t>3</w:t>
      </w:r>
      <w:r w:rsidR="009F0CC5">
        <w:rPr>
          <w:bCs/>
          <w:lang w:val="en-GB"/>
        </w:rPr>
        <w:t>0</w:t>
      </w:r>
      <w:r w:rsidRPr="008651DA">
        <w:rPr>
          <w:bCs/>
          <w:lang w:val="en-GB"/>
        </w:rPr>
        <w:t xml:space="preserve">. </w:t>
      </w:r>
      <w:r w:rsidRPr="008651DA">
        <w:rPr>
          <w:bCs/>
          <w:lang w:val="en-GB"/>
        </w:rPr>
        <w:tab/>
        <w:t xml:space="preserve">Espinosa‐Mur P, Phillips KL, </w:t>
      </w:r>
      <w:proofErr w:type="spellStart"/>
      <w:r w:rsidRPr="008651DA">
        <w:rPr>
          <w:bCs/>
          <w:lang w:val="en-GB"/>
        </w:rPr>
        <w:t>Galuppo</w:t>
      </w:r>
      <w:proofErr w:type="spellEnd"/>
      <w:r w:rsidRPr="008651DA">
        <w:rPr>
          <w:bCs/>
          <w:lang w:val="en-GB"/>
        </w:rPr>
        <w:t xml:space="preserve"> LD, </w:t>
      </w:r>
      <w:proofErr w:type="spellStart"/>
      <w:r w:rsidRPr="008651DA">
        <w:rPr>
          <w:bCs/>
          <w:lang w:val="en-GB"/>
        </w:rPr>
        <w:t>DeRouen</w:t>
      </w:r>
      <w:proofErr w:type="spellEnd"/>
      <w:r w:rsidRPr="008651DA">
        <w:rPr>
          <w:bCs/>
          <w:lang w:val="en-GB"/>
        </w:rPr>
        <w:t xml:space="preserve"> A, Benoit P, Anderson E, et al. Radiological prevalence of osteoarthritis of the cervical region in 104 performing warmblood jumpers. Equine Vet J. 2020;(March):1–7. </w:t>
      </w:r>
    </w:p>
    <w:p w14:paraId="76E99843" w14:textId="3163B353" w:rsidR="008651DA" w:rsidRPr="008651DA" w:rsidRDefault="009F0CC5" w:rsidP="008651DA">
      <w:pPr>
        <w:spacing w:line="480" w:lineRule="auto"/>
        <w:ind w:left="709" w:hanging="709"/>
        <w:rPr>
          <w:bCs/>
          <w:lang w:val="en-GB"/>
        </w:rPr>
      </w:pPr>
      <w:r>
        <w:rPr>
          <w:bCs/>
          <w:lang w:val="en-GB"/>
        </w:rPr>
        <w:t>31</w:t>
      </w:r>
      <w:r w:rsidR="008651DA" w:rsidRPr="008651DA">
        <w:rPr>
          <w:bCs/>
          <w:lang w:val="en-GB"/>
        </w:rPr>
        <w:t xml:space="preserve">. </w:t>
      </w:r>
      <w:r w:rsidR="008651DA" w:rsidRPr="008651DA">
        <w:rPr>
          <w:bCs/>
          <w:lang w:val="en-GB"/>
        </w:rPr>
        <w:tab/>
        <w:t xml:space="preserve">Henson, F. </w:t>
      </w:r>
      <w:proofErr w:type="spellStart"/>
      <w:r w:rsidR="008651DA" w:rsidRPr="008651DA">
        <w:rPr>
          <w:bCs/>
          <w:lang w:val="en-GB"/>
        </w:rPr>
        <w:t>M.</w:t>
      </w:r>
      <w:proofErr w:type="gramStart"/>
      <w:r w:rsidR="008651DA" w:rsidRPr="008651DA">
        <w:rPr>
          <w:bCs/>
          <w:lang w:val="en-GB"/>
        </w:rPr>
        <w:t>D.Kidd</w:t>
      </w:r>
      <w:proofErr w:type="spellEnd"/>
      <w:proofErr w:type="gramEnd"/>
      <w:r w:rsidR="008651DA" w:rsidRPr="008651DA">
        <w:rPr>
          <w:bCs/>
          <w:lang w:val="en-GB"/>
        </w:rPr>
        <w:t xml:space="preserve"> JA. Overriding Dorsal Spinous </w:t>
      </w:r>
      <w:r w:rsidR="00427620" w:rsidRPr="008651DA">
        <w:rPr>
          <w:bCs/>
          <w:lang w:val="en-GB"/>
        </w:rPr>
        <w:t>Processes</w:t>
      </w:r>
      <w:r w:rsidR="008651DA" w:rsidRPr="008651DA">
        <w:rPr>
          <w:bCs/>
          <w:lang w:val="en-GB"/>
        </w:rPr>
        <w:t xml:space="preserve">. In: Equine back pathology: Diagnosis and treatment. Eds Henson FMD. Wiley-Blackwell; 2009. p. 147–56. </w:t>
      </w:r>
    </w:p>
    <w:p w14:paraId="372377CD" w14:textId="427BCF07" w:rsidR="00760D25" w:rsidRPr="00105869" w:rsidRDefault="00760D25" w:rsidP="003501BF">
      <w:pPr>
        <w:widowControl w:val="0"/>
        <w:autoSpaceDE w:val="0"/>
        <w:autoSpaceDN w:val="0"/>
        <w:adjustRightInd w:val="0"/>
        <w:spacing w:line="480" w:lineRule="auto"/>
        <w:ind w:left="640" w:hanging="640"/>
        <w:rPr>
          <w:b/>
          <w:bCs/>
          <w:lang w:val="en-GB"/>
        </w:rPr>
      </w:pPr>
    </w:p>
    <w:p w14:paraId="28690660" w14:textId="0C3CAAFC" w:rsidR="00222991" w:rsidRPr="00105869" w:rsidRDefault="00222991" w:rsidP="00F12FF8">
      <w:pPr>
        <w:widowControl w:val="0"/>
        <w:autoSpaceDE w:val="0"/>
        <w:autoSpaceDN w:val="0"/>
        <w:adjustRightInd w:val="0"/>
        <w:spacing w:line="480" w:lineRule="auto"/>
        <w:ind w:left="640" w:hanging="640"/>
        <w:rPr>
          <w:b/>
          <w:bCs/>
          <w:lang w:val="en-GB"/>
        </w:rPr>
      </w:pPr>
    </w:p>
    <w:p w14:paraId="59488327" w14:textId="3E2F44BD" w:rsidR="001E2D72" w:rsidRPr="00105869" w:rsidRDefault="00A66E93" w:rsidP="001E2D72">
      <w:pPr>
        <w:spacing w:line="480" w:lineRule="auto"/>
        <w:rPr>
          <w:b/>
          <w:bCs/>
          <w:lang w:val="en-GB"/>
        </w:rPr>
      </w:pPr>
      <w:r w:rsidRPr="00105869">
        <w:rPr>
          <w:b/>
          <w:bCs/>
          <w:lang w:val="en-GB"/>
        </w:rPr>
        <w:t>Figure legends</w:t>
      </w:r>
    </w:p>
    <w:p w14:paraId="4DDC6123" w14:textId="77777777" w:rsidR="001E2D72" w:rsidRPr="00105869" w:rsidRDefault="001E2D72" w:rsidP="001E2D72">
      <w:pPr>
        <w:spacing w:line="480" w:lineRule="auto"/>
        <w:rPr>
          <w:lang w:val="en-GB"/>
        </w:rPr>
      </w:pPr>
      <w:r w:rsidRPr="00105869">
        <w:rPr>
          <w:lang w:val="en-GB"/>
        </w:rPr>
        <w:t xml:space="preserve">Figure 1: </w:t>
      </w:r>
      <w:proofErr w:type="spellStart"/>
      <w:r w:rsidRPr="00105869">
        <w:rPr>
          <w:lang w:val="en-GB"/>
        </w:rPr>
        <w:t>Laterolateral</w:t>
      </w:r>
      <w:proofErr w:type="spellEnd"/>
      <w:r w:rsidRPr="00105869">
        <w:rPr>
          <w:lang w:val="en-GB"/>
        </w:rPr>
        <w:t xml:space="preserve"> radiographs of the thoracolumbar spine. Cranial is to the left. a: interspinous space width grade II (impinging) (square). b: small osseous cyst like lesion (OCCL) grade I (circle). Interspinous space width grade I (oblique horizontal rectangular boxes). Dorsal modelling grade I (horizontal square). c: Grade III isolated opacities dorsal to the spinous processes (rectangular boxes). Medium sized area of radiolucency, grade II (circle). </w:t>
      </w:r>
    </w:p>
    <w:p w14:paraId="1A8750C3" w14:textId="77777777" w:rsidR="001E2D72" w:rsidRPr="00105869" w:rsidRDefault="001E2D72" w:rsidP="001E2D72">
      <w:pPr>
        <w:spacing w:line="480" w:lineRule="auto"/>
        <w:rPr>
          <w:lang w:val="en-GB"/>
        </w:rPr>
      </w:pPr>
    </w:p>
    <w:p w14:paraId="1FB1E4A8" w14:textId="5BADF67B" w:rsidR="00BC19DC" w:rsidRPr="00105869" w:rsidRDefault="001E2D72" w:rsidP="00105869">
      <w:pPr>
        <w:spacing w:line="480" w:lineRule="auto"/>
        <w:rPr>
          <w:b/>
          <w:bCs/>
          <w:lang w:val="en-GB"/>
        </w:rPr>
      </w:pPr>
      <w:r w:rsidRPr="00105869">
        <w:rPr>
          <w:lang w:val="en-GB"/>
        </w:rPr>
        <w:t xml:space="preserve">Figure 2: </w:t>
      </w:r>
      <w:proofErr w:type="spellStart"/>
      <w:r w:rsidRPr="00105869">
        <w:rPr>
          <w:lang w:val="en-GB"/>
        </w:rPr>
        <w:t>Laterolateral</w:t>
      </w:r>
      <w:proofErr w:type="spellEnd"/>
      <w:r w:rsidRPr="00105869">
        <w:rPr>
          <w:lang w:val="en-GB"/>
        </w:rPr>
        <w:t xml:space="preserve"> radiographs of the thoracolumbar spine. Cranial is to the left. a: Grade II beak-shaped formation of the craniodorsal aspect of the spinous process (circle). Modelling of the craniodorsal third of the spinous process, grade II (left oblique rectangular box), grade I intensity and grade II width of increased opacity along the margin of the spinous process (right oblique rectangular box). b: Large OCCL in the dorsal third of the spinous process, grade III, this lesion was graded cranially (circle). Grade III width and intensity of increased </w:t>
      </w:r>
      <w:r w:rsidRPr="00105869">
        <w:rPr>
          <w:lang w:val="en-GB"/>
        </w:rPr>
        <w:lastRenderedPageBreak/>
        <w:t xml:space="preserve">opacity and grade II modelling of the craniodorsal third of the spinous process (vertical oblique box). </w:t>
      </w:r>
      <w:r w:rsidRPr="00105869">
        <w:rPr>
          <w:b/>
          <w:bCs/>
          <w:lang w:val="en-GB"/>
        </w:rPr>
        <w:t xml:space="preserve"> </w:t>
      </w:r>
    </w:p>
    <w:sectPr w:rsidR="00BC19DC" w:rsidRPr="00105869" w:rsidSect="00C666E4">
      <w:pgSz w:w="11900" w:h="16840"/>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E4290" w14:textId="77777777" w:rsidR="00C86F90" w:rsidRDefault="00C86F90" w:rsidP="005B693E">
      <w:r>
        <w:separator/>
      </w:r>
    </w:p>
  </w:endnote>
  <w:endnote w:type="continuationSeparator" w:id="0">
    <w:p w14:paraId="0A04FA87" w14:textId="77777777" w:rsidR="00C86F90" w:rsidRDefault="00C86F90" w:rsidP="005B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8494192"/>
      <w:docPartObj>
        <w:docPartGallery w:val="Page Numbers (Bottom of Page)"/>
        <w:docPartUnique/>
      </w:docPartObj>
    </w:sdtPr>
    <w:sdtEndPr>
      <w:rPr>
        <w:rStyle w:val="PageNumber"/>
      </w:rPr>
    </w:sdtEndPr>
    <w:sdtContent>
      <w:p w14:paraId="6C70DFF4" w14:textId="2CEE2F66" w:rsidR="000237BB" w:rsidRDefault="000237BB" w:rsidP="00435E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F6F064" w14:textId="77777777" w:rsidR="000237BB" w:rsidRDefault="00023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1107774"/>
      <w:docPartObj>
        <w:docPartGallery w:val="Page Numbers (Bottom of Page)"/>
        <w:docPartUnique/>
      </w:docPartObj>
    </w:sdtPr>
    <w:sdtEndPr>
      <w:rPr>
        <w:rStyle w:val="PageNumber"/>
      </w:rPr>
    </w:sdtEndPr>
    <w:sdtContent>
      <w:p w14:paraId="0F627527" w14:textId="2850397C" w:rsidR="000237BB" w:rsidRDefault="000237BB" w:rsidP="00435E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E688A">
          <w:rPr>
            <w:rStyle w:val="PageNumber"/>
            <w:noProof/>
          </w:rPr>
          <w:t>27</w:t>
        </w:r>
        <w:r>
          <w:rPr>
            <w:rStyle w:val="PageNumber"/>
          </w:rPr>
          <w:fldChar w:fldCharType="end"/>
        </w:r>
      </w:p>
    </w:sdtContent>
  </w:sdt>
  <w:p w14:paraId="5CDFC3AC" w14:textId="77777777" w:rsidR="000237BB" w:rsidRDefault="00023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18E18" w14:textId="77777777" w:rsidR="00C86F90" w:rsidRDefault="00C86F90" w:rsidP="005B693E">
      <w:r>
        <w:separator/>
      </w:r>
    </w:p>
  </w:footnote>
  <w:footnote w:type="continuationSeparator" w:id="0">
    <w:p w14:paraId="5BDF3935" w14:textId="77777777" w:rsidR="00C86F90" w:rsidRDefault="00C86F90" w:rsidP="005B6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983B22"/>
    <w:multiLevelType w:val="hybridMultilevel"/>
    <w:tmpl w:val="3F2A83F4"/>
    <w:lvl w:ilvl="0" w:tplc="519C526A">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574431"/>
    <w:multiLevelType w:val="hybridMultilevel"/>
    <w:tmpl w:val="2A80EAA0"/>
    <w:lvl w:ilvl="0" w:tplc="83C6BE18">
      <w:start w:val="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B7C10"/>
    <w:multiLevelType w:val="hybridMultilevel"/>
    <w:tmpl w:val="61F46992"/>
    <w:lvl w:ilvl="0" w:tplc="E7403C66">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363BD"/>
    <w:multiLevelType w:val="hybridMultilevel"/>
    <w:tmpl w:val="5CE06E0C"/>
    <w:lvl w:ilvl="0" w:tplc="4A109FC8">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6834BE"/>
    <w:multiLevelType w:val="hybridMultilevel"/>
    <w:tmpl w:val="A480324E"/>
    <w:lvl w:ilvl="0" w:tplc="106656E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660725F"/>
    <w:multiLevelType w:val="multilevel"/>
    <w:tmpl w:val="0138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B716DF"/>
    <w:multiLevelType w:val="hybridMultilevel"/>
    <w:tmpl w:val="5F48E522"/>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E038CD"/>
    <w:multiLevelType w:val="hybridMultilevel"/>
    <w:tmpl w:val="E0BC447C"/>
    <w:lvl w:ilvl="0" w:tplc="5256FD1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CD52E86"/>
    <w:multiLevelType w:val="hybridMultilevel"/>
    <w:tmpl w:val="5568DCDA"/>
    <w:lvl w:ilvl="0" w:tplc="72F8108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0E46936"/>
    <w:multiLevelType w:val="hybridMultilevel"/>
    <w:tmpl w:val="1EF4DA68"/>
    <w:lvl w:ilvl="0" w:tplc="BE36CFA8">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C5555F1"/>
    <w:multiLevelType w:val="hybridMultilevel"/>
    <w:tmpl w:val="9CA028AE"/>
    <w:lvl w:ilvl="0" w:tplc="9F8AF5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94476D"/>
    <w:multiLevelType w:val="hybridMultilevel"/>
    <w:tmpl w:val="EBACC348"/>
    <w:lvl w:ilvl="0" w:tplc="D46A9B86">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0"/>
  </w:num>
  <w:num w:numId="5">
    <w:abstractNumId w:val="1"/>
  </w:num>
  <w:num w:numId="6">
    <w:abstractNumId w:val="2"/>
  </w:num>
  <w:num w:numId="7">
    <w:abstractNumId w:val="3"/>
  </w:num>
  <w:num w:numId="8">
    <w:abstractNumId w:val="13"/>
  </w:num>
  <w:num w:numId="9">
    <w:abstractNumId w:val="9"/>
  </w:num>
  <w:num w:numId="10">
    <w:abstractNumId w:val="10"/>
  </w:num>
  <w:num w:numId="11">
    <w:abstractNumId w:val="8"/>
  </w:num>
  <w:num w:numId="12">
    <w:abstractNumId w:val="7"/>
  </w:num>
  <w:num w:numId="13">
    <w:abstractNumId w:val="4"/>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6B"/>
    <w:rsid w:val="000020D5"/>
    <w:rsid w:val="00004E3C"/>
    <w:rsid w:val="00005737"/>
    <w:rsid w:val="00007E61"/>
    <w:rsid w:val="0001324E"/>
    <w:rsid w:val="000134C0"/>
    <w:rsid w:val="000153C9"/>
    <w:rsid w:val="00015974"/>
    <w:rsid w:val="00016922"/>
    <w:rsid w:val="00021951"/>
    <w:rsid w:val="000237BB"/>
    <w:rsid w:val="00025E6B"/>
    <w:rsid w:val="00033154"/>
    <w:rsid w:val="0003524B"/>
    <w:rsid w:val="00036557"/>
    <w:rsid w:val="00037498"/>
    <w:rsid w:val="00040D79"/>
    <w:rsid w:val="00046222"/>
    <w:rsid w:val="00056975"/>
    <w:rsid w:val="00057614"/>
    <w:rsid w:val="00062FC0"/>
    <w:rsid w:val="00065794"/>
    <w:rsid w:val="0007481D"/>
    <w:rsid w:val="00084113"/>
    <w:rsid w:val="0009135E"/>
    <w:rsid w:val="000918CE"/>
    <w:rsid w:val="0009676D"/>
    <w:rsid w:val="000A1C04"/>
    <w:rsid w:val="000A5B88"/>
    <w:rsid w:val="000A7BE4"/>
    <w:rsid w:val="000B39F8"/>
    <w:rsid w:val="000B41E4"/>
    <w:rsid w:val="000C01E9"/>
    <w:rsid w:val="000C661F"/>
    <w:rsid w:val="000C6F6E"/>
    <w:rsid w:val="000D07F1"/>
    <w:rsid w:val="000E0605"/>
    <w:rsid w:val="000F1A2C"/>
    <w:rsid w:val="000F1CCD"/>
    <w:rsid w:val="000F2E27"/>
    <w:rsid w:val="000F3627"/>
    <w:rsid w:val="000F5545"/>
    <w:rsid w:val="000F6BAE"/>
    <w:rsid w:val="00104FF6"/>
    <w:rsid w:val="00105869"/>
    <w:rsid w:val="001075CE"/>
    <w:rsid w:val="001140BE"/>
    <w:rsid w:val="00121F83"/>
    <w:rsid w:val="0012726E"/>
    <w:rsid w:val="001272EB"/>
    <w:rsid w:val="00151817"/>
    <w:rsid w:val="00154B78"/>
    <w:rsid w:val="0016518D"/>
    <w:rsid w:val="001669CD"/>
    <w:rsid w:val="00170CC8"/>
    <w:rsid w:val="00183C82"/>
    <w:rsid w:val="00183CA3"/>
    <w:rsid w:val="00183CED"/>
    <w:rsid w:val="00184890"/>
    <w:rsid w:val="0019140E"/>
    <w:rsid w:val="001A15BB"/>
    <w:rsid w:val="001A61AA"/>
    <w:rsid w:val="001B0DDF"/>
    <w:rsid w:val="001B6853"/>
    <w:rsid w:val="001D4515"/>
    <w:rsid w:val="001E2D72"/>
    <w:rsid w:val="001E350C"/>
    <w:rsid w:val="001E6406"/>
    <w:rsid w:val="001F199B"/>
    <w:rsid w:val="001F4960"/>
    <w:rsid w:val="001F6E47"/>
    <w:rsid w:val="001F740F"/>
    <w:rsid w:val="002000C1"/>
    <w:rsid w:val="002008FE"/>
    <w:rsid w:val="00201C6B"/>
    <w:rsid w:val="00202B7E"/>
    <w:rsid w:val="00216796"/>
    <w:rsid w:val="002205FC"/>
    <w:rsid w:val="002222D2"/>
    <w:rsid w:val="00222991"/>
    <w:rsid w:val="00224567"/>
    <w:rsid w:val="00224BA0"/>
    <w:rsid w:val="00225C83"/>
    <w:rsid w:val="00234F05"/>
    <w:rsid w:val="00235175"/>
    <w:rsid w:val="00235A32"/>
    <w:rsid w:val="00236A22"/>
    <w:rsid w:val="002436B5"/>
    <w:rsid w:val="00251283"/>
    <w:rsid w:val="00252B01"/>
    <w:rsid w:val="0025626C"/>
    <w:rsid w:val="00260EFF"/>
    <w:rsid w:val="0026124C"/>
    <w:rsid w:val="00264A9E"/>
    <w:rsid w:val="00264DB8"/>
    <w:rsid w:val="00265679"/>
    <w:rsid w:val="00270242"/>
    <w:rsid w:val="002732F1"/>
    <w:rsid w:val="00290216"/>
    <w:rsid w:val="00296122"/>
    <w:rsid w:val="002A0E96"/>
    <w:rsid w:val="002A11A1"/>
    <w:rsid w:val="002A1DE9"/>
    <w:rsid w:val="002A279E"/>
    <w:rsid w:val="002A4B4D"/>
    <w:rsid w:val="002A66DB"/>
    <w:rsid w:val="002B533B"/>
    <w:rsid w:val="002B61B4"/>
    <w:rsid w:val="002C1D25"/>
    <w:rsid w:val="002C3097"/>
    <w:rsid w:val="002C3550"/>
    <w:rsid w:val="002C5952"/>
    <w:rsid w:val="002D1191"/>
    <w:rsid w:val="002D43E5"/>
    <w:rsid w:val="002D62C1"/>
    <w:rsid w:val="002E036D"/>
    <w:rsid w:val="002E6D25"/>
    <w:rsid w:val="002E7A06"/>
    <w:rsid w:val="002E7A41"/>
    <w:rsid w:val="002F15F8"/>
    <w:rsid w:val="002F3AF8"/>
    <w:rsid w:val="002F43E0"/>
    <w:rsid w:val="002F5C73"/>
    <w:rsid w:val="002F6D1A"/>
    <w:rsid w:val="003038E6"/>
    <w:rsid w:val="00307750"/>
    <w:rsid w:val="003145DF"/>
    <w:rsid w:val="0032755F"/>
    <w:rsid w:val="0033144E"/>
    <w:rsid w:val="00332509"/>
    <w:rsid w:val="003364F1"/>
    <w:rsid w:val="00337C6B"/>
    <w:rsid w:val="00340835"/>
    <w:rsid w:val="00341C39"/>
    <w:rsid w:val="00341DD9"/>
    <w:rsid w:val="00342A5C"/>
    <w:rsid w:val="003501BF"/>
    <w:rsid w:val="003656A8"/>
    <w:rsid w:val="003659FA"/>
    <w:rsid w:val="003673E4"/>
    <w:rsid w:val="003728E6"/>
    <w:rsid w:val="003729A3"/>
    <w:rsid w:val="003762E3"/>
    <w:rsid w:val="00380B5C"/>
    <w:rsid w:val="003843F2"/>
    <w:rsid w:val="003861F5"/>
    <w:rsid w:val="00394B7E"/>
    <w:rsid w:val="00396B34"/>
    <w:rsid w:val="003A0067"/>
    <w:rsid w:val="003A2016"/>
    <w:rsid w:val="003A785C"/>
    <w:rsid w:val="003B0681"/>
    <w:rsid w:val="003B5237"/>
    <w:rsid w:val="003B5463"/>
    <w:rsid w:val="003C0C8D"/>
    <w:rsid w:val="003C5A33"/>
    <w:rsid w:val="003C61C2"/>
    <w:rsid w:val="003D0796"/>
    <w:rsid w:val="003D29CA"/>
    <w:rsid w:val="003D57DD"/>
    <w:rsid w:val="003D7AAD"/>
    <w:rsid w:val="003D7C57"/>
    <w:rsid w:val="003E34A6"/>
    <w:rsid w:val="003F0145"/>
    <w:rsid w:val="003F2E94"/>
    <w:rsid w:val="003F6861"/>
    <w:rsid w:val="004016A3"/>
    <w:rsid w:val="00404FBF"/>
    <w:rsid w:val="0041196B"/>
    <w:rsid w:val="0041261C"/>
    <w:rsid w:val="00416158"/>
    <w:rsid w:val="004266CA"/>
    <w:rsid w:val="00426BF0"/>
    <w:rsid w:val="00427620"/>
    <w:rsid w:val="00432168"/>
    <w:rsid w:val="00433548"/>
    <w:rsid w:val="00435EC3"/>
    <w:rsid w:val="004368AD"/>
    <w:rsid w:val="00446E70"/>
    <w:rsid w:val="004508BA"/>
    <w:rsid w:val="004520D9"/>
    <w:rsid w:val="0045435D"/>
    <w:rsid w:val="00456E57"/>
    <w:rsid w:val="004570D1"/>
    <w:rsid w:val="00462A89"/>
    <w:rsid w:val="00463C63"/>
    <w:rsid w:val="00470CE7"/>
    <w:rsid w:val="00472825"/>
    <w:rsid w:val="00475B54"/>
    <w:rsid w:val="004811F8"/>
    <w:rsid w:val="00490923"/>
    <w:rsid w:val="00496E91"/>
    <w:rsid w:val="004974DA"/>
    <w:rsid w:val="004A51F9"/>
    <w:rsid w:val="004A73F6"/>
    <w:rsid w:val="004B1126"/>
    <w:rsid w:val="004B6F3F"/>
    <w:rsid w:val="004C0607"/>
    <w:rsid w:val="004C5797"/>
    <w:rsid w:val="004C708F"/>
    <w:rsid w:val="004D245C"/>
    <w:rsid w:val="004D5ED9"/>
    <w:rsid w:val="004D78AB"/>
    <w:rsid w:val="004E20F1"/>
    <w:rsid w:val="004E2B1D"/>
    <w:rsid w:val="004E3D3D"/>
    <w:rsid w:val="004E75B7"/>
    <w:rsid w:val="004F10C0"/>
    <w:rsid w:val="004F173E"/>
    <w:rsid w:val="004F52B4"/>
    <w:rsid w:val="004F56F4"/>
    <w:rsid w:val="004F5771"/>
    <w:rsid w:val="004F5973"/>
    <w:rsid w:val="004F6FDD"/>
    <w:rsid w:val="005019E7"/>
    <w:rsid w:val="005051FC"/>
    <w:rsid w:val="00510327"/>
    <w:rsid w:val="00543169"/>
    <w:rsid w:val="005445A5"/>
    <w:rsid w:val="00557FFD"/>
    <w:rsid w:val="005624E6"/>
    <w:rsid w:val="00570A61"/>
    <w:rsid w:val="00573445"/>
    <w:rsid w:val="005751EE"/>
    <w:rsid w:val="00575A81"/>
    <w:rsid w:val="00592589"/>
    <w:rsid w:val="005A235F"/>
    <w:rsid w:val="005A462F"/>
    <w:rsid w:val="005A4D8B"/>
    <w:rsid w:val="005B07F1"/>
    <w:rsid w:val="005B1266"/>
    <w:rsid w:val="005B263D"/>
    <w:rsid w:val="005B27BF"/>
    <w:rsid w:val="005B4A5A"/>
    <w:rsid w:val="005B693E"/>
    <w:rsid w:val="005D397E"/>
    <w:rsid w:val="005D3A4C"/>
    <w:rsid w:val="005D4F5E"/>
    <w:rsid w:val="005E2D2D"/>
    <w:rsid w:val="005E5E87"/>
    <w:rsid w:val="005F4B6F"/>
    <w:rsid w:val="005F5A1A"/>
    <w:rsid w:val="00603214"/>
    <w:rsid w:val="006043DA"/>
    <w:rsid w:val="0060559C"/>
    <w:rsid w:val="00615BD8"/>
    <w:rsid w:val="00615E77"/>
    <w:rsid w:val="00616062"/>
    <w:rsid w:val="00621250"/>
    <w:rsid w:val="00625263"/>
    <w:rsid w:val="0062640B"/>
    <w:rsid w:val="00630262"/>
    <w:rsid w:val="006341D4"/>
    <w:rsid w:val="00635E8E"/>
    <w:rsid w:val="00637BC3"/>
    <w:rsid w:val="00637FD1"/>
    <w:rsid w:val="00642EF2"/>
    <w:rsid w:val="006449A0"/>
    <w:rsid w:val="006456BC"/>
    <w:rsid w:val="00647D1F"/>
    <w:rsid w:val="00672DCC"/>
    <w:rsid w:val="00680BEB"/>
    <w:rsid w:val="0068649F"/>
    <w:rsid w:val="00686917"/>
    <w:rsid w:val="00687DA3"/>
    <w:rsid w:val="00691D8D"/>
    <w:rsid w:val="006961AC"/>
    <w:rsid w:val="00696F61"/>
    <w:rsid w:val="006A3D18"/>
    <w:rsid w:val="006A761A"/>
    <w:rsid w:val="006B2FF9"/>
    <w:rsid w:val="006C47D7"/>
    <w:rsid w:val="006E207E"/>
    <w:rsid w:val="006F158A"/>
    <w:rsid w:val="006F2073"/>
    <w:rsid w:val="006F384F"/>
    <w:rsid w:val="006F49A0"/>
    <w:rsid w:val="006F5163"/>
    <w:rsid w:val="006F7EB9"/>
    <w:rsid w:val="00715466"/>
    <w:rsid w:val="00717772"/>
    <w:rsid w:val="0073271D"/>
    <w:rsid w:val="00732FB9"/>
    <w:rsid w:val="007336A5"/>
    <w:rsid w:val="007354FB"/>
    <w:rsid w:val="00735579"/>
    <w:rsid w:val="00736C99"/>
    <w:rsid w:val="0074160A"/>
    <w:rsid w:val="00742FA0"/>
    <w:rsid w:val="00756B85"/>
    <w:rsid w:val="00756E73"/>
    <w:rsid w:val="00760D25"/>
    <w:rsid w:val="0076407A"/>
    <w:rsid w:val="00765901"/>
    <w:rsid w:val="007876BD"/>
    <w:rsid w:val="00787CD6"/>
    <w:rsid w:val="00792122"/>
    <w:rsid w:val="007958DA"/>
    <w:rsid w:val="007B0EF9"/>
    <w:rsid w:val="007B1319"/>
    <w:rsid w:val="007B3A44"/>
    <w:rsid w:val="007C5917"/>
    <w:rsid w:val="007C7D8B"/>
    <w:rsid w:val="007D12FC"/>
    <w:rsid w:val="007E120E"/>
    <w:rsid w:val="007E60B6"/>
    <w:rsid w:val="007E688A"/>
    <w:rsid w:val="007F0227"/>
    <w:rsid w:val="007F1427"/>
    <w:rsid w:val="0081118B"/>
    <w:rsid w:val="00811792"/>
    <w:rsid w:val="0081278C"/>
    <w:rsid w:val="0082034D"/>
    <w:rsid w:val="00820633"/>
    <w:rsid w:val="00821DF3"/>
    <w:rsid w:val="00822A5A"/>
    <w:rsid w:val="008241BF"/>
    <w:rsid w:val="00825F97"/>
    <w:rsid w:val="008320A9"/>
    <w:rsid w:val="0083686B"/>
    <w:rsid w:val="008412D3"/>
    <w:rsid w:val="00842E9B"/>
    <w:rsid w:val="00843E9F"/>
    <w:rsid w:val="00845AE9"/>
    <w:rsid w:val="008469BE"/>
    <w:rsid w:val="00847860"/>
    <w:rsid w:val="00852174"/>
    <w:rsid w:val="00853533"/>
    <w:rsid w:val="008629D3"/>
    <w:rsid w:val="00863A48"/>
    <w:rsid w:val="00863B44"/>
    <w:rsid w:val="008646D3"/>
    <w:rsid w:val="00864B1E"/>
    <w:rsid w:val="008651DA"/>
    <w:rsid w:val="00870196"/>
    <w:rsid w:val="008707FC"/>
    <w:rsid w:val="008712FA"/>
    <w:rsid w:val="00873DE2"/>
    <w:rsid w:val="0088050B"/>
    <w:rsid w:val="008868C8"/>
    <w:rsid w:val="0088696C"/>
    <w:rsid w:val="00887454"/>
    <w:rsid w:val="00892220"/>
    <w:rsid w:val="00894635"/>
    <w:rsid w:val="008A35DD"/>
    <w:rsid w:val="008A5A67"/>
    <w:rsid w:val="008C1305"/>
    <w:rsid w:val="008C2317"/>
    <w:rsid w:val="008C2C65"/>
    <w:rsid w:val="008C3151"/>
    <w:rsid w:val="008C44B9"/>
    <w:rsid w:val="008C628C"/>
    <w:rsid w:val="008D39A2"/>
    <w:rsid w:val="008D7549"/>
    <w:rsid w:val="008E32E3"/>
    <w:rsid w:val="008E743D"/>
    <w:rsid w:val="008F0D61"/>
    <w:rsid w:val="008F1FFB"/>
    <w:rsid w:val="008F776F"/>
    <w:rsid w:val="008F7ADB"/>
    <w:rsid w:val="008F7BB3"/>
    <w:rsid w:val="0090566D"/>
    <w:rsid w:val="0091365B"/>
    <w:rsid w:val="00915A03"/>
    <w:rsid w:val="00921183"/>
    <w:rsid w:val="00923FDA"/>
    <w:rsid w:val="009314E0"/>
    <w:rsid w:val="009349C6"/>
    <w:rsid w:val="00941A4A"/>
    <w:rsid w:val="00941FD9"/>
    <w:rsid w:val="00947BB2"/>
    <w:rsid w:val="00947FCE"/>
    <w:rsid w:val="00951F74"/>
    <w:rsid w:val="00952BF4"/>
    <w:rsid w:val="0095350A"/>
    <w:rsid w:val="00956213"/>
    <w:rsid w:val="0096312C"/>
    <w:rsid w:val="00967628"/>
    <w:rsid w:val="00970B52"/>
    <w:rsid w:val="0097304E"/>
    <w:rsid w:val="00976A5B"/>
    <w:rsid w:val="00980154"/>
    <w:rsid w:val="0098064F"/>
    <w:rsid w:val="00981331"/>
    <w:rsid w:val="00985524"/>
    <w:rsid w:val="00985A77"/>
    <w:rsid w:val="009939A0"/>
    <w:rsid w:val="00994588"/>
    <w:rsid w:val="009A137E"/>
    <w:rsid w:val="009A1991"/>
    <w:rsid w:val="009A6698"/>
    <w:rsid w:val="009C21D0"/>
    <w:rsid w:val="009D5563"/>
    <w:rsid w:val="009D785C"/>
    <w:rsid w:val="009E3DA6"/>
    <w:rsid w:val="009F0CC5"/>
    <w:rsid w:val="009F1E66"/>
    <w:rsid w:val="009F41E5"/>
    <w:rsid w:val="009F4E1B"/>
    <w:rsid w:val="009F4FB3"/>
    <w:rsid w:val="00A04778"/>
    <w:rsid w:val="00A16908"/>
    <w:rsid w:val="00A16FB9"/>
    <w:rsid w:val="00A22CE5"/>
    <w:rsid w:val="00A24347"/>
    <w:rsid w:val="00A4182F"/>
    <w:rsid w:val="00A51A77"/>
    <w:rsid w:val="00A54A4B"/>
    <w:rsid w:val="00A554AB"/>
    <w:rsid w:val="00A66E93"/>
    <w:rsid w:val="00A80096"/>
    <w:rsid w:val="00A81588"/>
    <w:rsid w:val="00A81BD4"/>
    <w:rsid w:val="00A830F9"/>
    <w:rsid w:val="00A8354F"/>
    <w:rsid w:val="00A84F30"/>
    <w:rsid w:val="00A86AED"/>
    <w:rsid w:val="00A91AE3"/>
    <w:rsid w:val="00A96FCB"/>
    <w:rsid w:val="00AA7F11"/>
    <w:rsid w:val="00AB0575"/>
    <w:rsid w:val="00AB4414"/>
    <w:rsid w:val="00AC206E"/>
    <w:rsid w:val="00AC3E2D"/>
    <w:rsid w:val="00AD4C33"/>
    <w:rsid w:val="00AD4CB6"/>
    <w:rsid w:val="00AD6AE0"/>
    <w:rsid w:val="00AE5067"/>
    <w:rsid w:val="00AF0908"/>
    <w:rsid w:val="00AF4EC2"/>
    <w:rsid w:val="00AF7167"/>
    <w:rsid w:val="00B1165D"/>
    <w:rsid w:val="00B1177A"/>
    <w:rsid w:val="00B14EAD"/>
    <w:rsid w:val="00B166D3"/>
    <w:rsid w:val="00B2030F"/>
    <w:rsid w:val="00B2037D"/>
    <w:rsid w:val="00B26B67"/>
    <w:rsid w:val="00B27E41"/>
    <w:rsid w:val="00B30294"/>
    <w:rsid w:val="00B30CFA"/>
    <w:rsid w:val="00B31D1B"/>
    <w:rsid w:val="00B34F95"/>
    <w:rsid w:val="00B35AD5"/>
    <w:rsid w:val="00B42245"/>
    <w:rsid w:val="00B56CA6"/>
    <w:rsid w:val="00B704B6"/>
    <w:rsid w:val="00B70D08"/>
    <w:rsid w:val="00B72C11"/>
    <w:rsid w:val="00B76D4D"/>
    <w:rsid w:val="00B802F5"/>
    <w:rsid w:val="00B8235E"/>
    <w:rsid w:val="00B95F6A"/>
    <w:rsid w:val="00BA2D48"/>
    <w:rsid w:val="00BA385D"/>
    <w:rsid w:val="00BB07B7"/>
    <w:rsid w:val="00BB589D"/>
    <w:rsid w:val="00BC19DC"/>
    <w:rsid w:val="00BC1F45"/>
    <w:rsid w:val="00BC1FE0"/>
    <w:rsid w:val="00BC222C"/>
    <w:rsid w:val="00BC3275"/>
    <w:rsid w:val="00BC4882"/>
    <w:rsid w:val="00BC4D62"/>
    <w:rsid w:val="00BC68CE"/>
    <w:rsid w:val="00BD4694"/>
    <w:rsid w:val="00BD4D6C"/>
    <w:rsid w:val="00BF5291"/>
    <w:rsid w:val="00BF71E6"/>
    <w:rsid w:val="00BF729B"/>
    <w:rsid w:val="00BF7964"/>
    <w:rsid w:val="00C00648"/>
    <w:rsid w:val="00C00B5F"/>
    <w:rsid w:val="00C02CBC"/>
    <w:rsid w:val="00C03406"/>
    <w:rsid w:val="00C10E94"/>
    <w:rsid w:val="00C13D2F"/>
    <w:rsid w:val="00C13FFE"/>
    <w:rsid w:val="00C17A5B"/>
    <w:rsid w:val="00C22597"/>
    <w:rsid w:val="00C22868"/>
    <w:rsid w:val="00C2419D"/>
    <w:rsid w:val="00C30449"/>
    <w:rsid w:val="00C318FA"/>
    <w:rsid w:val="00C31BD3"/>
    <w:rsid w:val="00C33B86"/>
    <w:rsid w:val="00C35C19"/>
    <w:rsid w:val="00C415AD"/>
    <w:rsid w:val="00C503CF"/>
    <w:rsid w:val="00C56414"/>
    <w:rsid w:val="00C613F3"/>
    <w:rsid w:val="00C6150D"/>
    <w:rsid w:val="00C6454D"/>
    <w:rsid w:val="00C66671"/>
    <w:rsid w:val="00C666E4"/>
    <w:rsid w:val="00C71D6C"/>
    <w:rsid w:val="00C82885"/>
    <w:rsid w:val="00C85C8D"/>
    <w:rsid w:val="00C86F90"/>
    <w:rsid w:val="00C91218"/>
    <w:rsid w:val="00C94FFC"/>
    <w:rsid w:val="00C9695E"/>
    <w:rsid w:val="00CA09A5"/>
    <w:rsid w:val="00CB0EA6"/>
    <w:rsid w:val="00CB1322"/>
    <w:rsid w:val="00CB4D62"/>
    <w:rsid w:val="00CC0662"/>
    <w:rsid w:val="00CC2C88"/>
    <w:rsid w:val="00CC5B81"/>
    <w:rsid w:val="00CC6AF3"/>
    <w:rsid w:val="00CC7EA8"/>
    <w:rsid w:val="00CD1622"/>
    <w:rsid w:val="00CF26FB"/>
    <w:rsid w:val="00D00698"/>
    <w:rsid w:val="00D01AEB"/>
    <w:rsid w:val="00D06927"/>
    <w:rsid w:val="00D11410"/>
    <w:rsid w:val="00D154DB"/>
    <w:rsid w:val="00D17CB5"/>
    <w:rsid w:val="00D31825"/>
    <w:rsid w:val="00D31951"/>
    <w:rsid w:val="00D3297E"/>
    <w:rsid w:val="00D36636"/>
    <w:rsid w:val="00D44E74"/>
    <w:rsid w:val="00D479F9"/>
    <w:rsid w:val="00D50B71"/>
    <w:rsid w:val="00D5527C"/>
    <w:rsid w:val="00D71774"/>
    <w:rsid w:val="00D72116"/>
    <w:rsid w:val="00D83B59"/>
    <w:rsid w:val="00D85743"/>
    <w:rsid w:val="00D86AC7"/>
    <w:rsid w:val="00D87FF7"/>
    <w:rsid w:val="00DA1C2C"/>
    <w:rsid w:val="00DA28BD"/>
    <w:rsid w:val="00DB6F43"/>
    <w:rsid w:val="00DC1DEB"/>
    <w:rsid w:val="00DC3030"/>
    <w:rsid w:val="00DC34F8"/>
    <w:rsid w:val="00DD446D"/>
    <w:rsid w:val="00DD4512"/>
    <w:rsid w:val="00DD7179"/>
    <w:rsid w:val="00DE23F7"/>
    <w:rsid w:val="00DF0A04"/>
    <w:rsid w:val="00DF198D"/>
    <w:rsid w:val="00DF3FF0"/>
    <w:rsid w:val="00E01C6C"/>
    <w:rsid w:val="00E10B53"/>
    <w:rsid w:val="00E175D3"/>
    <w:rsid w:val="00E17966"/>
    <w:rsid w:val="00E31D2E"/>
    <w:rsid w:val="00E31E27"/>
    <w:rsid w:val="00E32A30"/>
    <w:rsid w:val="00E367E4"/>
    <w:rsid w:val="00E36C78"/>
    <w:rsid w:val="00E40353"/>
    <w:rsid w:val="00E4381C"/>
    <w:rsid w:val="00E46901"/>
    <w:rsid w:val="00E503B5"/>
    <w:rsid w:val="00E64E45"/>
    <w:rsid w:val="00E651D7"/>
    <w:rsid w:val="00E65688"/>
    <w:rsid w:val="00E706B6"/>
    <w:rsid w:val="00E7272D"/>
    <w:rsid w:val="00E84D73"/>
    <w:rsid w:val="00E90323"/>
    <w:rsid w:val="00EB515C"/>
    <w:rsid w:val="00EC107A"/>
    <w:rsid w:val="00EC4DED"/>
    <w:rsid w:val="00ED0517"/>
    <w:rsid w:val="00ED26D0"/>
    <w:rsid w:val="00ED3935"/>
    <w:rsid w:val="00ED6028"/>
    <w:rsid w:val="00EE002F"/>
    <w:rsid w:val="00EE3F34"/>
    <w:rsid w:val="00EE43DC"/>
    <w:rsid w:val="00EE50CB"/>
    <w:rsid w:val="00EF028E"/>
    <w:rsid w:val="00EF5AB3"/>
    <w:rsid w:val="00EF78AF"/>
    <w:rsid w:val="00F0274D"/>
    <w:rsid w:val="00F12BA7"/>
    <w:rsid w:val="00F12FF8"/>
    <w:rsid w:val="00F14049"/>
    <w:rsid w:val="00F1690E"/>
    <w:rsid w:val="00F16EE0"/>
    <w:rsid w:val="00F21673"/>
    <w:rsid w:val="00F24EA4"/>
    <w:rsid w:val="00F26B1E"/>
    <w:rsid w:val="00F411D1"/>
    <w:rsid w:val="00F44266"/>
    <w:rsid w:val="00F51008"/>
    <w:rsid w:val="00F55ACE"/>
    <w:rsid w:val="00F55B76"/>
    <w:rsid w:val="00F6198B"/>
    <w:rsid w:val="00F712F8"/>
    <w:rsid w:val="00F73484"/>
    <w:rsid w:val="00F73EE9"/>
    <w:rsid w:val="00F7589A"/>
    <w:rsid w:val="00F77306"/>
    <w:rsid w:val="00F77DE8"/>
    <w:rsid w:val="00F813CD"/>
    <w:rsid w:val="00F84C03"/>
    <w:rsid w:val="00F850D0"/>
    <w:rsid w:val="00F86BDB"/>
    <w:rsid w:val="00F91705"/>
    <w:rsid w:val="00F933F2"/>
    <w:rsid w:val="00F93877"/>
    <w:rsid w:val="00FA1DC1"/>
    <w:rsid w:val="00FA632F"/>
    <w:rsid w:val="00FC1CCA"/>
    <w:rsid w:val="00FC2BDE"/>
    <w:rsid w:val="00FC2F16"/>
    <w:rsid w:val="00FD55EA"/>
    <w:rsid w:val="00FD7049"/>
    <w:rsid w:val="00FD7D76"/>
    <w:rsid w:val="00FE2B59"/>
    <w:rsid w:val="00FE475C"/>
    <w:rsid w:val="00FE5AD3"/>
    <w:rsid w:val="00FF331F"/>
    <w:rsid w:val="00FF6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37418"/>
  <w15:chartTrackingRefBased/>
  <w15:docId w15:val="{37C214E6-222F-DB4C-8992-E23E7E8A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8FE"/>
    <w:rPr>
      <w:rFonts w:ascii="Times New Roman" w:eastAsia="Times New Roman" w:hAnsi="Times New Roman" w:cs="Times New Roman"/>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C6B"/>
    <w:rPr>
      <w:color w:val="0563C1" w:themeColor="hyperlink"/>
      <w:u w:val="single"/>
    </w:rPr>
  </w:style>
  <w:style w:type="character" w:customStyle="1" w:styleId="Onopgelostemelding1">
    <w:name w:val="Onopgeloste melding1"/>
    <w:basedOn w:val="DefaultParagraphFont"/>
    <w:uiPriority w:val="99"/>
    <w:semiHidden/>
    <w:unhideWhenUsed/>
    <w:rsid w:val="00337C6B"/>
    <w:rPr>
      <w:color w:val="605E5C"/>
      <w:shd w:val="clear" w:color="auto" w:fill="E1DFDD"/>
    </w:rPr>
  </w:style>
  <w:style w:type="paragraph" w:styleId="BalloonText">
    <w:name w:val="Balloon Text"/>
    <w:basedOn w:val="Normal"/>
    <w:link w:val="BalloonTextChar"/>
    <w:uiPriority w:val="99"/>
    <w:semiHidden/>
    <w:unhideWhenUsed/>
    <w:rsid w:val="00341C39"/>
    <w:rPr>
      <w:sz w:val="18"/>
      <w:szCs w:val="18"/>
    </w:rPr>
  </w:style>
  <w:style w:type="character" w:customStyle="1" w:styleId="BalloonTextChar">
    <w:name w:val="Balloon Text Char"/>
    <w:basedOn w:val="DefaultParagraphFont"/>
    <w:link w:val="BalloonText"/>
    <w:uiPriority w:val="99"/>
    <w:semiHidden/>
    <w:rsid w:val="00341C39"/>
    <w:rPr>
      <w:rFonts w:ascii="Times New Roman" w:eastAsia="Times New Roman" w:hAnsi="Times New Roman" w:cs="Times New Roman"/>
      <w:sz w:val="18"/>
      <w:szCs w:val="18"/>
      <w:lang w:eastAsia="nl-NL"/>
    </w:rPr>
  </w:style>
  <w:style w:type="paragraph" w:styleId="ListParagraph">
    <w:name w:val="List Paragraph"/>
    <w:basedOn w:val="Normal"/>
    <w:uiPriority w:val="34"/>
    <w:qFormat/>
    <w:rsid w:val="00341C39"/>
    <w:pPr>
      <w:ind w:left="720"/>
      <w:contextualSpacing/>
    </w:pPr>
    <w:rPr>
      <w:rFonts w:asciiTheme="minorHAnsi" w:eastAsiaTheme="minorEastAsia" w:hAnsiTheme="minorHAnsi" w:cstheme="minorBidi"/>
      <w:lang w:eastAsia="en-US"/>
    </w:rPr>
  </w:style>
  <w:style w:type="character" w:styleId="CommentReference">
    <w:name w:val="annotation reference"/>
    <w:basedOn w:val="DefaultParagraphFont"/>
    <w:uiPriority w:val="99"/>
    <w:semiHidden/>
    <w:unhideWhenUsed/>
    <w:rsid w:val="00341C39"/>
    <w:rPr>
      <w:sz w:val="16"/>
      <w:szCs w:val="16"/>
    </w:rPr>
  </w:style>
  <w:style w:type="paragraph" w:styleId="CommentText">
    <w:name w:val="annotation text"/>
    <w:basedOn w:val="Normal"/>
    <w:link w:val="CommentTextChar"/>
    <w:uiPriority w:val="99"/>
    <w:unhideWhenUsed/>
    <w:rsid w:val="00341C39"/>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rsid w:val="00341C39"/>
    <w:rPr>
      <w:rFonts w:eastAsiaTheme="minorEastAsia"/>
      <w:sz w:val="20"/>
      <w:szCs w:val="20"/>
    </w:rPr>
  </w:style>
  <w:style w:type="paragraph" w:styleId="NormalWeb">
    <w:name w:val="Normal (Web)"/>
    <w:basedOn w:val="Normal"/>
    <w:uiPriority w:val="99"/>
    <w:unhideWhenUsed/>
    <w:rsid w:val="00341C39"/>
    <w:pPr>
      <w:spacing w:before="100" w:beforeAutospacing="1" w:after="100" w:afterAutospacing="1"/>
    </w:pPr>
  </w:style>
  <w:style w:type="character" w:customStyle="1" w:styleId="apple-converted-space">
    <w:name w:val="apple-converted-space"/>
    <w:basedOn w:val="DefaultParagraphFont"/>
    <w:rsid w:val="002E6D25"/>
  </w:style>
  <w:style w:type="paragraph" w:styleId="NoSpacing">
    <w:name w:val="No Spacing"/>
    <w:uiPriority w:val="1"/>
    <w:qFormat/>
    <w:rsid w:val="001E350C"/>
    <w:rPr>
      <w:rFonts w:ascii="Times New Roman" w:eastAsia="Times New Roman" w:hAnsi="Times New Roman" w:cs="Times New Roman"/>
      <w:lang w:eastAsia="nl-NL"/>
    </w:rPr>
  </w:style>
  <w:style w:type="paragraph" w:styleId="CommentSubject">
    <w:name w:val="annotation subject"/>
    <w:basedOn w:val="CommentText"/>
    <w:next w:val="CommentText"/>
    <w:link w:val="CommentSubjectChar"/>
    <w:uiPriority w:val="99"/>
    <w:semiHidden/>
    <w:unhideWhenUsed/>
    <w:rsid w:val="00887454"/>
    <w:rPr>
      <w:rFonts w:ascii="Times New Roman" w:eastAsia="Times New Roman" w:hAnsi="Times New Roman" w:cs="Times New Roman"/>
      <w:b/>
      <w:bCs/>
      <w:lang w:eastAsia="nl-NL"/>
    </w:rPr>
  </w:style>
  <w:style w:type="character" w:customStyle="1" w:styleId="CommentSubjectChar">
    <w:name w:val="Comment Subject Char"/>
    <w:basedOn w:val="CommentTextChar"/>
    <w:link w:val="CommentSubject"/>
    <w:uiPriority w:val="99"/>
    <w:semiHidden/>
    <w:rsid w:val="00887454"/>
    <w:rPr>
      <w:rFonts w:ascii="Times New Roman" w:eastAsia="Times New Roman" w:hAnsi="Times New Roman" w:cs="Times New Roman"/>
      <w:b/>
      <w:bCs/>
      <w:sz w:val="20"/>
      <w:szCs w:val="20"/>
      <w:lang w:eastAsia="nl-NL"/>
    </w:rPr>
  </w:style>
  <w:style w:type="paragraph" w:styleId="Revision">
    <w:name w:val="Revision"/>
    <w:hidden/>
    <w:uiPriority w:val="99"/>
    <w:semiHidden/>
    <w:rsid w:val="0088696C"/>
    <w:rPr>
      <w:rFonts w:ascii="Times New Roman" w:eastAsia="Times New Roman" w:hAnsi="Times New Roman" w:cs="Times New Roman"/>
      <w:lang w:eastAsia="nl-NL"/>
    </w:rPr>
  </w:style>
  <w:style w:type="character" w:styleId="FollowedHyperlink">
    <w:name w:val="FollowedHyperlink"/>
    <w:basedOn w:val="DefaultParagraphFont"/>
    <w:uiPriority w:val="99"/>
    <w:semiHidden/>
    <w:unhideWhenUsed/>
    <w:rsid w:val="00BD4694"/>
    <w:rPr>
      <w:color w:val="954F72" w:themeColor="followedHyperlink"/>
      <w:u w:val="single"/>
    </w:rPr>
  </w:style>
  <w:style w:type="table" w:styleId="TableGrid">
    <w:name w:val="Table Grid"/>
    <w:basedOn w:val="TableNormal"/>
    <w:uiPriority w:val="39"/>
    <w:rsid w:val="005A4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B693E"/>
    <w:pPr>
      <w:tabs>
        <w:tab w:val="center" w:pos="4536"/>
        <w:tab w:val="right" w:pos="9072"/>
      </w:tabs>
    </w:pPr>
  </w:style>
  <w:style w:type="character" w:customStyle="1" w:styleId="FooterChar">
    <w:name w:val="Footer Char"/>
    <w:basedOn w:val="DefaultParagraphFont"/>
    <w:link w:val="Footer"/>
    <w:uiPriority w:val="99"/>
    <w:rsid w:val="005B693E"/>
    <w:rPr>
      <w:rFonts w:ascii="Times New Roman" w:eastAsia="Times New Roman" w:hAnsi="Times New Roman" w:cs="Times New Roman"/>
      <w:lang w:eastAsia="nl-NL"/>
    </w:rPr>
  </w:style>
  <w:style w:type="character" w:styleId="PageNumber">
    <w:name w:val="page number"/>
    <w:basedOn w:val="DefaultParagraphFont"/>
    <w:uiPriority w:val="99"/>
    <w:semiHidden/>
    <w:unhideWhenUsed/>
    <w:rsid w:val="005B693E"/>
  </w:style>
  <w:style w:type="character" w:styleId="LineNumber">
    <w:name w:val="line number"/>
    <w:basedOn w:val="DefaultParagraphFont"/>
    <w:uiPriority w:val="99"/>
    <w:semiHidden/>
    <w:unhideWhenUsed/>
    <w:rsid w:val="00C8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0014">
      <w:bodyDiv w:val="1"/>
      <w:marLeft w:val="0"/>
      <w:marRight w:val="0"/>
      <w:marTop w:val="0"/>
      <w:marBottom w:val="0"/>
      <w:divBdr>
        <w:top w:val="none" w:sz="0" w:space="0" w:color="auto"/>
        <w:left w:val="none" w:sz="0" w:space="0" w:color="auto"/>
        <w:bottom w:val="none" w:sz="0" w:space="0" w:color="auto"/>
        <w:right w:val="none" w:sz="0" w:space="0" w:color="auto"/>
      </w:divBdr>
    </w:div>
    <w:div w:id="51780663">
      <w:bodyDiv w:val="1"/>
      <w:marLeft w:val="0"/>
      <w:marRight w:val="0"/>
      <w:marTop w:val="0"/>
      <w:marBottom w:val="0"/>
      <w:divBdr>
        <w:top w:val="none" w:sz="0" w:space="0" w:color="auto"/>
        <w:left w:val="none" w:sz="0" w:space="0" w:color="auto"/>
        <w:bottom w:val="none" w:sz="0" w:space="0" w:color="auto"/>
        <w:right w:val="none" w:sz="0" w:space="0" w:color="auto"/>
      </w:divBdr>
    </w:div>
    <w:div w:id="153644639">
      <w:bodyDiv w:val="1"/>
      <w:marLeft w:val="0"/>
      <w:marRight w:val="0"/>
      <w:marTop w:val="0"/>
      <w:marBottom w:val="0"/>
      <w:divBdr>
        <w:top w:val="none" w:sz="0" w:space="0" w:color="auto"/>
        <w:left w:val="none" w:sz="0" w:space="0" w:color="auto"/>
        <w:bottom w:val="none" w:sz="0" w:space="0" w:color="auto"/>
        <w:right w:val="none" w:sz="0" w:space="0" w:color="auto"/>
      </w:divBdr>
    </w:div>
    <w:div w:id="161481193">
      <w:bodyDiv w:val="1"/>
      <w:marLeft w:val="0"/>
      <w:marRight w:val="0"/>
      <w:marTop w:val="0"/>
      <w:marBottom w:val="0"/>
      <w:divBdr>
        <w:top w:val="none" w:sz="0" w:space="0" w:color="auto"/>
        <w:left w:val="none" w:sz="0" w:space="0" w:color="auto"/>
        <w:bottom w:val="none" w:sz="0" w:space="0" w:color="auto"/>
        <w:right w:val="none" w:sz="0" w:space="0" w:color="auto"/>
      </w:divBdr>
    </w:div>
    <w:div w:id="174422722">
      <w:bodyDiv w:val="1"/>
      <w:marLeft w:val="0"/>
      <w:marRight w:val="0"/>
      <w:marTop w:val="0"/>
      <w:marBottom w:val="0"/>
      <w:divBdr>
        <w:top w:val="none" w:sz="0" w:space="0" w:color="auto"/>
        <w:left w:val="none" w:sz="0" w:space="0" w:color="auto"/>
        <w:bottom w:val="none" w:sz="0" w:space="0" w:color="auto"/>
        <w:right w:val="none" w:sz="0" w:space="0" w:color="auto"/>
      </w:divBdr>
      <w:divsChild>
        <w:div w:id="171379359">
          <w:marLeft w:val="0"/>
          <w:marRight w:val="0"/>
          <w:marTop w:val="0"/>
          <w:marBottom w:val="0"/>
          <w:divBdr>
            <w:top w:val="none" w:sz="0" w:space="0" w:color="auto"/>
            <w:left w:val="none" w:sz="0" w:space="0" w:color="auto"/>
            <w:bottom w:val="none" w:sz="0" w:space="0" w:color="auto"/>
            <w:right w:val="none" w:sz="0" w:space="0" w:color="auto"/>
          </w:divBdr>
        </w:div>
      </w:divsChild>
    </w:div>
    <w:div w:id="188956338">
      <w:bodyDiv w:val="1"/>
      <w:marLeft w:val="0"/>
      <w:marRight w:val="0"/>
      <w:marTop w:val="0"/>
      <w:marBottom w:val="0"/>
      <w:divBdr>
        <w:top w:val="none" w:sz="0" w:space="0" w:color="auto"/>
        <w:left w:val="none" w:sz="0" w:space="0" w:color="auto"/>
        <w:bottom w:val="none" w:sz="0" w:space="0" w:color="auto"/>
        <w:right w:val="none" w:sz="0" w:space="0" w:color="auto"/>
      </w:divBdr>
    </w:div>
    <w:div w:id="201017160">
      <w:bodyDiv w:val="1"/>
      <w:marLeft w:val="0"/>
      <w:marRight w:val="0"/>
      <w:marTop w:val="0"/>
      <w:marBottom w:val="0"/>
      <w:divBdr>
        <w:top w:val="none" w:sz="0" w:space="0" w:color="auto"/>
        <w:left w:val="none" w:sz="0" w:space="0" w:color="auto"/>
        <w:bottom w:val="none" w:sz="0" w:space="0" w:color="auto"/>
        <w:right w:val="none" w:sz="0" w:space="0" w:color="auto"/>
      </w:divBdr>
      <w:divsChild>
        <w:div w:id="2049527734">
          <w:marLeft w:val="0"/>
          <w:marRight w:val="0"/>
          <w:marTop w:val="0"/>
          <w:marBottom w:val="0"/>
          <w:divBdr>
            <w:top w:val="none" w:sz="0" w:space="0" w:color="auto"/>
            <w:left w:val="none" w:sz="0" w:space="0" w:color="auto"/>
            <w:bottom w:val="none" w:sz="0" w:space="0" w:color="auto"/>
            <w:right w:val="none" w:sz="0" w:space="0" w:color="auto"/>
          </w:divBdr>
        </w:div>
      </w:divsChild>
    </w:div>
    <w:div w:id="266159955">
      <w:bodyDiv w:val="1"/>
      <w:marLeft w:val="0"/>
      <w:marRight w:val="0"/>
      <w:marTop w:val="0"/>
      <w:marBottom w:val="0"/>
      <w:divBdr>
        <w:top w:val="none" w:sz="0" w:space="0" w:color="auto"/>
        <w:left w:val="none" w:sz="0" w:space="0" w:color="auto"/>
        <w:bottom w:val="none" w:sz="0" w:space="0" w:color="auto"/>
        <w:right w:val="none" w:sz="0" w:space="0" w:color="auto"/>
      </w:divBdr>
    </w:div>
    <w:div w:id="313920096">
      <w:bodyDiv w:val="1"/>
      <w:marLeft w:val="0"/>
      <w:marRight w:val="0"/>
      <w:marTop w:val="0"/>
      <w:marBottom w:val="0"/>
      <w:divBdr>
        <w:top w:val="none" w:sz="0" w:space="0" w:color="auto"/>
        <w:left w:val="none" w:sz="0" w:space="0" w:color="auto"/>
        <w:bottom w:val="none" w:sz="0" w:space="0" w:color="auto"/>
        <w:right w:val="none" w:sz="0" w:space="0" w:color="auto"/>
      </w:divBdr>
    </w:div>
    <w:div w:id="315842328">
      <w:bodyDiv w:val="1"/>
      <w:marLeft w:val="0"/>
      <w:marRight w:val="0"/>
      <w:marTop w:val="0"/>
      <w:marBottom w:val="0"/>
      <w:divBdr>
        <w:top w:val="none" w:sz="0" w:space="0" w:color="auto"/>
        <w:left w:val="none" w:sz="0" w:space="0" w:color="auto"/>
        <w:bottom w:val="none" w:sz="0" w:space="0" w:color="auto"/>
        <w:right w:val="none" w:sz="0" w:space="0" w:color="auto"/>
      </w:divBdr>
      <w:divsChild>
        <w:div w:id="2087334089">
          <w:marLeft w:val="0"/>
          <w:marRight w:val="0"/>
          <w:marTop w:val="0"/>
          <w:marBottom w:val="0"/>
          <w:divBdr>
            <w:top w:val="none" w:sz="0" w:space="0" w:color="auto"/>
            <w:left w:val="none" w:sz="0" w:space="0" w:color="auto"/>
            <w:bottom w:val="none" w:sz="0" w:space="0" w:color="auto"/>
            <w:right w:val="none" w:sz="0" w:space="0" w:color="auto"/>
          </w:divBdr>
          <w:divsChild>
            <w:div w:id="1122576670">
              <w:marLeft w:val="0"/>
              <w:marRight w:val="0"/>
              <w:marTop w:val="0"/>
              <w:marBottom w:val="0"/>
              <w:divBdr>
                <w:top w:val="none" w:sz="0" w:space="0" w:color="auto"/>
                <w:left w:val="none" w:sz="0" w:space="0" w:color="auto"/>
                <w:bottom w:val="none" w:sz="0" w:space="0" w:color="auto"/>
                <w:right w:val="none" w:sz="0" w:space="0" w:color="auto"/>
              </w:divBdr>
              <w:divsChild>
                <w:div w:id="1291397034">
                  <w:marLeft w:val="0"/>
                  <w:marRight w:val="0"/>
                  <w:marTop w:val="0"/>
                  <w:marBottom w:val="0"/>
                  <w:divBdr>
                    <w:top w:val="none" w:sz="0" w:space="0" w:color="auto"/>
                    <w:left w:val="none" w:sz="0" w:space="0" w:color="auto"/>
                    <w:bottom w:val="none" w:sz="0" w:space="0" w:color="auto"/>
                    <w:right w:val="none" w:sz="0" w:space="0" w:color="auto"/>
                  </w:divBdr>
                  <w:divsChild>
                    <w:div w:id="17145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294">
      <w:bodyDiv w:val="1"/>
      <w:marLeft w:val="0"/>
      <w:marRight w:val="0"/>
      <w:marTop w:val="0"/>
      <w:marBottom w:val="0"/>
      <w:divBdr>
        <w:top w:val="none" w:sz="0" w:space="0" w:color="auto"/>
        <w:left w:val="none" w:sz="0" w:space="0" w:color="auto"/>
        <w:bottom w:val="none" w:sz="0" w:space="0" w:color="auto"/>
        <w:right w:val="none" w:sz="0" w:space="0" w:color="auto"/>
      </w:divBdr>
      <w:divsChild>
        <w:div w:id="1821842164">
          <w:marLeft w:val="0"/>
          <w:marRight w:val="0"/>
          <w:marTop w:val="0"/>
          <w:marBottom w:val="0"/>
          <w:divBdr>
            <w:top w:val="none" w:sz="0" w:space="0" w:color="auto"/>
            <w:left w:val="none" w:sz="0" w:space="0" w:color="auto"/>
            <w:bottom w:val="none" w:sz="0" w:space="0" w:color="auto"/>
            <w:right w:val="none" w:sz="0" w:space="0" w:color="auto"/>
          </w:divBdr>
          <w:divsChild>
            <w:div w:id="788939653">
              <w:marLeft w:val="0"/>
              <w:marRight w:val="0"/>
              <w:marTop w:val="0"/>
              <w:marBottom w:val="0"/>
              <w:divBdr>
                <w:top w:val="none" w:sz="0" w:space="0" w:color="auto"/>
                <w:left w:val="none" w:sz="0" w:space="0" w:color="auto"/>
                <w:bottom w:val="none" w:sz="0" w:space="0" w:color="auto"/>
                <w:right w:val="none" w:sz="0" w:space="0" w:color="auto"/>
              </w:divBdr>
              <w:divsChild>
                <w:div w:id="672296415">
                  <w:marLeft w:val="0"/>
                  <w:marRight w:val="0"/>
                  <w:marTop w:val="0"/>
                  <w:marBottom w:val="0"/>
                  <w:divBdr>
                    <w:top w:val="none" w:sz="0" w:space="0" w:color="auto"/>
                    <w:left w:val="none" w:sz="0" w:space="0" w:color="auto"/>
                    <w:bottom w:val="none" w:sz="0" w:space="0" w:color="auto"/>
                    <w:right w:val="none" w:sz="0" w:space="0" w:color="auto"/>
                  </w:divBdr>
                  <w:divsChild>
                    <w:div w:id="17932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860999">
      <w:bodyDiv w:val="1"/>
      <w:marLeft w:val="0"/>
      <w:marRight w:val="0"/>
      <w:marTop w:val="0"/>
      <w:marBottom w:val="0"/>
      <w:divBdr>
        <w:top w:val="none" w:sz="0" w:space="0" w:color="auto"/>
        <w:left w:val="none" w:sz="0" w:space="0" w:color="auto"/>
        <w:bottom w:val="none" w:sz="0" w:space="0" w:color="auto"/>
        <w:right w:val="none" w:sz="0" w:space="0" w:color="auto"/>
      </w:divBdr>
    </w:div>
    <w:div w:id="409886492">
      <w:bodyDiv w:val="1"/>
      <w:marLeft w:val="0"/>
      <w:marRight w:val="0"/>
      <w:marTop w:val="0"/>
      <w:marBottom w:val="0"/>
      <w:divBdr>
        <w:top w:val="none" w:sz="0" w:space="0" w:color="auto"/>
        <w:left w:val="none" w:sz="0" w:space="0" w:color="auto"/>
        <w:bottom w:val="none" w:sz="0" w:space="0" w:color="auto"/>
        <w:right w:val="none" w:sz="0" w:space="0" w:color="auto"/>
      </w:divBdr>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49786564">
      <w:bodyDiv w:val="1"/>
      <w:marLeft w:val="0"/>
      <w:marRight w:val="0"/>
      <w:marTop w:val="0"/>
      <w:marBottom w:val="0"/>
      <w:divBdr>
        <w:top w:val="none" w:sz="0" w:space="0" w:color="auto"/>
        <w:left w:val="none" w:sz="0" w:space="0" w:color="auto"/>
        <w:bottom w:val="none" w:sz="0" w:space="0" w:color="auto"/>
        <w:right w:val="none" w:sz="0" w:space="0" w:color="auto"/>
      </w:divBdr>
    </w:div>
    <w:div w:id="454833516">
      <w:bodyDiv w:val="1"/>
      <w:marLeft w:val="0"/>
      <w:marRight w:val="0"/>
      <w:marTop w:val="0"/>
      <w:marBottom w:val="0"/>
      <w:divBdr>
        <w:top w:val="none" w:sz="0" w:space="0" w:color="auto"/>
        <w:left w:val="none" w:sz="0" w:space="0" w:color="auto"/>
        <w:bottom w:val="none" w:sz="0" w:space="0" w:color="auto"/>
        <w:right w:val="none" w:sz="0" w:space="0" w:color="auto"/>
      </w:divBdr>
    </w:div>
    <w:div w:id="490606959">
      <w:bodyDiv w:val="1"/>
      <w:marLeft w:val="0"/>
      <w:marRight w:val="0"/>
      <w:marTop w:val="0"/>
      <w:marBottom w:val="0"/>
      <w:divBdr>
        <w:top w:val="none" w:sz="0" w:space="0" w:color="auto"/>
        <w:left w:val="none" w:sz="0" w:space="0" w:color="auto"/>
        <w:bottom w:val="none" w:sz="0" w:space="0" w:color="auto"/>
        <w:right w:val="none" w:sz="0" w:space="0" w:color="auto"/>
      </w:divBdr>
    </w:div>
    <w:div w:id="552665278">
      <w:bodyDiv w:val="1"/>
      <w:marLeft w:val="0"/>
      <w:marRight w:val="0"/>
      <w:marTop w:val="0"/>
      <w:marBottom w:val="0"/>
      <w:divBdr>
        <w:top w:val="none" w:sz="0" w:space="0" w:color="auto"/>
        <w:left w:val="none" w:sz="0" w:space="0" w:color="auto"/>
        <w:bottom w:val="none" w:sz="0" w:space="0" w:color="auto"/>
        <w:right w:val="none" w:sz="0" w:space="0" w:color="auto"/>
      </w:divBdr>
      <w:divsChild>
        <w:div w:id="650670095">
          <w:marLeft w:val="0"/>
          <w:marRight w:val="0"/>
          <w:marTop w:val="0"/>
          <w:marBottom w:val="0"/>
          <w:divBdr>
            <w:top w:val="none" w:sz="0" w:space="0" w:color="auto"/>
            <w:left w:val="none" w:sz="0" w:space="0" w:color="auto"/>
            <w:bottom w:val="none" w:sz="0" w:space="0" w:color="auto"/>
            <w:right w:val="none" w:sz="0" w:space="0" w:color="auto"/>
          </w:divBdr>
          <w:divsChild>
            <w:div w:id="1328172118">
              <w:marLeft w:val="0"/>
              <w:marRight w:val="0"/>
              <w:marTop w:val="0"/>
              <w:marBottom w:val="0"/>
              <w:divBdr>
                <w:top w:val="none" w:sz="0" w:space="0" w:color="auto"/>
                <w:left w:val="none" w:sz="0" w:space="0" w:color="auto"/>
                <w:bottom w:val="none" w:sz="0" w:space="0" w:color="auto"/>
                <w:right w:val="none" w:sz="0" w:space="0" w:color="auto"/>
              </w:divBdr>
              <w:divsChild>
                <w:div w:id="18573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5727">
      <w:bodyDiv w:val="1"/>
      <w:marLeft w:val="0"/>
      <w:marRight w:val="0"/>
      <w:marTop w:val="0"/>
      <w:marBottom w:val="0"/>
      <w:divBdr>
        <w:top w:val="none" w:sz="0" w:space="0" w:color="auto"/>
        <w:left w:val="none" w:sz="0" w:space="0" w:color="auto"/>
        <w:bottom w:val="none" w:sz="0" w:space="0" w:color="auto"/>
        <w:right w:val="none" w:sz="0" w:space="0" w:color="auto"/>
      </w:divBdr>
    </w:div>
    <w:div w:id="690494255">
      <w:bodyDiv w:val="1"/>
      <w:marLeft w:val="0"/>
      <w:marRight w:val="0"/>
      <w:marTop w:val="0"/>
      <w:marBottom w:val="0"/>
      <w:divBdr>
        <w:top w:val="none" w:sz="0" w:space="0" w:color="auto"/>
        <w:left w:val="none" w:sz="0" w:space="0" w:color="auto"/>
        <w:bottom w:val="none" w:sz="0" w:space="0" w:color="auto"/>
        <w:right w:val="none" w:sz="0" w:space="0" w:color="auto"/>
      </w:divBdr>
    </w:div>
    <w:div w:id="706419230">
      <w:bodyDiv w:val="1"/>
      <w:marLeft w:val="0"/>
      <w:marRight w:val="0"/>
      <w:marTop w:val="0"/>
      <w:marBottom w:val="0"/>
      <w:divBdr>
        <w:top w:val="none" w:sz="0" w:space="0" w:color="auto"/>
        <w:left w:val="none" w:sz="0" w:space="0" w:color="auto"/>
        <w:bottom w:val="none" w:sz="0" w:space="0" w:color="auto"/>
        <w:right w:val="none" w:sz="0" w:space="0" w:color="auto"/>
      </w:divBdr>
    </w:div>
    <w:div w:id="745810918">
      <w:bodyDiv w:val="1"/>
      <w:marLeft w:val="0"/>
      <w:marRight w:val="0"/>
      <w:marTop w:val="0"/>
      <w:marBottom w:val="0"/>
      <w:divBdr>
        <w:top w:val="none" w:sz="0" w:space="0" w:color="auto"/>
        <w:left w:val="none" w:sz="0" w:space="0" w:color="auto"/>
        <w:bottom w:val="none" w:sz="0" w:space="0" w:color="auto"/>
        <w:right w:val="none" w:sz="0" w:space="0" w:color="auto"/>
      </w:divBdr>
    </w:div>
    <w:div w:id="746269838">
      <w:bodyDiv w:val="1"/>
      <w:marLeft w:val="0"/>
      <w:marRight w:val="0"/>
      <w:marTop w:val="0"/>
      <w:marBottom w:val="0"/>
      <w:divBdr>
        <w:top w:val="none" w:sz="0" w:space="0" w:color="auto"/>
        <w:left w:val="none" w:sz="0" w:space="0" w:color="auto"/>
        <w:bottom w:val="none" w:sz="0" w:space="0" w:color="auto"/>
        <w:right w:val="none" w:sz="0" w:space="0" w:color="auto"/>
      </w:divBdr>
    </w:div>
    <w:div w:id="753361859">
      <w:bodyDiv w:val="1"/>
      <w:marLeft w:val="0"/>
      <w:marRight w:val="0"/>
      <w:marTop w:val="0"/>
      <w:marBottom w:val="0"/>
      <w:divBdr>
        <w:top w:val="none" w:sz="0" w:space="0" w:color="auto"/>
        <w:left w:val="none" w:sz="0" w:space="0" w:color="auto"/>
        <w:bottom w:val="none" w:sz="0" w:space="0" w:color="auto"/>
        <w:right w:val="none" w:sz="0" w:space="0" w:color="auto"/>
      </w:divBdr>
    </w:div>
    <w:div w:id="789393307">
      <w:bodyDiv w:val="1"/>
      <w:marLeft w:val="0"/>
      <w:marRight w:val="0"/>
      <w:marTop w:val="0"/>
      <w:marBottom w:val="0"/>
      <w:divBdr>
        <w:top w:val="none" w:sz="0" w:space="0" w:color="auto"/>
        <w:left w:val="none" w:sz="0" w:space="0" w:color="auto"/>
        <w:bottom w:val="none" w:sz="0" w:space="0" w:color="auto"/>
        <w:right w:val="none" w:sz="0" w:space="0" w:color="auto"/>
      </w:divBdr>
    </w:div>
    <w:div w:id="817693036">
      <w:bodyDiv w:val="1"/>
      <w:marLeft w:val="0"/>
      <w:marRight w:val="0"/>
      <w:marTop w:val="0"/>
      <w:marBottom w:val="0"/>
      <w:divBdr>
        <w:top w:val="none" w:sz="0" w:space="0" w:color="auto"/>
        <w:left w:val="none" w:sz="0" w:space="0" w:color="auto"/>
        <w:bottom w:val="none" w:sz="0" w:space="0" w:color="auto"/>
        <w:right w:val="none" w:sz="0" w:space="0" w:color="auto"/>
      </w:divBdr>
    </w:div>
    <w:div w:id="859468186">
      <w:bodyDiv w:val="1"/>
      <w:marLeft w:val="0"/>
      <w:marRight w:val="0"/>
      <w:marTop w:val="0"/>
      <w:marBottom w:val="0"/>
      <w:divBdr>
        <w:top w:val="none" w:sz="0" w:space="0" w:color="auto"/>
        <w:left w:val="none" w:sz="0" w:space="0" w:color="auto"/>
        <w:bottom w:val="none" w:sz="0" w:space="0" w:color="auto"/>
        <w:right w:val="none" w:sz="0" w:space="0" w:color="auto"/>
      </w:divBdr>
      <w:divsChild>
        <w:div w:id="1071850316">
          <w:marLeft w:val="0"/>
          <w:marRight w:val="0"/>
          <w:marTop w:val="0"/>
          <w:marBottom w:val="0"/>
          <w:divBdr>
            <w:top w:val="none" w:sz="0" w:space="0" w:color="auto"/>
            <w:left w:val="none" w:sz="0" w:space="0" w:color="auto"/>
            <w:bottom w:val="none" w:sz="0" w:space="0" w:color="auto"/>
            <w:right w:val="none" w:sz="0" w:space="0" w:color="auto"/>
          </w:divBdr>
          <w:divsChild>
            <w:div w:id="1131940152">
              <w:marLeft w:val="0"/>
              <w:marRight w:val="0"/>
              <w:marTop w:val="0"/>
              <w:marBottom w:val="0"/>
              <w:divBdr>
                <w:top w:val="none" w:sz="0" w:space="0" w:color="auto"/>
                <w:left w:val="none" w:sz="0" w:space="0" w:color="auto"/>
                <w:bottom w:val="none" w:sz="0" w:space="0" w:color="auto"/>
                <w:right w:val="none" w:sz="0" w:space="0" w:color="auto"/>
              </w:divBdr>
              <w:divsChild>
                <w:div w:id="15020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70013">
      <w:bodyDiv w:val="1"/>
      <w:marLeft w:val="0"/>
      <w:marRight w:val="0"/>
      <w:marTop w:val="0"/>
      <w:marBottom w:val="0"/>
      <w:divBdr>
        <w:top w:val="none" w:sz="0" w:space="0" w:color="auto"/>
        <w:left w:val="none" w:sz="0" w:space="0" w:color="auto"/>
        <w:bottom w:val="none" w:sz="0" w:space="0" w:color="auto"/>
        <w:right w:val="none" w:sz="0" w:space="0" w:color="auto"/>
      </w:divBdr>
    </w:div>
    <w:div w:id="904871367">
      <w:bodyDiv w:val="1"/>
      <w:marLeft w:val="0"/>
      <w:marRight w:val="0"/>
      <w:marTop w:val="0"/>
      <w:marBottom w:val="0"/>
      <w:divBdr>
        <w:top w:val="none" w:sz="0" w:space="0" w:color="auto"/>
        <w:left w:val="none" w:sz="0" w:space="0" w:color="auto"/>
        <w:bottom w:val="none" w:sz="0" w:space="0" w:color="auto"/>
        <w:right w:val="none" w:sz="0" w:space="0" w:color="auto"/>
      </w:divBdr>
    </w:div>
    <w:div w:id="946040650">
      <w:bodyDiv w:val="1"/>
      <w:marLeft w:val="0"/>
      <w:marRight w:val="0"/>
      <w:marTop w:val="0"/>
      <w:marBottom w:val="0"/>
      <w:divBdr>
        <w:top w:val="none" w:sz="0" w:space="0" w:color="auto"/>
        <w:left w:val="none" w:sz="0" w:space="0" w:color="auto"/>
        <w:bottom w:val="none" w:sz="0" w:space="0" w:color="auto"/>
        <w:right w:val="none" w:sz="0" w:space="0" w:color="auto"/>
      </w:divBdr>
      <w:divsChild>
        <w:div w:id="1949462400">
          <w:marLeft w:val="0"/>
          <w:marRight w:val="0"/>
          <w:marTop w:val="0"/>
          <w:marBottom w:val="0"/>
          <w:divBdr>
            <w:top w:val="none" w:sz="0" w:space="0" w:color="auto"/>
            <w:left w:val="none" w:sz="0" w:space="0" w:color="auto"/>
            <w:bottom w:val="none" w:sz="0" w:space="0" w:color="auto"/>
            <w:right w:val="none" w:sz="0" w:space="0" w:color="auto"/>
          </w:divBdr>
          <w:divsChild>
            <w:div w:id="546258334">
              <w:marLeft w:val="0"/>
              <w:marRight w:val="0"/>
              <w:marTop w:val="0"/>
              <w:marBottom w:val="0"/>
              <w:divBdr>
                <w:top w:val="none" w:sz="0" w:space="0" w:color="auto"/>
                <w:left w:val="none" w:sz="0" w:space="0" w:color="auto"/>
                <w:bottom w:val="none" w:sz="0" w:space="0" w:color="auto"/>
                <w:right w:val="none" w:sz="0" w:space="0" w:color="auto"/>
              </w:divBdr>
              <w:divsChild>
                <w:div w:id="20402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3236">
      <w:bodyDiv w:val="1"/>
      <w:marLeft w:val="0"/>
      <w:marRight w:val="0"/>
      <w:marTop w:val="0"/>
      <w:marBottom w:val="0"/>
      <w:divBdr>
        <w:top w:val="none" w:sz="0" w:space="0" w:color="auto"/>
        <w:left w:val="none" w:sz="0" w:space="0" w:color="auto"/>
        <w:bottom w:val="none" w:sz="0" w:space="0" w:color="auto"/>
        <w:right w:val="none" w:sz="0" w:space="0" w:color="auto"/>
      </w:divBdr>
    </w:div>
    <w:div w:id="1035621822">
      <w:bodyDiv w:val="1"/>
      <w:marLeft w:val="0"/>
      <w:marRight w:val="0"/>
      <w:marTop w:val="0"/>
      <w:marBottom w:val="0"/>
      <w:divBdr>
        <w:top w:val="none" w:sz="0" w:space="0" w:color="auto"/>
        <w:left w:val="none" w:sz="0" w:space="0" w:color="auto"/>
        <w:bottom w:val="none" w:sz="0" w:space="0" w:color="auto"/>
        <w:right w:val="none" w:sz="0" w:space="0" w:color="auto"/>
      </w:divBdr>
    </w:div>
    <w:div w:id="1143691192">
      <w:bodyDiv w:val="1"/>
      <w:marLeft w:val="0"/>
      <w:marRight w:val="0"/>
      <w:marTop w:val="0"/>
      <w:marBottom w:val="0"/>
      <w:divBdr>
        <w:top w:val="none" w:sz="0" w:space="0" w:color="auto"/>
        <w:left w:val="none" w:sz="0" w:space="0" w:color="auto"/>
        <w:bottom w:val="none" w:sz="0" w:space="0" w:color="auto"/>
        <w:right w:val="none" w:sz="0" w:space="0" w:color="auto"/>
      </w:divBdr>
    </w:div>
    <w:div w:id="1148715060">
      <w:bodyDiv w:val="1"/>
      <w:marLeft w:val="0"/>
      <w:marRight w:val="0"/>
      <w:marTop w:val="0"/>
      <w:marBottom w:val="0"/>
      <w:divBdr>
        <w:top w:val="none" w:sz="0" w:space="0" w:color="auto"/>
        <w:left w:val="none" w:sz="0" w:space="0" w:color="auto"/>
        <w:bottom w:val="none" w:sz="0" w:space="0" w:color="auto"/>
        <w:right w:val="none" w:sz="0" w:space="0" w:color="auto"/>
      </w:divBdr>
    </w:div>
    <w:div w:id="1183666007">
      <w:bodyDiv w:val="1"/>
      <w:marLeft w:val="0"/>
      <w:marRight w:val="0"/>
      <w:marTop w:val="0"/>
      <w:marBottom w:val="0"/>
      <w:divBdr>
        <w:top w:val="none" w:sz="0" w:space="0" w:color="auto"/>
        <w:left w:val="none" w:sz="0" w:space="0" w:color="auto"/>
        <w:bottom w:val="none" w:sz="0" w:space="0" w:color="auto"/>
        <w:right w:val="none" w:sz="0" w:space="0" w:color="auto"/>
      </w:divBdr>
      <w:divsChild>
        <w:div w:id="2073111120">
          <w:marLeft w:val="0"/>
          <w:marRight w:val="0"/>
          <w:marTop w:val="0"/>
          <w:marBottom w:val="0"/>
          <w:divBdr>
            <w:top w:val="none" w:sz="0" w:space="0" w:color="auto"/>
            <w:left w:val="none" w:sz="0" w:space="0" w:color="auto"/>
            <w:bottom w:val="none" w:sz="0" w:space="0" w:color="auto"/>
            <w:right w:val="none" w:sz="0" w:space="0" w:color="auto"/>
          </w:divBdr>
          <w:divsChild>
            <w:div w:id="601958139">
              <w:marLeft w:val="0"/>
              <w:marRight w:val="0"/>
              <w:marTop w:val="0"/>
              <w:marBottom w:val="0"/>
              <w:divBdr>
                <w:top w:val="none" w:sz="0" w:space="0" w:color="auto"/>
                <w:left w:val="none" w:sz="0" w:space="0" w:color="auto"/>
                <w:bottom w:val="none" w:sz="0" w:space="0" w:color="auto"/>
                <w:right w:val="none" w:sz="0" w:space="0" w:color="auto"/>
              </w:divBdr>
              <w:divsChild>
                <w:div w:id="17799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8723">
      <w:bodyDiv w:val="1"/>
      <w:marLeft w:val="0"/>
      <w:marRight w:val="0"/>
      <w:marTop w:val="0"/>
      <w:marBottom w:val="0"/>
      <w:divBdr>
        <w:top w:val="none" w:sz="0" w:space="0" w:color="auto"/>
        <w:left w:val="none" w:sz="0" w:space="0" w:color="auto"/>
        <w:bottom w:val="none" w:sz="0" w:space="0" w:color="auto"/>
        <w:right w:val="none" w:sz="0" w:space="0" w:color="auto"/>
      </w:divBdr>
    </w:div>
    <w:div w:id="1212183407">
      <w:bodyDiv w:val="1"/>
      <w:marLeft w:val="0"/>
      <w:marRight w:val="0"/>
      <w:marTop w:val="0"/>
      <w:marBottom w:val="0"/>
      <w:divBdr>
        <w:top w:val="none" w:sz="0" w:space="0" w:color="auto"/>
        <w:left w:val="none" w:sz="0" w:space="0" w:color="auto"/>
        <w:bottom w:val="none" w:sz="0" w:space="0" w:color="auto"/>
        <w:right w:val="none" w:sz="0" w:space="0" w:color="auto"/>
      </w:divBdr>
    </w:div>
    <w:div w:id="1214580820">
      <w:bodyDiv w:val="1"/>
      <w:marLeft w:val="0"/>
      <w:marRight w:val="0"/>
      <w:marTop w:val="0"/>
      <w:marBottom w:val="0"/>
      <w:divBdr>
        <w:top w:val="none" w:sz="0" w:space="0" w:color="auto"/>
        <w:left w:val="none" w:sz="0" w:space="0" w:color="auto"/>
        <w:bottom w:val="none" w:sz="0" w:space="0" w:color="auto"/>
        <w:right w:val="none" w:sz="0" w:space="0" w:color="auto"/>
      </w:divBdr>
    </w:div>
    <w:div w:id="1364136405">
      <w:bodyDiv w:val="1"/>
      <w:marLeft w:val="0"/>
      <w:marRight w:val="0"/>
      <w:marTop w:val="0"/>
      <w:marBottom w:val="0"/>
      <w:divBdr>
        <w:top w:val="none" w:sz="0" w:space="0" w:color="auto"/>
        <w:left w:val="none" w:sz="0" w:space="0" w:color="auto"/>
        <w:bottom w:val="none" w:sz="0" w:space="0" w:color="auto"/>
        <w:right w:val="none" w:sz="0" w:space="0" w:color="auto"/>
      </w:divBdr>
      <w:divsChild>
        <w:div w:id="1448235369">
          <w:marLeft w:val="0"/>
          <w:marRight w:val="0"/>
          <w:marTop w:val="0"/>
          <w:marBottom w:val="0"/>
          <w:divBdr>
            <w:top w:val="none" w:sz="0" w:space="0" w:color="auto"/>
            <w:left w:val="none" w:sz="0" w:space="0" w:color="auto"/>
            <w:bottom w:val="none" w:sz="0" w:space="0" w:color="auto"/>
            <w:right w:val="none" w:sz="0" w:space="0" w:color="auto"/>
          </w:divBdr>
          <w:divsChild>
            <w:div w:id="618071730">
              <w:marLeft w:val="0"/>
              <w:marRight w:val="0"/>
              <w:marTop w:val="0"/>
              <w:marBottom w:val="0"/>
              <w:divBdr>
                <w:top w:val="none" w:sz="0" w:space="0" w:color="auto"/>
                <w:left w:val="none" w:sz="0" w:space="0" w:color="auto"/>
                <w:bottom w:val="none" w:sz="0" w:space="0" w:color="auto"/>
                <w:right w:val="none" w:sz="0" w:space="0" w:color="auto"/>
              </w:divBdr>
              <w:divsChild>
                <w:div w:id="2713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01598">
      <w:bodyDiv w:val="1"/>
      <w:marLeft w:val="0"/>
      <w:marRight w:val="0"/>
      <w:marTop w:val="0"/>
      <w:marBottom w:val="0"/>
      <w:divBdr>
        <w:top w:val="none" w:sz="0" w:space="0" w:color="auto"/>
        <w:left w:val="none" w:sz="0" w:space="0" w:color="auto"/>
        <w:bottom w:val="none" w:sz="0" w:space="0" w:color="auto"/>
        <w:right w:val="none" w:sz="0" w:space="0" w:color="auto"/>
      </w:divBdr>
    </w:div>
    <w:div w:id="1463307757">
      <w:bodyDiv w:val="1"/>
      <w:marLeft w:val="0"/>
      <w:marRight w:val="0"/>
      <w:marTop w:val="0"/>
      <w:marBottom w:val="0"/>
      <w:divBdr>
        <w:top w:val="none" w:sz="0" w:space="0" w:color="auto"/>
        <w:left w:val="none" w:sz="0" w:space="0" w:color="auto"/>
        <w:bottom w:val="none" w:sz="0" w:space="0" w:color="auto"/>
        <w:right w:val="none" w:sz="0" w:space="0" w:color="auto"/>
      </w:divBdr>
      <w:divsChild>
        <w:div w:id="393549474">
          <w:marLeft w:val="0"/>
          <w:marRight w:val="0"/>
          <w:marTop w:val="0"/>
          <w:marBottom w:val="0"/>
          <w:divBdr>
            <w:top w:val="none" w:sz="0" w:space="0" w:color="auto"/>
            <w:left w:val="none" w:sz="0" w:space="0" w:color="auto"/>
            <w:bottom w:val="none" w:sz="0" w:space="0" w:color="auto"/>
            <w:right w:val="none" w:sz="0" w:space="0" w:color="auto"/>
          </w:divBdr>
          <w:divsChild>
            <w:div w:id="877813914">
              <w:marLeft w:val="0"/>
              <w:marRight w:val="0"/>
              <w:marTop w:val="0"/>
              <w:marBottom w:val="0"/>
              <w:divBdr>
                <w:top w:val="none" w:sz="0" w:space="0" w:color="auto"/>
                <w:left w:val="none" w:sz="0" w:space="0" w:color="auto"/>
                <w:bottom w:val="none" w:sz="0" w:space="0" w:color="auto"/>
                <w:right w:val="none" w:sz="0" w:space="0" w:color="auto"/>
              </w:divBdr>
              <w:divsChild>
                <w:div w:id="1388261741">
                  <w:marLeft w:val="0"/>
                  <w:marRight w:val="0"/>
                  <w:marTop w:val="0"/>
                  <w:marBottom w:val="0"/>
                  <w:divBdr>
                    <w:top w:val="none" w:sz="0" w:space="0" w:color="auto"/>
                    <w:left w:val="none" w:sz="0" w:space="0" w:color="auto"/>
                    <w:bottom w:val="none" w:sz="0" w:space="0" w:color="auto"/>
                    <w:right w:val="none" w:sz="0" w:space="0" w:color="auto"/>
                  </w:divBdr>
                  <w:divsChild>
                    <w:div w:id="763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599356">
      <w:bodyDiv w:val="1"/>
      <w:marLeft w:val="0"/>
      <w:marRight w:val="0"/>
      <w:marTop w:val="0"/>
      <w:marBottom w:val="0"/>
      <w:divBdr>
        <w:top w:val="none" w:sz="0" w:space="0" w:color="auto"/>
        <w:left w:val="none" w:sz="0" w:space="0" w:color="auto"/>
        <w:bottom w:val="none" w:sz="0" w:space="0" w:color="auto"/>
        <w:right w:val="none" w:sz="0" w:space="0" w:color="auto"/>
      </w:divBdr>
    </w:div>
    <w:div w:id="1514342112">
      <w:bodyDiv w:val="1"/>
      <w:marLeft w:val="0"/>
      <w:marRight w:val="0"/>
      <w:marTop w:val="0"/>
      <w:marBottom w:val="0"/>
      <w:divBdr>
        <w:top w:val="none" w:sz="0" w:space="0" w:color="auto"/>
        <w:left w:val="none" w:sz="0" w:space="0" w:color="auto"/>
        <w:bottom w:val="none" w:sz="0" w:space="0" w:color="auto"/>
        <w:right w:val="none" w:sz="0" w:space="0" w:color="auto"/>
      </w:divBdr>
    </w:div>
    <w:div w:id="1611736795">
      <w:bodyDiv w:val="1"/>
      <w:marLeft w:val="0"/>
      <w:marRight w:val="0"/>
      <w:marTop w:val="0"/>
      <w:marBottom w:val="0"/>
      <w:divBdr>
        <w:top w:val="none" w:sz="0" w:space="0" w:color="auto"/>
        <w:left w:val="none" w:sz="0" w:space="0" w:color="auto"/>
        <w:bottom w:val="none" w:sz="0" w:space="0" w:color="auto"/>
        <w:right w:val="none" w:sz="0" w:space="0" w:color="auto"/>
      </w:divBdr>
      <w:divsChild>
        <w:div w:id="543100628">
          <w:marLeft w:val="0"/>
          <w:marRight w:val="0"/>
          <w:marTop w:val="0"/>
          <w:marBottom w:val="0"/>
          <w:divBdr>
            <w:top w:val="none" w:sz="0" w:space="0" w:color="auto"/>
            <w:left w:val="none" w:sz="0" w:space="0" w:color="auto"/>
            <w:bottom w:val="none" w:sz="0" w:space="0" w:color="auto"/>
            <w:right w:val="none" w:sz="0" w:space="0" w:color="auto"/>
          </w:divBdr>
          <w:divsChild>
            <w:div w:id="1759911709">
              <w:marLeft w:val="0"/>
              <w:marRight w:val="0"/>
              <w:marTop w:val="0"/>
              <w:marBottom w:val="0"/>
              <w:divBdr>
                <w:top w:val="none" w:sz="0" w:space="0" w:color="auto"/>
                <w:left w:val="none" w:sz="0" w:space="0" w:color="auto"/>
                <w:bottom w:val="none" w:sz="0" w:space="0" w:color="auto"/>
                <w:right w:val="none" w:sz="0" w:space="0" w:color="auto"/>
              </w:divBdr>
              <w:divsChild>
                <w:div w:id="766925006">
                  <w:marLeft w:val="0"/>
                  <w:marRight w:val="0"/>
                  <w:marTop w:val="0"/>
                  <w:marBottom w:val="0"/>
                  <w:divBdr>
                    <w:top w:val="none" w:sz="0" w:space="0" w:color="auto"/>
                    <w:left w:val="none" w:sz="0" w:space="0" w:color="auto"/>
                    <w:bottom w:val="none" w:sz="0" w:space="0" w:color="auto"/>
                    <w:right w:val="none" w:sz="0" w:space="0" w:color="auto"/>
                  </w:divBdr>
                  <w:divsChild>
                    <w:div w:id="13792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1809">
      <w:bodyDiv w:val="1"/>
      <w:marLeft w:val="0"/>
      <w:marRight w:val="0"/>
      <w:marTop w:val="0"/>
      <w:marBottom w:val="0"/>
      <w:divBdr>
        <w:top w:val="none" w:sz="0" w:space="0" w:color="auto"/>
        <w:left w:val="none" w:sz="0" w:space="0" w:color="auto"/>
        <w:bottom w:val="none" w:sz="0" w:space="0" w:color="auto"/>
        <w:right w:val="none" w:sz="0" w:space="0" w:color="auto"/>
      </w:divBdr>
    </w:div>
    <w:div w:id="1662661458">
      <w:bodyDiv w:val="1"/>
      <w:marLeft w:val="0"/>
      <w:marRight w:val="0"/>
      <w:marTop w:val="0"/>
      <w:marBottom w:val="0"/>
      <w:divBdr>
        <w:top w:val="none" w:sz="0" w:space="0" w:color="auto"/>
        <w:left w:val="none" w:sz="0" w:space="0" w:color="auto"/>
        <w:bottom w:val="none" w:sz="0" w:space="0" w:color="auto"/>
        <w:right w:val="none" w:sz="0" w:space="0" w:color="auto"/>
      </w:divBdr>
    </w:div>
    <w:div w:id="1676226656">
      <w:bodyDiv w:val="1"/>
      <w:marLeft w:val="0"/>
      <w:marRight w:val="0"/>
      <w:marTop w:val="0"/>
      <w:marBottom w:val="0"/>
      <w:divBdr>
        <w:top w:val="none" w:sz="0" w:space="0" w:color="auto"/>
        <w:left w:val="none" w:sz="0" w:space="0" w:color="auto"/>
        <w:bottom w:val="none" w:sz="0" w:space="0" w:color="auto"/>
        <w:right w:val="none" w:sz="0" w:space="0" w:color="auto"/>
      </w:divBdr>
    </w:div>
    <w:div w:id="1823810999">
      <w:bodyDiv w:val="1"/>
      <w:marLeft w:val="0"/>
      <w:marRight w:val="0"/>
      <w:marTop w:val="0"/>
      <w:marBottom w:val="0"/>
      <w:divBdr>
        <w:top w:val="none" w:sz="0" w:space="0" w:color="auto"/>
        <w:left w:val="none" w:sz="0" w:space="0" w:color="auto"/>
        <w:bottom w:val="none" w:sz="0" w:space="0" w:color="auto"/>
        <w:right w:val="none" w:sz="0" w:space="0" w:color="auto"/>
      </w:divBdr>
    </w:div>
    <w:div w:id="1833058205">
      <w:bodyDiv w:val="1"/>
      <w:marLeft w:val="0"/>
      <w:marRight w:val="0"/>
      <w:marTop w:val="0"/>
      <w:marBottom w:val="0"/>
      <w:divBdr>
        <w:top w:val="none" w:sz="0" w:space="0" w:color="auto"/>
        <w:left w:val="none" w:sz="0" w:space="0" w:color="auto"/>
        <w:bottom w:val="none" w:sz="0" w:space="0" w:color="auto"/>
        <w:right w:val="none" w:sz="0" w:space="0" w:color="auto"/>
      </w:divBdr>
    </w:div>
    <w:div w:id="1835875135">
      <w:bodyDiv w:val="1"/>
      <w:marLeft w:val="0"/>
      <w:marRight w:val="0"/>
      <w:marTop w:val="0"/>
      <w:marBottom w:val="0"/>
      <w:divBdr>
        <w:top w:val="none" w:sz="0" w:space="0" w:color="auto"/>
        <w:left w:val="none" w:sz="0" w:space="0" w:color="auto"/>
        <w:bottom w:val="none" w:sz="0" w:space="0" w:color="auto"/>
        <w:right w:val="none" w:sz="0" w:space="0" w:color="auto"/>
      </w:divBdr>
      <w:divsChild>
        <w:div w:id="1573269236">
          <w:marLeft w:val="0"/>
          <w:marRight w:val="0"/>
          <w:marTop w:val="0"/>
          <w:marBottom w:val="0"/>
          <w:divBdr>
            <w:top w:val="none" w:sz="0" w:space="0" w:color="auto"/>
            <w:left w:val="none" w:sz="0" w:space="0" w:color="auto"/>
            <w:bottom w:val="none" w:sz="0" w:space="0" w:color="auto"/>
            <w:right w:val="none" w:sz="0" w:space="0" w:color="auto"/>
          </w:divBdr>
          <w:divsChild>
            <w:div w:id="1179196600">
              <w:marLeft w:val="0"/>
              <w:marRight w:val="0"/>
              <w:marTop w:val="0"/>
              <w:marBottom w:val="0"/>
              <w:divBdr>
                <w:top w:val="none" w:sz="0" w:space="0" w:color="auto"/>
                <w:left w:val="none" w:sz="0" w:space="0" w:color="auto"/>
                <w:bottom w:val="none" w:sz="0" w:space="0" w:color="auto"/>
                <w:right w:val="none" w:sz="0" w:space="0" w:color="auto"/>
              </w:divBdr>
              <w:divsChild>
                <w:div w:id="1248077251">
                  <w:marLeft w:val="0"/>
                  <w:marRight w:val="0"/>
                  <w:marTop w:val="0"/>
                  <w:marBottom w:val="0"/>
                  <w:divBdr>
                    <w:top w:val="none" w:sz="0" w:space="0" w:color="auto"/>
                    <w:left w:val="none" w:sz="0" w:space="0" w:color="auto"/>
                    <w:bottom w:val="none" w:sz="0" w:space="0" w:color="auto"/>
                    <w:right w:val="none" w:sz="0" w:space="0" w:color="auto"/>
                  </w:divBdr>
                  <w:divsChild>
                    <w:div w:id="20077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468370">
      <w:bodyDiv w:val="1"/>
      <w:marLeft w:val="0"/>
      <w:marRight w:val="0"/>
      <w:marTop w:val="0"/>
      <w:marBottom w:val="0"/>
      <w:divBdr>
        <w:top w:val="none" w:sz="0" w:space="0" w:color="auto"/>
        <w:left w:val="none" w:sz="0" w:space="0" w:color="auto"/>
        <w:bottom w:val="none" w:sz="0" w:space="0" w:color="auto"/>
        <w:right w:val="none" w:sz="0" w:space="0" w:color="auto"/>
      </w:divBdr>
    </w:div>
    <w:div w:id="1869248915">
      <w:bodyDiv w:val="1"/>
      <w:marLeft w:val="0"/>
      <w:marRight w:val="0"/>
      <w:marTop w:val="0"/>
      <w:marBottom w:val="0"/>
      <w:divBdr>
        <w:top w:val="none" w:sz="0" w:space="0" w:color="auto"/>
        <w:left w:val="none" w:sz="0" w:space="0" w:color="auto"/>
        <w:bottom w:val="none" w:sz="0" w:space="0" w:color="auto"/>
        <w:right w:val="none" w:sz="0" w:space="0" w:color="auto"/>
      </w:divBdr>
    </w:div>
    <w:div w:id="1873880162">
      <w:bodyDiv w:val="1"/>
      <w:marLeft w:val="0"/>
      <w:marRight w:val="0"/>
      <w:marTop w:val="0"/>
      <w:marBottom w:val="0"/>
      <w:divBdr>
        <w:top w:val="none" w:sz="0" w:space="0" w:color="auto"/>
        <w:left w:val="none" w:sz="0" w:space="0" w:color="auto"/>
        <w:bottom w:val="none" w:sz="0" w:space="0" w:color="auto"/>
        <w:right w:val="none" w:sz="0" w:space="0" w:color="auto"/>
      </w:divBdr>
    </w:div>
    <w:div w:id="1897206081">
      <w:bodyDiv w:val="1"/>
      <w:marLeft w:val="0"/>
      <w:marRight w:val="0"/>
      <w:marTop w:val="0"/>
      <w:marBottom w:val="0"/>
      <w:divBdr>
        <w:top w:val="none" w:sz="0" w:space="0" w:color="auto"/>
        <w:left w:val="none" w:sz="0" w:space="0" w:color="auto"/>
        <w:bottom w:val="none" w:sz="0" w:space="0" w:color="auto"/>
        <w:right w:val="none" w:sz="0" w:space="0" w:color="auto"/>
      </w:divBdr>
      <w:divsChild>
        <w:div w:id="1077559407">
          <w:marLeft w:val="0"/>
          <w:marRight w:val="0"/>
          <w:marTop w:val="0"/>
          <w:marBottom w:val="0"/>
          <w:divBdr>
            <w:top w:val="none" w:sz="0" w:space="0" w:color="auto"/>
            <w:left w:val="none" w:sz="0" w:space="0" w:color="auto"/>
            <w:bottom w:val="none" w:sz="0" w:space="0" w:color="auto"/>
            <w:right w:val="none" w:sz="0" w:space="0" w:color="auto"/>
          </w:divBdr>
          <w:divsChild>
            <w:div w:id="233516117">
              <w:marLeft w:val="0"/>
              <w:marRight w:val="0"/>
              <w:marTop w:val="0"/>
              <w:marBottom w:val="0"/>
              <w:divBdr>
                <w:top w:val="none" w:sz="0" w:space="0" w:color="auto"/>
                <w:left w:val="none" w:sz="0" w:space="0" w:color="auto"/>
                <w:bottom w:val="none" w:sz="0" w:space="0" w:color="auto"/>
                <w:right w:val="none" w:sz="0" w:space="0" w:color="auto"/>
              </w:divBdr>
              <w:divsChild>
                <w:div w:id="18190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6542">
      <w:bodyDiv w:val="1"/>
      <w:marLeft w:val="0"/>
      <w:marRight w:val="0"/>
      <w:marTop w:val="0"/>
      <w:marBottom w:val="0"/>
      <w:divBdr>
        <w:top w:val="none" w:sz="0" w:space="0" w:color="auto"/>
        <w:left w:val="none" w:sz="0" w:space="0" w:color="auto"/>
        <w:bottom w:val="none" w:sz="0" w:space="0" w:color="auto"/>
        <w:right w:val="none" w:sz="0" w:space="0" w:color="auto"/>
      </w:divBdr>
      <w:divsChild>
        <w:div w:id="1448508044">
          <w:marLeft w:val="0"/>
          <w:marRight w:val="0"/>
          <w:marTop w:val="0"/>
          <w:marBottom w:val="0"/>
          <w:divBdr>
            <w:top w:val="none" w:sz="0" w:space="0" w:color="auto"/>
            <w:left w:val="none" w:sz="0" w:space="0" w:color="auto"/>
            <w:bottom w:val="none" w:sz="0" w:space="0" w:color="auto"/>
            <w:right w:val="none" w:sz="0" w:space="0" w:color="auto"/>
          </w:divBdr>
          <w:divsChild>
            <w:div w:id="2073304739">
              <w:marLeft w:val="0"/>
              <w:marRight w:val="0"/>
              <w:marTop w:val="0"/>
              <w:marBottom w:val="0"/>
              <w:divBdr>
                <w:top w:val="none" w:sz="0" w:space="0" w:color="auto"/>
                <w:left w:val="none" w:sz="0" w:space="0" w:color="auto"/>
                <w:bottom w:val="none" w:sz="0" w:space="0" w:color="auto"/>
                <w:right w:val="none" w:sz="0" w:space="0" w:color="auto"/>
              </w:divBdr>
              <w:divsChild>
                <w:div w:id="8696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5358">
      <w:bodyDiv w:val="1"/>
      <w:marLeft w:val="0"/>
      <w:marRight w:val="0"/>
      <w:marTop w:val="0"/>
      <w:marBottom w:val="0"/>
      <w:divBdr>
        <w:top w:val="none" w:sz="0" w:space="0" w:color="auto"/>
        <w:left w:val="none" w:sz="0" w:space="0" w:color="auto"/>
        <w:bottom w:val="none" w:sz="0" w:space="0" w:color="auto"/>
        <w:right w:val="none" w:sz="0" w:space="0" w:color="auto"/>
      </w:divBdr>
    </w:div>
    <w:div w:id="2006086706">
      <w:bodyDiv w:val="1"/>
      <w:marLeft w:val="0"/>
      <w:marRight w:val="0"/>
      <w:marTop w:val="0"/>
      <w:marBottom w:val="0"/>
      <w:divBdr>
        <w:top w:val="none" w:sz="0" w:space="0" w:color="auto"/>
        <w:left w:val="none" w:sz="0" w:space="0" w:color="auto"/>
        <w:bottom w:val="none" w:sz="0" w:space="0" w:color="auto"/>
        <w:right w:val="none" w:sz="0" w:space="0" w:color="auto"/>
      </w:divBdr>
    </w:div>
    <w:div w:id="2016179087">
      <w:bodyDiv w:val="1"/>
      <w:marLeft w:val="0"/>
      <w:marRight w:val="0"/>
      <w:marTop w:val="0"/>
      <w:marBottom w:val="0"/>
      <w:divBdr>
        <w:top w:val="none" w:sz="0" w:space="0" w:color="auto"/>
        <w:left w:val="none" w:sz="0" w:space="0" w:color="auto"/>
        <w:bottom w:val="none" w:sz="0" w:space="0" w:color="auto"/>
        <w:right w:val="none" w:sz="0" w:space="0" w:color="auto"/>
      </w:divBdr>
    </w:div>
    <w:div w:id="2044675053">
      <w:bodyDiv w:val="1"/>
      <w:marLeft w:val="0"/>
      <w:marRight w:val="0"/>
      <w:marTop w:val="0"/>
      <w:marBottom w:val="0"/>
      <w:divBdr>
        <w:top w:val="none" w:sz="0" w:space="0" w:color="auto"/>
        <w:left w:val="none" w:sz="0" w:space="0" w:color="auto"/>
        <w:bottom w:val="none" w:sz="0" w:space="0" w:color="auto"/>
        <w:right w:val="none" w:sz="0" w:space="0" w:color="auto"/>
      </w:divBdr>
    </w:div>
    <w:div w:id="2045013498">
      <w:bodyDiv w:val="1"/>
      <w:marLeft w:val="0"/>
      <w:marRight w:val="0"/>
      <w:marTop w:val="0"/>
      <w:marBottom w:val="0"/>
      <w:divBdr>
        <w:top w:val="none" w:sz="0" w:space="0" w:color="auto"/>
        <w:left w:val="none" w:sz="0" w:space="0" w:color="auto"/>
        <w:bottom w:val="none" w:sz="0" w:space="0" w:color="auto"/>
        <w:right w:val="none" w:sz="0" w:space="0" w:color="auto"/>
      </w:divBdr>
    </w:div>
    <w:div w:id="2079861869">
      <w:bodyDiv w:val="1"/>
      <w:marLeft w:val="0"/>
      <w:marRight w:val="0"/>
      <w:marTop w:val="0"/>
      <w:marBottom w:val="0"/>
      <w:divBdr>
        <w:top w:val="none" w:sz="0" w:space="0" w:color="auto"/>
        <w:left w:val="none" w:sz="0" w:space="0" w:color="auto"/>
        <w:bottom w:val="none" w:sz="0" w:space="0" w:color="auto"/>
        <w:right w:val="none" w:sz="0" w:space="0" w:color="auto"/>
      </w:divBdr>
    </w:div>
    <w:div w:id="2112504013">
      <w:bodyDiv w:val="1"/>
      <w:marLeft w:val="0"/>
      <w:marRight w:val="0"/>
      <w:marTop w:val="0"/>
      <w:marBottom w:val="0"/>
      <w:divBdr>
        <w:top w:val="none" w:sz="0" w:space="0" w:color="auto"/>
        <w:left w:val="none" w:sz="0" w:space="0" w:color="auto"/>
        <w:bottom w:val="none" w:sz="0" w:space="0" w:color="auto"/>
        <w:right w:val="none" w:sz="0" w:space="0" w:color="auto"/>
      </w:divBdr>
      <w:divsChild>
        <w:div w:id="1512379686">
          <w:marLeft w:val="0"/>
          <w:marRight w:val="0"/>
          <w:marTop w:val="0"/>
          <w:marBottom w:val="0"/>
          <w:divBdr>
            <w:top w:val="none" w:sz="0" w:space="0" w:color="auto"/>
            <w:left w:val="none" w:sz="0" w:space="0" w:color="auto"/>
            <w:bottom w:val="none" w:sz="0" w:space="0" w:color="auto"/>
            <w:right w:val="none" w:sz="0" w:space="0" w:color="auto"/>
          </w:divBdr>
        </w:div>
        <w:div w:id="1899239334">
          <w:marLeft w:val="0"/>
          <w:marRight w:val="0"/>
          <w:marTop w:val="0"/>
          <w:marBottom w:val="0"/>
          <w:divBdr>
            <w:top w:val="none" w:sz="0" w:space="0" w:color="auto"/>
            <w:left w:val="none" w:sz="0" w:space="0" w:color="auto"/>
            <w:bottom w:val="none" w:sz="0" w:space="0" w:color="auto"/>
            <w:right w:val="none" w:sz="0" w:space="0" w:color="auto"/>
          </w:divBdr>
        </w:div>
        <w:div w:id="1550654567">
          <w:marLeft w:val="0"/>
          <w:marRight w:val="0"/>
          <w:marTop w:val="0"/>
          <w:marBottom w:val="0"/>
          <w:divBdr>
            <w:top w:val="none" w:sz="0" w:space="0" w:color="auto"/>
            <w:left w:val="none" w:sz="0" w:space="0" w:color="auto"/>
            <w:bottom w:val="none" w:sz="0" w:space="0" w:color="auto"/>
            <w:right w:val="none" w:sz="0" w:space="0" w:color="auto"/>
          </w:divBdr>
        </w:div>
        <w:div w:id="622811530">
          <w:marLeft w:val="0"/>
          <w:marRight w:val="0"/>
          <w:marTop w:val="0"/>
          <w:marBottom w:val="0"/>
          <w:divBdr>
            <w:top w:val="none" w:sz="0" w:space="0" w:color="auto"/>
            <w:left w:val="none" w:sz="0" w:space="0" w:color="auto"/>
            <w:bottom w:val="none" w:sz="0" w:space="0" w:color="auto"/>
            <w:right w:val="none" w:sz="0" w:space="0" w:color="auto"/>
          </w:divBdr>
        </w:div>
        <w:div w:id="955713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ooijen@rvc.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431F6-9A7C-4A3E-90B8-BE48E171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26087</Words>
  <Characters>148696</Characters>
  <Application>Microsoft Office Word</Application>
  <DocSecurity>0</DocSecurity>
  <Lines>1239</Lines>
  <Paragraphs>348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Looijen, Maty Georgette Pety</dc:creator>
  <cp:keywords/>
  <dc:description/>
  <cp:lastModifiedBy>Looijen, Maty Georgette Pety</cp:lastModifiedBy>
  <cp:revision>2</cp:revision>
  <cp:lastPrinted>2020-11-10T00:17:00Z</cp:lastPrinted>
  <dcterms:created xsi:type="dcterms:W3CDTF">2021-07-03T12:31:00Z</dcterms:created>
  <dcterms:modified xsi:type="dcterms:W3CDTF">2021-07-03T12:31:00Z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d6ae39b0-229e-3e14-b827-6935cdd92b9e</vt:lpwstr>
  </property>
  <property fmtid="{D5CDD505-2E9C-101B-9397-08002B2CF9AE}" pid="24" name="Mendeley Citation Style_1">
    <vt:lpwstr>http://www.zotero.org/styles/vancouver</vt:lpwstr>
  </property>
</Properties>
</file>