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B7B7" w14:textId="7EA6C0D0" w:rsidR="000A106E" w:rsidRPr="0097679B" w:rsidRDefault="000A106E" w:rsidP="000A106E">
      <w:pPr>
        <w:shd w:val="clear" w:color="auto" w:fill="FFFFFF"/>
        <w:spacing w:before="100" w:beforeAutospacing="1" w:after="100" w:afterAutospacing="1" w:line="240" w:lineRule="auto"/>
        <w:rPr>
          <w:rFonts w:ascii="Arial" w:eastAsia="Times New Roman" w:hAnsi="Arial" w:cs="Arial"/>
          <w:color w:val="1C1D1E"/>
          <w:sz w:val="20"/>
          <w:szCs w:val="20"/>
          <w:lang w:eastAsia="en-GB"/>
        </w:rPr>
      </w:pPr>
      <w:r w:rsidRPr="0097679B">
        <w:rPr>
          <w:rFonts w:ascii="Arial" w:eastAsia="Times New Roman" w:hAnsi="Arial" w:cs="Arial"/>
          <w:color w:val="1C1D1E"/>
          <w:sz w:val="20"/>
          <w:szCs w:val="20"/>
          <w:lang w:eastAsia="en-GB"/>
        </w:rPr>
        <w:t xml:space="preserve">Predictors of laminitis development in </w:t>
      </w:r>
      <w:r w:rsidR="00B64213" w:rsidRPr="0097679B">
        <w:rPr>
          <w:rFonts w:ascii="Arial" w:eastAsia="Times New Roman" w:hAnsi="Arial" w:cs="Arial"/>
          <w:color w:val="1C1D1E"/>
          <w:sz w:val="20"/>
          <w:szCs w:val="20"/>
          <w:lang w:eastAsia="en-GB"/>
        </w:rPr>
        <w:t xml:space="preserve">a cohort of </w:t>
      </w:r>
      <w:r w:rsidRPr="0097679B">
        <w:rPr>
          <w:rFonts w:ascii="Arial" w:eastAsia="Times New Roman" w:hAnsi="Arial" w:cs="Arial"/>
          <w:color w:val="1C1D1E"/>
          <w:sz w:val="20"/>
          <w:szCs w:val="20"/>
          <w:lang w:eastAsia="en-GB"/>
        </w:rPr>
        <w:t>non-laminitic ponies</w:t>
      </w:r>
    </w:p>
    <w:p w14:paraId="212AD7D3" w14:textId="2E9A6468" w:rsidR="007D5CF4" w:rsidRDefault="007D5CF4" w:rsidP="006B300A">
      <w:pPr>
        <w:shd w:val="clear" w:color="auto" w:fill="FFFFFF"/>
        <w:spacing w:before="100" w:beforeAutospacing="1" w:after="100" w:afterAutospacing="1" w:line="240" w:lineRule="auto"/>
        <w:rPr>
          <w:rFonts w:ascii="Arial" w:eastAsia="Times New Roman" w:hAnsi="Arial" w:cs="Arial"/>
          <w:bCs/>
          <w:color w:val="1C1D1E"/>
          <w:sz w:val="20"/>
          <w:szCs w:val="20"/>
          <w:lang w:eastAsia="en-GB"/>
        </w:rPr>
      </w:pPr>
      <w:r w:rsidRPr="0097679B">
        <w:rPr>
          <w:rFonts w:ascii="Arial" w:eastAsia="Times New Roman" w:hAnsi="Arial" w:cs="Arial"/>
          <w:bCs/>
          <w:color w:val="1C1D1E"/>
          <w:sz w:val="20"/>
          <w:szCs w:val="20"/>
          <w:lang w:eastAsia="en-GB"/>
        </w:rPr>
        <w:t>Knowles, E.J.,</w:t>
      </w:r>
      <w:r w:rsidR="00183C50">
        <w:rPr>
          <w:rFonts w:ascii="Arial" w:eastAsia="Times New Roman" w:hAnsi="Arial" w:cs="Arial"/>
          <w:bCs/>
          <w:color w:val="1C1D1E"/>
          <w:sz w:val="20"/>
          <w:szCs w:val="20"/>
          <w:lang w:eastAsia="en-GB"/>
        </w:rPr>
        <w:t xml:space="preserve"> </w:t>
      </w:r>
      <w:r w:rsidR="0017698B">
        <w:rPr>
          <w:rFonts w:ascii="Arial" w:eastAsia="Times New Roman" w:hAnsi="Arial" w:cs="Arial"/>
          <w:bCs/>
          <w:color w:val="1C1D1E"/>
          <w:sz w:val="20"/>
          <w:szCs w:val="20"/>
          <w:lang w:eastAsia="en-GB"/>
        </w:rPr>
        <w:t>Elliott. J.,</w:t>
      </w:r>
      <w:r w:rsidRPr="0097679B">
        <w:rPr>
          <w:rFonts w:ascii="Arial" w:eastAsia="Times New Roman" w:hAnsi="Arial" w:cs="Arial"/>
          <w:bCs/>
          <w:color w:val="1C1D1E"/>
          <w:sz w:val="20"/>
          <w:szCs w:val="20"/>
          <w:lang w:eastAsia="en-GB"/>
        </w:rPr>
        <w:t xml:space="preserve"> Harris, P.A., Chang, Y.M. and</w:t>
      </w:r>
      <w:r w:rsidR="00183C50">
        <w:rPr>
          <w:rFonts w:ascii="Arial" w:eastAsia="Times New Roman" w:hAnsi="Arial" w:cs="Arial"/>
          <w:bCs/>
          <w:color w:val="1C1D1E"/>
          <w:sz w:val="20"/>
          <w:szCs w:val="20"/>
          <w:lang w:eastAsia="en-GB"/>
        </w:rPr>
        <w:t xml:space="preserve"> </w:t>
      </w:r>
      <w:r w:rsidR="00183C50" w:rsidRPr="0097679B">
        <w:rPr>
          <w:rFonts w:ascii="Arial" w:eastAsia="Times New Roman" w:hAnsi="Arial" w:cs="Arial"/>
          <w:bCs/>
          <w:color w:val="1C1D1E"/>
          <w:sz w:val="20"/>
          <w:szCs w:val="20"/>
          <w:lang w:eastAsia="en-GB"/>
        </w:rPr>
        <w:t>Menzies-Gow, N.J</w:t>
      </w:r>
      <w:r w:rsidRPr="0097679B">
        <w:rPr>
          <w:rFonts w:ascii="Arial" w:eastAsia="Times New Roman" w:hAnsi="Arial" w:cs="Arial"/>
          <w:bCs/>
          <w:color w:val="1C1D1E"/>
          <w:sz w:val="20"/>
          <w:szCs w:val="20"/>
          <w:lang w:eastAsia="en-GB"/>
        </w:rPr>
        <w:t>.</w:t>
      </w:r>
    </w:p>
    <w:p w14:paraId="740AB18F" w14:textId="77777777" w:rsidR="00606BB8" w:rsidRPr="0097679B" w:rsidRDefault="00606BB8" w:rsidP="006B300A">
      <w:pPr>
        <w:shd w:val="clear" w:color="auto" w:fill="FFFFFF"/>
        <w:spacing w:before="100" w:beforeAutospacing="1" w:after="100" w:afterAutospacing="1" w:line="240" w:lineRule="auto"/>
        <w:rPr>
          <w:rFonts w:ascii="Arial" w:eastAsia="Times New Roman" w:hAnsi="Arial" w:cs="Arial"/>
          <w:bCs/>
          <w:color w:val="1C1D1E"/>
          <w:sz w:val="20"/>
          <w:szCs w:val="20"/>
          <w:lang w:eastAsia="en-GB"/>
        </w:rPr>
      </w:pPr>
    </w:p>
    <w:p w14:paraId="1672ECAB" w14:textId="77777777" w:rsidR="00F206C0" w:rsidRPr="0097679B" w:rsidRDefault="00F206C0"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97679B">
        <w:rPr>
          <w:rFonts w:ascii="Arial" w:eastAsia="Times New Roman" w:hAnsi="Arial" w:cs="Arial"/>
          <w:b/>
          <w:color w:val="1C1D1E"/>
          <w:sz w:val="20"/>
          <w:szCs w:val="20"/>
          <w:lang w:eastAsia="en-GB"/>
        </w:rPr>
        <w:t xml:space="preserve">Background: </w:t>
      </w:r>
      <w:r w:rsidRPr="0097679B">
        <w:rPr>
          <w:rFonts w:ascii="Arial" w:eastAsia="Times New Roman" w:hAnsi="Arial" w:cs="Arial"/>
          <w:color w:val="1C1D1E"/>
          <w:sz w:val="20"/>
          <w:szCs w:val="20"/>
          <w:lang w:eastAsia="en-GB"/>
        </w:rPr>
        <w:t>Quantifying the risk of laminitis development requires improvement.</w:t>
      </w:r>
    </w:p>
    <w:p w14:paraId="267917A5" w14:textId="43742AAB" w:rsidR="00F206C0" w:rsidRPr="0097679B" w:rsidRDefault="00F206C0"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97679B">
        <w:rPr>
          <w:rFonts w:ascii="Arial" w:eastAsia="Times New Roman" w:hAnsi="Arial" w:cs="Arial"/>
          <w:b/>
          <w:color w:val="1C1D1E"/>
          <w:sz w:val="20"/>
          <w:szCs w:val="20"/>
          <w:lang w:eastAsia="en-GB"/>
        </w:rPr>
        <w:t xml:space="preserve">Objectives: </w:t>
      </w:r>
      <w:r w:rsidRPr="0097679B">
        <w:rPr>
          <w:rFonts w:ascii="Arial" w:eastAsia="Times New Roman" w:hAnsi="Arial" w:cs="Arial"/>
          <w:color w:val="1C1D1E"/>
          <w:sz w:val="20"/>
          <w:szCs w:val="20"/>
          <w:lang w:eastAsia="en-GB"/>
        </w:rPr>
        <w:t>To identify the most useful physical</w:t>
      </w:r>
      <w:r w:rsidR="00A6780B">
        <w:rPr>
          <w:rFonts w:ascii="Arial" w:eastAsia="Times New Roman" w:hAnsi="Arial" w:cs="Arial"/>
          <w:color w:val="1C1D1E"/>
          <w:sz w:val="20"/>
          <w:szCs w:val="20"/>
          <w:lang w:eastAsia="en-GB"/>
        </w:rPr>
        <w:t xml:space="preserve"> examination</w:t>
      </w:r>
      <w:r w:rsidRPr="0097679B">
        <w:rPr>
          <w:rFonts w:ascii="Arial" w:eastAsia="Times New Roman" w:hAnsi="Arial" w:cs="Arial"/>
          <w:color w:val="1C1D1E"/>
          <w:sz w:val="20"/>
          <w:szCs w:val="20"/>
          <w:lang w:eastAsia="en-GB"/>
        </w:rPr>
        <w:t>, metabolic an</w:t>
      </w:r>
      <w:r w:rsidR="00F427EF">
        <w:rPr>
          <w:rFonts w:ascii="Arial" w:eastAsia="Times New Roman" w:hAnsi="Arial" w:cs="Arial"/>
          <w:color w:val="1C1D1E"/>
          <w:sz w:val="20"/>
          <w:szCs w:val="20"/>
          <w:lang w:eastAsia="en-GB"/>
        </w:rPr>
        <w:t xml:space="preserve">d management factors to predict future </w:t>
      </w:r>
      <w:r w:rsidRPr="0097679B">
        <w:rPr>
          <w:rFonts w:ascii="Arial" w:eastAsia="Times New Roman" w:hAnsi="Arial" w:cs="Arial"/>
          <w:color w:val="1C1D1E"/>
          <w:sz w:val="20"/>
          <w:szCs w:val="20"/>
          <w:lang w:eastAsia="en-GB"/>
        </w:rPr>
        <w:t xml:space="preserve">laminitis development in </w:t>
      </w:r>
      <w:r w:rsidR="005E1532" w:rsidRPr="0097679B">
        <w:rPr>
          <w:rFonts w:ascii="Arial" w:eastAsia="Times New Roman" w:hAnsi="Arial" w:cs="Arial"/>
          <w:color w:val="1C1D1E"/>
          <w:sz w:val="20"/>
          <w:szCs w:val="20"/>
          <w:lang w:eastAsia="en-GB"/>
        </w:rPr>
        <w:t xml:space="preserve">client-owned, </w:t>
      </w:r>
      <w:r w:rsidR="00F427EF">
        <w:rPr>
          <w:rFonts w:ascii="Arial" w:eastAsia="Times New Roman" w:hAnsi="Arial" w:cs="Arial"/>
          <w:color w:val="1C1D1E"/>
          <w:sz w:val="20"/>
          <w:szCs w:val="20"/>
          <w:lang w:eastAsia="en-GB"/>
        </w:rPr>
        <w:t>non-laminitic ponies.</w:t>
      </w:r>
    </w:p>
    <w:p w14:paraId="4826BB1D" w14:textId="0AEF04CC" w:rsidR="00F206C0" w:rsidRPr="0097679B" w:rsidRDefault="001916AE"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97679B">
        <w:rPr>
          <w:rFonts w:ascii="Arial" w:eastAsia="Times New Roman" w:hAnsi="Arial" w:cs="Arial"/>
          <w:b/>
          <w:color w:val="1C1D1E"/>
          <w:sz w:val="20"/>
          <w:szCs w:val="20"/>
          <w:lang w:eastAsia="en-GB"/>
        </w:rPr>
        <w:t>Study d</w:t>
      </w:r>
      <w:r w:rsidR="00F206C0" w:rsidRPr="0097679B">
        <w:rPr>
          <w:rFonts w:ascii="Arial" w:eastAsia="Times New Roman" w:hAnsi="Arial" w:cs="Arial"/>
          <w:b/>
          <w:color w:val="1C1D1E"/>
          <w:sz w:val="20"/>
          <w:szCs w:val="20"/>
          <w:lang w:eastAsia="en-GB"/>
        </w:rPr>
        <w:t xml:space="preserve">esign: </w:t>
      </w:r>
      <w:r w:rsidR="00F206C0" w:rsidRPr="0097679B">
        <w:rPr>
          <w:rFonts w:ascii="Arial" w:eastAsia="Times New Roman" w:hAnsi="Arial" w:cs="Arial"/>
          <w:color w:val="1C1D1E"/>
          <w:sz w:val="20"/>
          <w:szCs w:val="20"/>
          <w:lang w:eastAsia="en-GB"/>
        </w:rPr>
        <w:t>Prospective cohort</w:t>
      </w:r>
    </w:p>
    <w:p w14:paraId="00715892" w14:textId="7F8117E7" w:rsidR="001916AE" w:rsidRPr="0097679B" w:rsidRDefault="00F206C0"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97679B">
        <w:rPr>
          <w:rFonts w:ascii="Arial" w:eastAsia="Times New Roman" w:hAnsi="Arial" w:cs="Arial"/>
          <w:b/>
          <w:color w:val="1C1D1E"/>
          <w:sz w:val="20"/>
          <w:szCs w:val="20"/>
          <w:lang w:eastAsia="en-GB"/>
        </w:rPr>
        <w:t xml:space="preserve">Methods: </w:t>
      </w:r>
      <w:r w:rsidRPr="0097679B">
        <w:rPr>
          <w:rFonts w:ascii="Arial" w:eastAsia="Times New Roman" w:hAnsi="Arial" w:cs="Arial"/>
          <w:color w:val="1C1D1E"/>
          <w:sz w:val="20"/>
          <w:szCs w:val="20"/>
          <w:lang w:eastAsia="en-GB"/>
        </w:rPr>
        <w:t>Physical</w:t>
      </w:r>
      <w:r w:rsidR="00A6780B">
        <w:rPr>
          <w:rFonts w:ascii="Arial" w:eastAsia="Times New Roman" w:hAnsi="Arial" w:cs="Arial"/>
          <w:color w:val="1C1D1E"/>
          <w:sz w:val="20"/>
          <w:szCs w:val="20"/>
          <w:lang w:eastAsia="en-GB"/>
        </w:rPr>
        <w:t xml:space="preserve"> examination</w:t>
      </w:r>
      <w:r w:rsidRPr="0097679B">
        <w:rPr>
          <w:rFonts w:ascii="Arial" w:eastAsia="Times New Roman" w:hAnsi="Arial" w:cs="Arial"/>
          <w:color w:val="1C1D1E"/>
          <w:sz w:val="20"/>
          <w:szCs w:val="20"/>
          <w:lang w:eastAsia="en-GB"/>
        </w:rPr>
        <w:t>, metabolic and management data were collect</w:t>
      </w:r>
      <w:r w:rsidR="00F427EF">
        <w:rPr>
          <w:rFonts w:ascii="Arial" w:eastAsia="Times New Roman" w:hAnsi="Arial" w:cs="Arial"/>
          <w:color w:val="1C1D1E"/>
          <w:sz w:val="20"/>
          <w:szCs w:val="20"/>
          <w:lang w:eastAsia="en-GB"/>
        </w:rPr>
        <w:t>ed from a cohort of ponies six-monthly</w:t>
      </w:r>
      <w:r w:rsidRPr="0097679B">
        <w:rPr>
          <w:rFonts w:ascii="Arial" w:eastAsia="Times New Roman" w:hAnsi="Arial" w:cs="Arial"/>
          <w:color w:val="1C1D1E"/>
          <w:sz w:val="20"/>
          <w:szCs w:val="20"/>
          <w:lang w:eastAsia="en-GB"/>
        </w:rPr>
        <w:t xml:space="preserve"> for up to four years. Ponies were monitored for the development of laminitis. Metabolic data included basal plasma concentrations of </w:t>
      </w:r>
      <w:r w:rsidR="00525CF1" w:rsidRPr="0097679B">
        <w:rPr>
          <w:rFonts w:ascii="Arial" w:eastAsia="Times New Roman" w:hAnsi="Arial" w:cs="Arial"/>
          <w:color w:val="1C1D1E"/>
          <w:sz w:val="20"/>
          <w:szCs w:val="20"/>
          <w:lang w:eastAsia="en-GB"/>
        </w:rPr>
        <w:t>ACTH</w:t>
      </w:r>
      <w:r w:rsidR="005E1532" w:rsidRPr="0097679B">
        <w:rPr>
          <w:rFonts w:ascii="Arial" w:eastAsia="Times New Roman" w:hAnsi="Arial" w:cs="Arial"/>
          <w:color w:val="1C1D1E"/>
          <w:sz w:val="20"/>
          <w:szCs w:val="20"/>
          <w:lang w:eastAsia="en-GB"/>
        </w:rPr>
        <w:t xml:space="preserve"> ([ACTH])</w:t>
      </w:r>
      <w:r w:rsidR="00525CF1" w:rsidRPr="0097679B">
        <w:rPr>
          <w:rFonts w:ascii="Arial" w:eastAsia="Times New Roman" w:hAnsi="Arial" w:cs="Arial"/>
          <w:color w:val="1C1D1E"/>
          <w:sz w:val="20"/>
          <w:szCs w:val="20"/>
          <w:lang w:eastAsia="en-GB"/>
        </w:rPr>
        <w:t xml:space="preserve">, </w:t>
      </w:r>
      <w:r w:rsidR="005E1532" w:rsidRPr="0097679B">
        <w:rPr>
          <w:rFonts w:ascii="Arial" w:eastAsia="Times New Roman" w:hAnsi="Arial" w:cs="Arial"/>
          <w:color w:val="1C1D1E"/>
          <w:sz w:val="20"/>
          <w:szCs w:val="20"/>
          <w:lang w:eastAsia="en-GB"/>
        </w:rPr>
        <w:t>adiponectin ([adiponectin])</w:t>
      </w:r>
      <w:r w:rsidR="00525CF1" w:rsidRPr="0097679B">
        <w:rPr>
          <w:rFonts w:ascii="Arial" w:eastAsia="Times New Roman" w:hAnsi="Arial" w:cs="Arial"/>
          <w:color w:val="1C1D1E"/>
          <w:sz w:val="20"/>
          <w:szCs w:val="20"/>
          <w:lang w:eastAsia="en-GB"/>
        </w:rPr>
        <w:t xml:space="preserve">, triglycerides and glucose. </w:t>
      </w:r>
      <w:r w:rsidR="001916AE" w:rsidRPr="0097679B">
        <w:rPr>
          <w:rFonts w:ascii="Arial" w:eastAsia="Times New Roman" w:hAnsi="Arial" w:cs="Arial"/>
          <w:color w:val="1C1D1E"/>
          <w:sz w:val="20"/>
          <w:szCs w:val="20"/>
          <w:lang w:eastAsia="en-GB"/>
        </w:rPr>
        <w:t xml:space="preserve">Serum insulin concentrations ([insulin]) </w:t>
      </w:r>
      <w:r w:rsidR="005E1532" w:rsidRPr="0097679B">
        <w:rPr>
          <w:rFonts w:ascii="Arial" w:eastAsia="Times New Roman" w:hAnsi="Arial" w:cs="Arial"/>
          <w:color w:val="1C1D1E"/>
          <w:sz w:val="20"/>
          <w:szCs w:val="20"/>
          <w:lang w:eastAsia="en-GB"/>
        </w:rPr>
        <w:t>were measured in the unfasted basal state</w:t>
      </w:r>
      <w:r w:rsidR="00F5425B" w:rsidRPr="0097679B">
        <w:rPr>
          <w:rFonts w:ascii="Arial" w:eastAsia="Times New Roman" w:hAnsi="Arial" w:cs="Arial"/>
          <w:color w:val="1C1D1E"/>
          <w:sz w:val="20"/>
          <w:szCs w:val="20"/>
          <w:lang w:eastAsia="en-GB"/>
        </w:rPr>
        <w:t xml:space="preserve"> ([insulin]T0)</w:t>
      </w:r>
      <w:r w:rsidR="005E1532" w:rsidRPr="0097679B">
        <w:rPr>
          <w:rFonts w:ascii="Arial" w:eastAsia="Times New Roman" w:hAnsi="Arial" w:cs="Arial"/>
          <w:color w:val="1C1D1E"/>
          <w:sz w:val="20"/>
          <w:szCs w:val="20"/>
          <w:lang w:eastAsia="en-GB"/>
        </w:rPr>
        <w:t xml:space="preserve"> and</w:t>
      </w:r>
      <w:r w:rsidR="00525CF1" w:rsidRPr="0097679B">
        <w:rPr>
          <w:rFonts w:ascii="Arial" w:eastAsia="Times New Roman" w:hAnsi="Arial" w:cs="Arial"/>
          <w:color w:val="1C1D1E"/>
          <w:sz w:val="20"/>
          <w:szCs w:val="20"/>
          <w:lang w:eastAsia="en-GB"/>
        </w:rPr>
        <w:t xml:space="preserve"> 60 minutes (</w:t>
      </w:r>
      <w:r w:rsidR="00F5425B" w:rsidRPr="0097679B">
        <w:rPr>
          <w:rFonts w:ascii="Arial" w:eastAsia="Times New Roman" w:hAnsi="Arial" w:cs="Arial"/>
          <w:color w:val="1C1D1E"/>
          <w:sz w:val="20"/>
          <w:szCs w:val="20"/>
          <w:lang w:eastAsia="en-GB"/>
        </w:rPr>
        <w:t>[insulin]</w:t>
      </w:r>
      <w:r w:rsidR="00525CF1" w:rsidRPr="0097679B">
        <w:rPr>
          <w:rFonts w:ascii="Arial" w:eastAsia="Times New Roman" w:hAnsi="Arial" w:cs="Arial"/>
          <w:color w:val="1C1D1E"/>
          <w:sz w:val="20"/>
          <w:szCs w:val="20"/>
          <w:lang w:eastAsia="en-GB"/>
        </w:rPr>
        <w:t xml:space="preserve">T60) after administration of  </w:t>
      </w:r>
      <w:r w:rsidR="001C632F">
        <w:rPr>
          <w:rFonts w:ascii="Arial" w:eastAsia="Times New Roman" w:hAnsi="Arial" w:cs="Arial"/>
          <w:color w:val="1C1D1E"/>
          <w:sz w:val="20"/>
          <w:szCs w:val="20"/>
          <w:lang w:eastAsia="en-GB"/>
        </w:rPr>
        <w:t>c</w:t>
      </w:r>
      <w:r w:rsidR="00525CF1" w:rsidRPr="0097679B">
        <w:rPr>
          <w:rFonts w:ascii="Arial" w:eastAsia="Times New Roman" w:hAnsi="Arial" w:cs="Arial"/>
          <w:color w:val="1C1D1E"/>
          <w:sz w:val="20"/>
          <w:szCs w:val="20"/>
          <w:lang w:eastAsia="en-GB"/>
        </w:rPr>
        <w:t xml:space="preserve">orn syrup (0.3ml/kg). </w:t>
      </w:r>
      <w:r w:rsidR="003C6AAF">
        <w:rPr>
          <w:rFonts w:ascii="Arial" w:eastAsia="Times New Roman" w:hAnsi="Arial" w:cs="Arial"/>
          <w:color w:val="1C1D1E"/>
          <w:sz w:val="20"/>
          <w:szCs w:val="20"/>
          <w:lang w:eastAsia="en-GB"/>
        </w:rPr>
        <w:t>Separate m</w:t>
      </w:r>
      <w:r w:rsidR="003C6AAF" w:rsidRPr="0097679B">
        <w:rPr>
          <w:rFonts w:ascii="Arial" w:eastAsia="Times New Roman" w:hAnsi="Arial" w:cs="Arial"/>
          <w:color w:val="1C1D1E"/>
          <w:sz w:val="20"/>
          <w:szCs w:val="20"/>
          <w:lang w:eastAsia="en-GB"/>
        </w:rPr>
        <w:t xml:space="preserve">ultivariable </w:t>
      </w:r>
      <w:r w:rsidR="00525CF1" w:rsidRPr="0097679B">
        <w:rPr>
          <w:rFonts w:ascii="Arial" w:eastAsia="Times New Roman" w:hAnsi="Arial" w:cs="Arial"/>
          <w:color w:val="1C1D1E"/>
          <w:sz w:val="20"/>
          <w:szCs w:val="20"/>
          <w:lang w:eastAsia="en-GB"/>
        </w:rPr>
        <w:t xml:space="preserve">Cox </w:t>
      </w:r>
      <w:r w:rsidR="007F056D" w:rsidRPr="0097679B">
        <w:rPr>
          <w:rFonts w:ascii="Arial" w:eastAsia="Times New Roman" w:hAnsi="Arial" w:cs="Arial"/>
          <w:color w:val="1C1D1E"/>
          <w:sz w:val="20"/>
          <w:szCs w:val="20"/>
          <w:lang w:eastAsia="en-GB"/>
        </w:rPr>
        <w:t>proportional-hazards</w:t>
      </w:r>
      <w:r w:rsidR="00525CF1" w:rsidRPr="0097679B">
        <w:rPr>
          <w:rFonts w:ascii="Arial" w:eastAsia="Times New Roman" w:hAnsi="Arial" w:cs="Arial"/>
          <w:color w:val="1C1D1E"/>
          <w:sz w:val="20"/>
          <w:szCs w:val="20"/>
          <w:lang w:eastAsia="en-GB"/>
        </w:rPr>
        <w:t xml:space="preserve"> models were developed for physical, management/ signalment and metabolic data and </w:t>
      </w:r>
      <w:r w:rsidR="003C6AAF">
        <w:rPr>
          <w:rFonts w:ascii="Arial" w:eastAsia="Times New Roman" w:hAnsi="Arial" w:cs="Arial"/>
          <w:color w:val="1C1D1E"/>
          <w:sz w:val="20"/>
          <w:szCs w:val="20"/>
          <w:lang w:eastAsia="en-GB"/>
        </w:rPr>
        <w:t>later</w:t>
      </w:r>
      <w:r w:rsidR="003C6AAF" w:rsidRPr="0097679B">
        <w:rPr>
          <w:rFonts w:ascii="Arial" w:eastAsia="Times New Roman" w:hAnsi="Arial" w:cs="Arial"/>
          <w:color w:val="1C1D1E"/>
          <w:sz w:val="20"/>
          <w:szCs w:val="20"/>
          <w:lang w:eastAsia="en-GB"/>
        </w:rPr>
        <w:t xml:space="preserve"> </w:t>
      </w:r>
      <w:r w:rsidR="005E1532" w:rsidRPr="0097679B">
        <w:rPr>
          <w:rFonts w:ascii="Arial" w:eastAsia="Times New Roman" w:hAnsi="Arial" w:cs="Arial"/>
          <w:color w:val="1C1D1E"/>
          <w:sz w:val="20"/>
          <w:szCs w:val="20"/>
          <w:lang w:eastAsia="en-GB"/>
        </w:rPr>
        <w:t xml:space="preserve">combined into two final models. </w:t>
      </w:r>
      <w:r w:rsidR="00525CF1" w:rsidRPr="0097679B">
        <w:rPr>
          <w:rFonts w:ascii="Arial" w:eastAsia="Times New Roman" w:hAnsi="Arial" w:cs="Arial"/>
          <w:color w:val="1C1D1E"/>
          <w:sz w:val="20"/>
          <w:szCs w:val="20"/>
          <w:lang w:eastAsia="en-GB"/>
        </w:rPr>
        <w:t>Low, m</w:t>
      </w:r>
      <w:r w:rsidR="001916AE" w:rsidRPr="0097679B">
        <w:rPr>
          <w:rFonts w:ascii="Arial" w:eastAsia="Times New Roman" w:hAnsi="Arial" w:cs="Arial"/>
          <w:color w:val="1C1D1E"/>
          <w:sz w:val="20"/>
          <w:szCs w:val="20"/>
          <w:lang w:eastAsia="en-GB"/>
        </w:rPr>
        <w:t xml:space="preserve">edium and high </w:t>
      </w:r>
      <w:r w:rsidR="00F9624A">
        <w:rPr>
          <w:rFonts w:ascii="Arial" w:eastAsia="Times New Roman" w:hAnsi="Arial" w:cs="Arial"/>
          <w:color w:val="1C1D1E"/>
          <w:sz w:val="20"/>
          <w:szCs w:val="20"/>
          <w:lang w:eastAsia="en-GB"/>
        </w:rPr>
        <w:t xml:space="preserve">laminitis </w:t>
      </w:r>
      <w:r w:rsidR="00F427EF">
        <w:rPr>
          <w:rFonts w:ascii="Arial" w:eastAsia="Times New Roman" w:hAnsi="Arial" w:cs="Arial"/>
          <w:color w:val="1C1D1E"/>
          <w:sz w:val="20"/>
          <w:szCs w:val="20"/>
          <w:lang w:eastAsia="en-GB"/>
        </w:rPr>
        <w:t xml:space="preserve">risk categories </w:t>
      </w:r>
      <w:r w:rsidR="001916AE" w:rsidRPr="0097679B">
        <w:rPr>
          <w:rFonts w:ascii="Arial" w:eastAsia="Times New Roman" w:hAnsi="Arial" w:cs="Arial"/>
          <w:color w:val="1C1D1E"/>
          <w:sz w:val="20"/>
          <w:szCs w:val="20"/>
          <w:lang w:eastAsia="en-GB"/>
        </w:rPr>
        <w:t xml:space="preserve">were </w:t>
      </w:r>
      <w:r w:rsidR="001C632F">
        <w:rPr>
          <w:rFonts w:ascii="Arial" w:eastAsia="Times New Roman" w:hAnsi="Arial" w:cs="Arial"/>
          <w:color w:val="1C1D1E"/>
          <w:sz w:val="20"/>
          <w:szCs w:val="20"/>
          <w:lang w:eastAsia="en-GB"/>
        </w:rPr>
        <w:t xml:space="preserve">then </w:t>
      </w:r>
      <w:r w:rsidR="001916AE" w:rsidRPr="0097679B">
        <w:rPr>
          <w:rFonts w:ascii="Arial" w:eastAsia="Times New Roman" w:hAnsi="Arial" w:cs="Arial"/>
          <w:color w:val="1C1D1E"/>
          <w:sz w:val="20"/>
          <w:szCs w:val="20"/>
          <w:lang w:eastAsia="en-GB"/>
        </w:rPr>
        <w:t xml:space="preserve">defined based on basal or T60 </w:t>
      </w:r>
      <w:r w:rsidR="005E1532" w:rsidRPr="0097679B">
        <w:rPr>
          <w:rFonts w:ascii="Arial" w:eastAsia="Times New Roman" w:hAnsi="Arial" w:cs="Arial"/>
          <w:color w:val="1C1D1E"/>
          <w:sz w:val="20"/>
          <w:szCs w:val="20"/>
          <w:lang w:eastAsia="en-GB"/>
        </w:rPr>
        <w:t>[</w:t>
      </w:r>
      <w:r w:rsidR="001916AE" w:rsidRPr="0097679B">
        <w:rPr>
          <w:rFonts w:ascii="Arial" w:eastAsia="Times New Roman" w:hAnsi="Arial" w:cs="Arial"/>
          <w:color w:val="1C1D1E"/>
          <w:sz w:val="20"/>
          <w:szCs w:val="20"/>
          <w:lang w:eastAsia="en-GB"/>
        </w:rPr>
        <w:t>insulin</w:t>
      </w:r>
      <w:r w:rsidR="005E1532" w:rsidRPr="0097679B">
        <w:rPr>
          <w:rFonts w:ascii="Arial" w:eastAsia="Times New Roman" w:hAnsi="Arial" w:cs="Arial"/>
          <w:color w:val="1C1D1E"/>
          <w:sz w:val="20"/>
          <w:szCs w:val="20"/>
          <w:lang w:eastAsia="en-GB"/>
        </w:rPr>
        <w:t>]</w:t>
      </w:r>
      <w:r w:rsidR="001916AE" w:rsidRPr="0097679B">
        <w:rPr>
          <w:rFonts w:ascii="Arial" w:eastAsia="Times New Roman" w:hAnsi="Arial" w:cs="Arial"/>
          <w:color w:val="1C1D1E"/>
          <w:sz w:val="20"/>
          <w:szCs w:val="20"/>
          <w:lang w:eastAsia="en-GB"/>
        </w:rPr>
        <w:t>.</w:t>
      </w:r>
    </w:p>
    <w:p w14:paraId="7B470BA2" w14:textId="36E14ED6" w:rsidR="001916AE" w:rsidRPr="0017698B" w:rsidRDefault="001916AE"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17698B">
        <w:rPr>
          <w:rFonts w:ascii="Arial" w:eastAsia="Times New Roman" w:hAnsi="Arial" w:cs="Arial"/>
          <w:b/>
          <w:color w:val="1C1D1E"/>
          <w:sz w:val="20"/>
          <w:szCs w:val="20"/>
          <w:lang w:eastAsia="en-GB"/>
        </w:rPr>
        <w:t xml:space="preserve">Results: </w:t>
      </w:r>
      <w:r w:rsidRPr="0017698B">
        <w:rPr>
          <w:rFonts w:ascii="Arial" w:eastAsia="Times New Roman" w:hAnsi="Arial" w:cs="Arial"/>
          <w:color w:val="1C1D1E"/>
          <w:sz w:val="20"/>
          <w:szCs w:val="20"/>
          <w:lang w:eastAsia="en-GB"/>
        </w:rPr>
        <w:t>374 ponies and 891 pony-years were included in the main analysis. Laminitis incidence (95% confidence interval (C.I.)) was 4.8 (3.5-6.5) cases/100 pony-y</w:t>
      </w:r>
      <w:r w:rsidR="00F427EF">
        <w:rPr>
          <w:rFonts w:ascii="Arial" w:eastAsia="Times New Roman" w:hAnsi="Arial" w:cs="Arial"/>
          <w:color w:val="1C1D1E"/>
          <w:sz w:val="20"/>
          <w:szCs w:val="20"/>
          <w:lang w:eastAsia="en-GB"/>
        </w:rPr>
        <w:t xml:space="preserve">ears. Laminitis development was </w:t>
      </w:r>
      <w:r w:rsidRPr="0017698B">
        <w:rPr>
          <w:rFonts w:ascii="Arial" w:eastAsia="Times New Roman" w:hAnsi="Arial" w:cs="Arial"/>
          <w:color w:val="1C1D1E"/>
          <w:sz w:val="20"/>
          <w:szCs w:val="20"/>
          <w:lang w:eastAsia="en-GB"/>
        </w:rPr>
        <w:t xml:space="preserve">associated with numerous univariable factors. Significant (p&lt;0.05) factors </w:t>
      </w:r>
      <w:r w:rsidR="001C632F">
        <w:rPr>
          <w:rFonts w:ascii="Arial" w:eastAsia="Times New Roman" w:hAnsi="Arial" w:cs="Arial"/>
          <w:color w:val="1C1D1E"/>
          <w:sz w:val="20"/>
          <w:szCs w:val="20"/>
          <w:lang w:eastAsia="en-GB"/>
        </w:rPr>
        <w:t xml:space="preserve">retained </w:t>
      </w:r>
      <w:r w:rsidRPr="0017698B">
        <w:rPr>
          <w:rFonts w:ascii="Arial" w:eastAsia="Times New Roman" w:hAnsi="Arial" w:cs="Arial"/>
          <w:color w:val="1C1D1E"/>
          <w:sz w:val="20"/>
          <w:szCs w:val="20"/>
          <w:lang w:eastAsia="en-GB"/>
        </w:rPr>
        <w:t>in the final mul</w:t>
      </w:r>
      <w:r w:rsidR="00F5425B" w:rsidRPr="0017698B">
        <w:rPr>
          <w:rFonts w:ascii="Arial" w:eastAsia="Times New Roman" w:hAnsi="Arial" w:cs="Arial"/>
          <w:color w:val="1C1D1E"/>
          <w:sz w:val="20"/>
          <w:szCs w:val="20"/>
          <w:lang w:eastAsia="en-GB"/>
        </w:rPr>
        <w:t>tivariable models included [insulin]T0</w:t>
      </w:r>
      <w:r w:rsidR="0017698B">
        <w:rPr>
          <w:rFonts w:ascii="Arial" w:eastAsia="Times New Roman" w:hAnsi="Arial" w:cs="Arial"/>
          <w:color w:val="1C1D1E"/>
          <w:sz w:val="20"/>
          <w:szCs w:val="20"/>
          <w:lang w:eastAsia="en-GB"/>
        </w:rPr>
        <w:t xml:space="preserve">, </w:t>
      </w:r>
      <w:r w:rsidR="00F5425B" w:rsidRPr="0017698B">
        <w:rPr>
          <w:rFonts w:ascii="Arial" w:eastAsia="Times New Roman" w:hAnsi="Arial" w:cs="Arial"/>
          <w:color w:val="1C1D1E"/>
          <w:sz w:val="20"/>
          <w:szCs w:val="20"/>
          <w:lang w:eastAsia="en-GB"/>
        </w:rPr>
        <w:t>[insulin]T60</w:t>
      </w:r>
      <w:r w:rsidR="005E1532" w:rsidRPr="0017698B">
        <w:rPr>
          <w:rFonts w:ascii="Arial" w:eastAsia="Times New Roman" w:hAnsi="Arial" w:cs="Arial"/>
          <w:color w:val="1C1D1E"/>
          <w:sz w:val="20"/>
          <w:szCs w:val="20"/>
          <w:lang w:eastAsia="en-GB"/>
        </w:rPr>
        <w:t xml:space="preserve">, [adiponectin] and divergent hoof growth. </w:t>
      </w:r>
      <w:r w:rsidR="005551AB">
        <w:rPr>
          <w:rFonts w:ascii="Arial" w:eastAsia="Times New Roman" w:hAnsi="Arial" w:cs="Arial"/>
          <w:color w:val="1C1D1E"/>
          <w:sz w:val="20"/>
          <w:szCs w:val="20"/>
          <w:lang w:eastAsia="en-GB"/>
        </w:rPr>
        <w:t>[ACTH]</w:t>
      </w:r>
      <w:r w:rsidR="005E1532" w:rsidRPr="0017698B">
        <w:rPr>
          <w:rFonts w:ascii="Arial" w:eastAsia="Times New Roman" w:hAnsi="Arial" w:cs="Arial"/>
          <w:color w:val="1C1D1E"/>
          <w:sz w:val="20"/>
          <w:szCs w:val="20"/>
          <w:lang w:eastAsia="en-GB"/>
        </w:rPr>
        <w:t xml:space="preserve"> was not independently associated with laminitis. </w:t>
      </w:r>
      <w:r w:rsidR="0017698B" w:rsidRPr="0017698B">
        <w:rPr>
          <w:rFonts w:ascii="Arial" w:hAnsi="Arial" w:cs="Arial"/>
          <w:sz w:val="20"/>
          <w:szCs w:val="20"/>
        </w:rPr>
        <w:t>Bas</w:t>
      </w:r>
      <w:r w:rsidR="0017698B">
        <w:rPr>
          <w:rFonts w:ascii="Arial" w:hAnsi="Arial" w:cs="Arial"/>
          <w:sz w:val="20"/>
          <w:szCs w:val="20"/>
        </w:rPr>
        <w:t>ed on [Insulin]</w:t>
      </w:r>
      <w:r w:rsidR="0017698B" w:rsidRPr="0017698B">
        <w:rPr>
          <w:rFonts w:ascii="Arial" w:hAnsi="Arial" w:cs="Arial"/>
          <w:sz w:val="20"/>
          <w:szCs w:val="20"/>
        </w:rPr>
        <w:t xml:space="preserve">T0, low </w:t>
      </w:r>
      <w:r w:rsidR="00052D41">
        <w:rPr>
          <w:rFonts w:ascii="Arial" w:hAnsi="Arial" w:cs="Arial"/>
          <w:sz w:val="20"/>
          <w:szCs w:val="20"/>
        </w:rPr>
        <w:t>(&lt;21.6 uIU/ml), medium (21.6-</w:t>
      </w:r>
      <w:r w:rsidR="0017698B" w:rsidRPr="0017698B">
        <w:rPr>
          <w:rFonts w:ascii="Arial" w:hAnsi="Arial" w:cs="Arial"/>
          <w:sz w:val="20"/>
          <w:szCs w:val="20"/>
        </w:rPr>
        <w:t xml:space="preserve">45.2 uIU/ml) and high (&gt;45.2 uIU/ml) risk categories encompassed 70, 20 and 10% of the population and had </w:t>
      </w:r>
      <w:r w:rsidR="00A6780B">
        <w:rPr>
          <w:rFonts w:ascii="Arial" w:hAnsi="Arial" w:cs="Arial"/>
          <w:sz w:val="20"/>
          <w:szCs w:val="20"/>
        </w:rPr>
        <w:t xml:space="preserve">estimated </w:t>
      </w:r>
      <w:r w:rsidR="0017698B" w:rsidRPr="0017698B">
        <w:rPr>
          <w:rFonts w:ascii="Arial" w:hAnsi="Arial" w:cs="Arial"/>
          <w:sz w:val="20"/>
          <w:szCs w:val="20"/>
        </w:rPr>
        <w:t>4</w:t>
      </w:r>
      <w:r w:rsidR="00A6780B">
        <w:rPr>
          <w:rFonts w:ascii="Arial" w:hAnsi="Arial" w:cs="Arial"/>
          <w:sz w:val="20"/>
          <w:szCs w:val="20"/>
        </w:rPr>
        <w:t>-year</w:t>
      </w:r>
      <w:r w:rsidR="0017698B" w:rsidRPr="0017698B">
        <w:rPr>
          <w:rFonts w:ascii="Arial" w:hAnsi="Arial" w:cs="Arial"/>
          <w:sz w:val="20"/>
          <w:szCs w:val="20"/>
        </w:rPr>
        <w:t xml:space="preserve"> laminitis incidence</w:t>
      </w:r>
      <w:r w:rsidR="00A6780B">
        <w:rPr>
          <w:rFonts w:ascii="Arial" w:hAnsi="Arial" w:cs="Arial"/>
          <w:sz w:val="20"/>
          <w:szCs w:val="20"/>
        </w:rPr>
        <w:t>s</w:t>
      </w:r>
      <w:r w:rsidR="0017698B" w:rsidRPr="0017698B">
        <w:rPr>
          <w:rFonts w:ascii="Arial" w:hAnsi="Arial" w:cs="Arial"/>
          <w:sz w:val="20"/>
          <w:szCs w:val="20"/>
        </w:rPr>
        <w:t xml:space="preserve"> (95%CI) of 6 (2-9)%, 22 (10-33)% and 69 (48-82%) respective</w:t>
      </w:r>
      <w:r w:rsidR="0017698B">
        <w:rPr>
          <w:rFonts w:ascii="Arial" w:hAnsi="Arial" w:cs="Arial"/>
          <w:sz w:val="20"/>
          <w:szCs w:val="20"/>
        </w:rPr>
        <w:t xml:space="preserve">ly.  Based on </w:t>
      </w:r>
      <w:r w:rsidR="0017698B" w:rsidRPr="0017698B">
        <w:rPr>
          <w:rFonts w:ascii="Arial" w:hAnsi="Arial" w:cs="Arial"/>
          <w:sz w:val="20"/>
          <w:szCs w:val="20"/>
        </w:rPr>
        <w:t>[Insulin</w:t>
      </w:r>
      <w:r w:rsidR="0017698B">
        <w:rPr>
          <w:rFonts w:ascii="Arial" w:hAnsi="Arial" w:cs="Arial"/>
          <w:sz w:val="20"/>
          <w:szCs w:val="20"/>
        </w:rPr>
        <w:t>]T60</w:t>
      </w:r>
      <w:r w:rsidR="0017698B" w:rsidRPr="0017698B">
        <w:rPr>
          <w:rFonts w:ascii="Arial" w:hAnsi="Arial" w:cs="Arial"/>
          <w:sz w:val="20"/>
          <w:szCs w:val="20"/>
        </w:rPr>
        <w:t xml:space="preserve"> the low (&lt;53.4 uiU/ml), medium (53.4-153 uiU/ml) and high (≥153 uiU/ml) risk categories comprised 60, 30 and 10% of the population and had </w:t>
      </w:r>
      <w:r w:rsidR="00A6780B">
        <w:rPr>
          <w:rFonts w:ascii="Arial" w:hAnsi="Arial" w:cs="Arial"/>
          <w:sz w:val="20"/>
          <w:szCs w:val="20"/>
        </w:rPr>
        <w:t xml:space="preserve">estimated </w:t>
      </w:r>
      <w:r w:rsidR="0017698B" w:rsidRPr="0017698B">
        <w:rPr>
          <w:rFonts w:ascii="Arial" w:hAnsi="Arial" w:cs="Arial"/>
          <w:sz w:val="20"/>
          <w:szCs w:val="20"/>
        </w:rPr>
        <w:t>4</w:t>
      </w:r>
      <w:r w:rsidR="00A6780B">
        <w:rPr>
          <w:rFonts w:ascii="Arial" w:hAnsi="Arial" w:cs="Arial"/>
          <w:sz w:val="20"/>
          <w:szCs w:val="20"/>
        </w:rPr>
        <w:t>-</w:t>
      </w:r>
      <w:r w:rsidR="0017698B" w:rsidRPr="0017698B">
        <w:rPr>
          <w:rFonts w:ascii="Arial" w:hAnsi="Arial" w:cs="Arial"/>
          <w:sz w:val="20"/>
          <w:szCs w:val="20"/>
        </w:rPr>
        <w:t>year laminitis incidences (95%CI) of 3 (0-6)%, 20 (10-29)% and 73 (52-84)% respectively.</w:t>
      </w:r>
    </w:p>
    <w:p w14:paraId="72C444F3" w14:textId="1D048348" w:rsidR="001916AE" w:rsidRPr="0017698B" w:rsidRDefault="001916AE"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17698B">
        <w:rPr>
          <w:rFonts w:ascii="Arial" w:eastAsia="Times New Roman" w:hAnsi="Arial" w:cs="Arial"/>
          <w:b/>
          <w:color w:val="1C1D1E"/>
          <w:sz w:val="20"/>
          <w:szCs w:val="20"/>
          <w:lang w:eastAsia="en-GB"/>
        </w:rPr>
        <w:t xml:space="preserve">Main limitations: </w:t>
      </w:r>
      <w:r w:rsidRPr="0017698B">
        <w:rPr>
          <w:rFonts w:ascii="Arial" w:eastAsia="Times New Roman" w:hAnsi="Arial" w:cs="Arial"/>
          <w:color w:val="1C1D1E"/>
          <w:sz w:val="20"/>
          <w:szCs w:val="20"/>
          <w:lang w:eastAsia="en-GB"/>
        </w:rPr>
        <w:t>Results may not apply to different insulin assays, geographic regions, breeds or management types.</w:t>
      </w:r>
    </w:p>
    <w:p w14:paraId="321AC155" w14:textId="7E8B977F" w:rsidR="00F206C0" w:rsidRPr="0017698B" w:rsidRDefault="001916AE" w:rsidP="00144E73">
      <w:pPr>
        <w:shd w:val="clear" w:color="auto" w:fill="FFFFFF"/>
        <w:spacing w:before="100" w:beforeAutospacing="1" w:after="100" w:afterAutospacing="1" w:line="480" w:lineRule="auto"/>
        <w:contextualSpacing/>
        <w:rPr>
          <w:rFonts w:ascii="Arial" w:eastAsia="Times New Roman" w:hAnsi="Arial" w:cs="Arial"/>
          <w:color w:val="1C1D1E"/>
          <w:sz w:val="20"/>
          <w:szCs w:val="20"/>
          <w:lang w:eastAsia="en-GB"/>
        </w:rPr>
      </w:pPr>
      <w:r w:rsidRPr="0017698B">
        <w:rPr>
          <w:rFonts w:ascii="Arial" w:eastAsia="Times New Roman" w:hAnsi="Arial" w:cs="Arial"/>
          <w:b/>
          <w:color w:val="1C1D1E"/>
          <w:sz w:val="20"/>
          <w:szCs w:val="20"/>
          <w:lang w:eastAsia="en-GB"/>
        </w:rPr>
        <w:t xml:space="preserve">Conclusions: </w:t>
      </w:r>
      <w:r w:rsidR="00F5425B" w:rsidRPr="0017698B">
        <w:rPr>
          <w:rFonts w:ascii="Arial" w:eastAsia="Times New Roman" w:hAnsi="Arial" w:cs="Arial"/>
          <w:color w:val="1C1D1E"/>
          <w:sz w:val="20"/>
          <w:szCs w:val="20"/>
          <w:lang w:eastAsia="en-GB"/>
        </w:rPr>
        <w:t>[Insulin]T0 or [</w:t>
      </w:r>
      <w:r w:rsidRPr="0017698B">
        <w:rPr>
          <w:rFonts w:ascii="Arial" w:eastAsia="Times New Roman" w:hAnsi="Arial" w:cs="Arial"/>
          <w:color w:val="1C1D1E"/>
          <w:sz w:val="20"/>
          <w:szCs w:val="20"/>
          <w:lang w:eastAsia="en-GB"/>
        </w:rPr>
        <w:t>insulin</w:t>
      </w:r>
      <w:r w:rsidR="00F5425B" w:rsidRPr="0017698B">
        <w:rPr>
          <w:rFonts w:ascii="Arial" w:eastAsia="Times New Roman" w:hAnsi="Arial" w:cs="Arial"/>
          <w:color w:val="1C1D1E"/>
          <w:sz w:val="20"/>
          <w:szCs w:val="20"/>
          <w:lang w:eastAsia="en-GB"/>
        </w:rPr>
        <w:t>]T60</w:t>
      </w:r>
      <w:r w:rsidRPr="0017698B">
        <w:rPr>
          <w:rFonts w:ascii="Arial" w:eastAsia="Times New Roman" w:hAnsi="Arial" w:cs="Arial"/>
          <w:color w:val="1C1D1E"/>
          <w:sz w:val="20"/>
          <w:szCs w:val="20"/>
          <w:lang w:eastAsia="en-GB"/>
        </w:rPr>
        <w:t xml:space="preserve"> </w:t>
      </w:r>
      <w:r w:rsidR="00A6780B">
        <w:rPr>
          <w:rFonts w:ascii="Arial" w:eastAsia="Times New Roman" w:hAnsi="Arial" w:cs="Arial"/>
          <w:color w:val="1C1D1E"/>
          <w:sz w:val="20"/>
          <w:szCs w:val="20"/>
          <w:lang w:eastAsia="en-GB"/>
        </w:rPr>
        <w:t xml:space="preserve">best </w:t>
      </w:r>
      <w:r w:rsidRPr="0017698B">
        <w:rPr>
          <w:rFonts w:ascii="Arial" w:eastAsia="Times New Roman" w:hAnsi="Arial" w:cs="Arial"/>
          <w:color w:val="1C1D1E"/>
          <w:sz w:val="20"/>
          <w:szCs w:val="20"/>
          <w:lang w:eastAsia="en-GB"/>
        </w:rPr>
        <w:t xml:space="preserve">quantify the risk of </w:t>
      </w:r>
      <w:r w:rsidR="00F427EF">
        <w:rPr>
          <w:rFonts w:ascii="Arial" w:eastAsia="Times New Roman" w:hAnsi="Arial" w:cs="Arial"/>
          <w:color w:val="1C1D1E"/>
          <w:sz w:val="20"/>
          <w:szCs w:val="20"/>
          <w:lang w:eastAsia="en-GB"/>
        </w:rPr>
        <w:t xml:space="preserve">future </w:t>
      </w:r>
      <w:r w:rsidRPr="0017698B">
        <w:rPr>
          <w:rFonts w:ascii="Arial" w:eastAsia="Times New Roman" w:hAnsi="Arial" w:cs="Arial"/>
          <w:color w:val="1C1D1E"/>
          <w:sz w:val="20"/>
          <w:szCs w:val="20"/>
          <w:lang w:eastAsia="en-GB"/>
        </w:rPr>
        <w:t>laminitis development in non-laminitic ponies.</w:t>
      </w:r>
    </w:p>
    <w:p w14:paraId="60F81FF0" w14:textId="71937569" w:rsidR="00C1677A" w:rsidRPr="0097679B" w:rsidRDefault="0040589E" w:rsidP="00144E73">
      <w:pPr>
        <w:spacing w:line="480" w:lineRule="auto"/>
        <w:contextualSpacing/>
        <w:rPr>
          <w:rFonts w:ascii="Arial" w:hAnsi="Arial" w:cs="Arial"/>
          <w:i/>
          <w:sz w:val="20"/>
          <w:szCs w:val="20"/>
        </w:rPr>
      </w:pPr>
      <w:r w:rsidRPr="0097679B">
        <w:rPr>
          <w:rFonts w:ascii="Arial" w:hAnsi="Arial" w:cs="Arial"/>
          <w:i/>
          <w:sz w:val="20"/>
          <w:szCs w:val="20"/>
        </w:rPr>
        <w:lastRenderedPageBreak/>
        <w:t>Introduction</w:t>
      </w:r>
    </w:p>
    <w:p w14:paraId="2B1C8495" w14:textId="0925B64B" w:rsidR="007D5CF4" w:rsidRPr="0097679B" w:rsidRDefault="00C0588D" w:rsidP="00144E73">
      <w:pPr>
        <w:spacing w:line="480" w:lineRule="auto"/>
        <w:contextualSpacing/>
        <w:rPr>
          <w:rFonts w:ascii="Arial" w:hAnsi="Arial" w:cs="Arial"/>
          <w:sz w:val="20"/>
          <w:szCs w:val="20"/>
        </w:rPr>
      </w:pPr>
      <w:r>
        <w:rPr>
          <w:rFonts w:ascii="Arial" w:hAnsi="Arial" w:cs="Arial"/>
          <w:sz w:val="20"/>
          <w:szCs w:val="20"/>
        </w:rPr>
        <w:t>Equine l</w:t>
      </w:r>
      <w:r w:rsidRPr="0097679B">
        <w:rPr>
          <w:rFonts w:ascii="Arial" w:hAnsi="Arial" w:cs="Arial"/>
          <w:sz w:val="20"/>
          <w:szCs w:val="20"/>
        </w:rPr>
        <w:t>aminitis</w:t>
      </w:r>
      <w:r w:rsidR="00390EAF" w:rsidRPr="0097679B">
        <w:rPr>
          <w:rFonts w:ascii="Arial" w:hAnsi="Arial" w:cs="Arial"/>
          <w:sz w:val="20"/>
          <w:szCs w:val="20"/>
        </w:rPr>
        <w:t xml:space="preserve"> can be classified as endocrinopathic, inflammatory or mechanical in origin</w:t>
      </w:r>
      <w:r w:rsidR="00302CCF" w:rsidRPr="0097679B">
        <w:rPr>
          <w:rFonts w:ascii="Arial" w:hAnsi="Arial" w:cs="Arial"/>
          <w:sz w:val="20"/>
          <w:szCs w:val="20"/>
        </w:rPr>
        <w:t xml:space="preserve"> </w:t>
      </w:r>
      <w:r w:rsidR="00302CCF" w:rsidRPr="0097679B">
        <w:rPr>
          <w:rFonts w:ascii="Arial" w:hAnsi="Arial" w:cs="Arial"/>
          <w:sz w:val="20"/>
          <w:szCs w:val="20"/>
        </w:rPr>
        <w:fldChar w:fldCharType="begin" w:fldLock="1"/>
      </w:r>
      <w:r w:rsidR="00302CCF" w:rsidRPr="0097679B">
        <w:rPr>
          <w:rFonts w:ascii="Arial" w:hAnsi="Arial" w:cs="Arial"/>
          <w:sz w:val="20"/>
          <w:szCs w:val="20"/>
        </w:rPr>
        <w:instrText>ADDIN CSL_CITATION {"citationItems":[{"id":"ITEM-1","itemData":{"DOI":"10.1016/j.tvjl.2017.11.011","ISSN":"15322971","PMID":"29429485","abstract":"Laminitis, one of the most debilitating conditions of all equids, is now known to be the result of several systemic disease entities. This finding, together with other recent developments in the field of laminitis research, have provoked a rethink of our clinical and research strategies for this condition. First, laminitis is now considered to be a clinical syndrome associated with systemic disease (endocrine disease, sepsis or systemic inflammatory response syndrome, SIRS) or altered weight bearing rather than being a discrete disease entity. Next, laminitis associated with endocrine disease (endocrinopathic laminitis) is now believed to be the predominant form in animals presenting (primarily) for lameness. Third, the designation of laminitis as a primary and severe basement membrane pathology now requires revision. Instead, current data now proposes a variable subclinical phase associated with gross changes in the hoof capsule, with stretching and elongation of the lamellar cells an early and key event in the pathophysiology. These findings have fuelled new mechanistic hypotheses and research directions that will be discussed, together with their implications for future clinical management.","author":[{"dropping-particle":"","family":"Patterson-Kane","given":"J. C.","non-dropping-particle":"","parse-names":false,"suffix":""},{"dropping-particle":"","family":"Karikoski","given":"N. P.","non-dropping-particle":"","parse-names":false,"suffix":""},{"dropping-particle":"","family":"McGowan","given":"C. M.","non-dropping-particle":"","parse-names":false,"suffix":""}],"container-title":"Veterinary Journal","id":"ITEM-1","issued":{"date-parts":[["2018"]]},"page":"33-40","publisher":"Elsevier Ltd.","title":"Paradigm shifts in understanding equine laminitis","type":"article-journal","volume":"231"},"uris":["http://www.mendeley.com/documents/?uuid=14909141-f5f6-4ad1-9153-57a716b1f48d"]}],"mendeley":{"formattedCitation":"[1]","plainTextFormattedCitation":"[1]","previouslyFormattedCitation":"[1]"},"properties":{"noteIndex":0},"schema":"https://github.com/citation-style-language/schema/raw/master/csl-citation.json"}</w:instrText>
      </w:r>
      <w:r w:rsidR="00302CCF" w:rsidRPr="0097679B">
        <w:rPr>
          <w:rFonts w:ascii="Arial" w:hAnsi="Arial" w:cs="Arial"/>
          <w:sz w:val="20"/>
          <w:szCs w:val="20"/>
        </w:rPr>
        <w:fldChar w:fldCharType="separate"/>
      </w:r>
      <w:r w:rsidR="00302CCF" w:rsidRPr="0097679B">
        <w:rPr>
          <w:rFonts w:ascii="Arial" w:hAnsi="Arial" w:cs="Arial"/>
          <w:noProof/>
          <w:sz w:val="20"/>
          <w:szCs w:val="20"/>
        </w:rPr>
        <w:t>[1]</w:t>
      </w:r>
      <w:r w:rsidR="00302CCF" w:rsidRPr="0097679B">
        <w:rPr>
          <w:rFonts w:ascii="Arial" w:hAnsi="Arial" w:cs="Arial"/>
          <w:sz w:val="20"/>
          <w:szCs w:val="20"/>
        </w:rPr>
        <w:fldChar w:fldCharType="end"/>
      </w:r>
      <w:r w:rsidR="00390EAF" w:rsidRPr="0097679B">
        <w:rPr>
          <w:rFonts w:ascii="Arial" w:hAnsi="Arial" w:cs="Arial"/>
          <w:sz w:val="20"/>
          <w:szCs w:val="20"/>
        </w:rPr>
        <w:t>.</w:t>
      </w:r>
      <w:r w:rsidR="00302CCF" w:rsidRPr="0097679B">
        <w:rPr>
          <w:rFonts w:ascii="Arial" w:hAnsi="Arial" w:cs="Arial"/>
          <w:sz w:val="20"/>
          <w:szCs w:val="20"/>
        </w:rPr>
        <w:t xml:space="preserve"> Endocrinopathic laminitis is the predominant form in animals that present for lameness </w:t>
      </w:r>
      <w:r w:rsidR="00302CCF" w:rsidRPr="0097679B">
        <w:rPr>
          <w:rFonts w:ascii="Arial" w:hAnsi="Arial" w:cs="Arial"/>
          <w:sz w:val="20"/>
          <w:szCs w:val="20"/>
        </w:rPr>
        <w:fldChar w:fldCharType="begin" w:fldLock="1"/>
      </w:r>
      <w:r w:rsidR="00F5044F" w:rsidRPr="0097679B">
        <w:rPr>
          <w:rFonts w:ascii="Arial" w:hAnsi="Arial" w:cs="Arial"/>
          <w:sz w:val="20"/>
          <w:szCs w:val="20"/>
        </w:rPr>
        <w:instrText>ADDIN CSL_CITATION {"citationItems":[{"id":"ITEM-1","itemData":{"DOI":"10.1016/j.tvjl.2017.11.011","ISSN":"15322971","PMID":"29429485","abstract":"Laminitis, one of the most debilitating conditions of all equids, is now known to be the result of several systemic disease entities. This finding, together with other recent developments in the field of laminitis research, have provoked a rethink of our clinical and research strategies for this condition. First, laminitis is now considered to be a clinical syndrome associated with systemic disease (endocrine disease, sepsis or systemic inflammatory response syndrome, SIRS) or altered weight bearing rather than being a discrete disease entity. Next, laminitis associated with endocrine disease (endocrinopathic laminitis) is now believed to be the predominant form in animals presenting (primarily) for lameness. Third, the designation of laminitis as a primary and severe basement membrane pathology now requires revision. Instead, current data now proposes a variable subclinical phase associated with gross changes in the hoof capsule, with stretching and elongation of the lamellar cells an early and key event in the pathophysiology. These findings have fuelled new mechanistic hypotheses and research directions that will be discussed, together with their implications for future clinical management.","author":[{"dropping-particle":"","family":"Patterson-Kane","given":"J. C.","non-dropping-particle":"","parse-names":false,"suffix":""},{"dropping-particle":"","family":"Karikoski","given":"N. P.","non-dropping-particle":"","parse-names":false,"suffix":""},{"dropping-particle":"","family":"McGowan","given":"C. M.","non-dropping-particle":"","parse-names":false,"suffix":""}],"container-title":"Veterinary Journal","id":"ITEM-1","issued":{"date-parts":[["2018"]]},"page":"33-40","publisher":"Elsevier Ltd.","title":"Paradigm shifts in understanding equine laminitis","type":"article-journal","volume":"231"},"uris":["http://www.mendeley.com/documents/?uuid=14909141-f5f6-4ad1-9153-57a716b1f48d"]}],"mendeley":{"formattedCitation":"[1]","plainTextFormattedCitation":"[1]","previouslyFormattedCitation":"[1]"},"properties":{"noteIndex":0},"schema":"https://github.com/citation-style-language/schema/raw/master/csl-citation.json"}</w:instrText>
      </w:r>
      <w:r w:rsidR="00302CCF" w:rsidRPr="0097679B">
        <w:rPr>
          <w:rFonts w:ascii="Arial" w:hAnsi="Arial" w:cs="Arial"/>
          <w:sz w:val="20"/>
          <w:szCs w:val="20"/>
        </w:rPr>
        <w:fldChar w:fldCharType="separate"/>
      </w:r>
      <w:r w:rsidR="00302CCF" w:rsidRPr="0097679B">
        <w:rPr>
          <w:rFonts w:ascii="Arial" w:hAnsi="Arial" w:cs="Arial"/>
          <w:noProof/>
          <w:sz w:val="20"/>
          <w:szCs w:val="20"/>
        </w:rPr>
        <w:t>[1]</w:t>
      </w:r>
      <w:r w:rsidR="00302CCF" w:rsidRPr="0097679B">
        <w:rPr>
          <w:rFonts w:ascii="Arial" w:hAnsi="Arial" w:cs="Arial"/>
          <w:sz w:val="20"/>
          <w:szCs w:val="20"/>
        </w:rPr>
        <w:fldChar w:fldCharType="end"/>
      </w:r>
      <w:r w:rsidR="00302CCF" w:rsidRPr="0097679B">
        <w:rPr>
          <w:rFonts w:ascii="Arial" w:hAnsi="Arial" w:cs="Arial"/>
          <w:sz w:val="20"/>
          <w:szCs w:val="20"/>
        </w:rPr>
        <w:t xml:space="preserve"> and ponies are at higher risk of endocrinopathic laminitis than horses </w:t>
      </w:r>
      <w:r w:rsidR="00302CCF" w:rsidRPr="0097679B">
        <w:rPr>
          <w:rFonts w:ascii="Arial" w:hAnsi="Arial" w:cs="Arial"/>
          <w:sz w:val="20"/>
          <w:szCs w:val="20"/>
        </w:rPr>
        <w:fldChar w:fldCharType="begin" w:fldLock="1"/>
      </w:r>
      <w:r w:rsidR="009926A0" w:rsidRPr="0097679B">
        <w:rPr>
          <w:rFonts w:ascii="Arial" w:hAnsi="Arial" w:cs="Arial"/>
          <w:sz w:val="20"/>
          <w:szCs w:val="20"/>
        </w:rPr>
        <w:instrText>ADDIN CSL_CITATION {"citationItems":[{"id":"ITEM-1","itemData":{"ISBN":"0739-7240","author":[{"dropping-particle":"","family":"Karikoski","given":"N P","non-dropping-particle":"","parse-names":false,"suffix":""},{"dropping-particle":"","family":"Horn","given":"I","non-dropping-particle":"","parse-names":false,"suffix":""},{"dropping-particle":"","family":"McGowan","given":"T W","non-dropping-particle":"","parse-names":false,"suffix":""},{"dropping-particle":"","family":"McGowan","given":"C M","non-dropping-particle":"","parse-names":false,"suffix":""}],"container-title":"Domestic Animal Endocrinology","id":"ITEM-1","issue":"3","issued":{"date-parts":[["2011"]]},"page":"111-117","title":"The prevalence of endocrinopathic laminitis among horses presented for laminitis at a first-opinion/referral equine hospital","type":"article-journal","volume":"41"},"uris":["http://www.mendeley.com/documents/?uuid=a4e516bd-5099-48eb-a0be-2274cab8ef4b"]}],"mendeley":{"formattedCitation":"[2]","plainTextFormattedCitation":"[2]","previouslyFormattedCitation":"[2]"},"properties":{"noteIndex":0},"schema":"https://github.com/citation-style-language/schema/raw/master/csl-citation.json"}</w:instrText>
      </w:r>
      <w:r w:rsidR="00302CCF" w:rsidRPr="0097679B">
        <w:rPr>
          <w:rFonts w:ascii="Arial" w:hAnsi="Arial" w:cs="Arial"/>
          <w:sz w:val="20"/>
          <w:szCs w:val="20"/>
        </w:rPr>
        <w:fldChar w:fldCharType="separate"/>
      </w:r>
      <w:r w:rsidR="00F5044F" w:rsidRPr="0097679B">
        <w:rPr>
          <w:rFonts w:ascii="Arial" w:hAnsi="Arial" w:cs="Arial"/>
          <w:noProof/>
          <w:sz w:val="20"/>
          <w:szCs w:val="20"/>
        </w:rPr>
        <w:t>[2]</w:t>
      </w:r>
      <w:r w:rsidR="00302CCF" w:rsidRPr="0097679B">
        <w:rPr>
          <w:rFonts w:ascii="Arial" w:hAnsi="Arial" w:cs="Arial"/>
          <w:sz w:val="20"/>
          <w:szCs w:val="20"/>
        </w:rPr>
        <w:fldChar w:fldCharType="end"/>
      </w:r>
      <w:r w:rsidR="00302CCF" w:rsidRPr="0097679B">
        <w:rPr>
          <w:rFonts w:ascii="Arial" w:hAnsi="Arial" w:cs="Arial"/>
          <w:sz w:val="20"/>
          <w:szCs w:val="20"/>
        </w:rPr>
        <w:t xml:space="preserve">. </w:t>
      </w:r>
      <w:r w:rsidR="00C1677A" w:rsidRPr="0097679B">
        <w:rPr>
          <w:rFonts w:ascii="Arial" w:hAnsi="Arial" w:cs="Arial"/>
          <w:sz w:val="20"/>
          <w:szCs w:val="20"/>
        </w:rPr>
        <w:t xml:space="preserve">Endocrinopathic laminitis has been associated with metabolic, morphometric and management </w:t>
      </w:r>
      <w:r>
        <w:rPr>
          <w:rFonts w:ascii="Arial" w:hAnsi="Arial" w:cs="Arial"/>
          <w:sz w:val="20"/>
          <w:szCs w:val="20"/>
        </w:rPr>
        <w:t xml:space="preserve">risk </w:t>
      </w:r>
      <w:r w:rsidR="00C1677A" w:rsidRPr="0097679B">
        <w:rPr>
          <w:rFonts w:ascii="Arial" w:hAnsi="Arial" w:cs="Arial"/>
          <w:sz w:val="20"/>
          <w:szCs w:val="20"/>
        </w:rPr>
        <w:t xml:space="preserve">factors </w:t>
      </w:r>
      <w:r w:rsidR="00C1677A" w:rsidRPr="0097679B">
        <w:rPr>
          <w:rFonts w:ascii="Arial" w:hAnsi="Arial" w:cs="Arial"/>
          <w:sz w:val="20"/>
          <w:szCs w:val="20"/>
        </w:rPr>
        <w:fldChar w:fldCharType="begin" w:fldLock="1"/>
      </w:r>
      <w:r w:rsidR="009926A0" w:rsidRPr="0097679B">
        <w:rPr>
          <w:rFonts w:ascii="Arial" w:hAnsi="Arial" w:cs="Arial"/>
          <w:sz w:val="20"/>
          <w:szCs w:val="20"/>
        </w:rPr>
        <w:instrText>ADDIN CSL_CITATION {"citationItems":[{"id":"ITEM-1","itemData":{"DOI":"10.1186/s12917-019-1798-8","ISSN":"17466148","PMID":"30755193","abstract":"Background: Equine laminitis is a complex disease that manifests as pain and lameness in the feet, often with debilitating consequences. There is a paucity of data that accounts for the multifactorial nature of laminitis and considers time-varying covariates that may be associated with disease development; particularly those that are modifiable and present potential interventions. A previous case-control study identified a number of novel, modifiable factors associated with laminitis which warranted further investigation and corroboration. The aim of this study was to identify factors associated with equine laminitis in horses/ponies in Great Britain (GB) using a prospective, web-based cohort study design, with particular interest in evaluating modifiable factors previously identified in the case-control study. Results: Self-selected horse/pony owners in GB submitted initial baseline and follow-up health and management questionnaires for 1070 horses/ponies between August 2014 and December 2016. The enrolled horses/ponies contributed 1068 horse-years at risk with a median of 38 days between questionnaire submissions. Owners reported 123 owner-recognised and/or veterinary-diagnosed episodes of active laminitis using a previously-validated laminitis reporting form. Multivariable Cox regression modelling identified 16 risk/protective factors associated with laminitis development. In keeping with the previous case-control study, a prior history of laminitis (particularly non-veterinary-diagnosed episodes), soreness after shoeing/trimming and weight gain were associated with higher rates of laminitis. There is now strong evidence that these risk factors should be used to guide future recommendations in disease prevention. Factors with some prior evidence of association included breed, steroidal anti-inflammatory administration, transport and worming. The modifiable factors amongst these should be the focus of future laminitis studies. The remainder of the identified factors relating to health, turnout and grazing management and feeding are novel, and require further investigation to explore their relationship with laminitis and their applicability as potential interventions. Conclusions: This study has demonstrated a temporal relationship between a number of horse- and management-level factors and laminitis, identifying potential interventions and important risk groups for which these interventions would be of particular importance. These results serve as a s…","author":[{"dropping-particle":"","family":"Pollard","given":"D.","non-dropping-particle":"","parse-names":false,"suffix":""},{"dropping-particle":"","family":"Wylie","given":"C E","non-dropping-particle":"","parse-names":false,"suffix":""},{"dropping-particle":"","family":"Verheyen","given":"K. L.P.","non-dropping-particle":"","parse-names":false,"suffix":""},{"dropping-particle":"","family":"Newton","given":"J. R.","non-dropping-particle":"","parse-names":false,"suffix":""}],"container-title":"BMC Veterinary Research","id":"ITEM-1","issue":"1","issued":{"date-parts":[["2019"]]},"page":"1-12","publisher":"BMC Veterinary Research","title":"Identification of modifiable factors associated with owner-reported equine laminitis in Britain using a web-based cohort study approach","type":"article-journal","volume":"15"},"uris":["http://www.mendeley.com/documents/?uuid=922d0339-45fc-46c6-98fe-04b40447ebc1"]},{"id":"ITEM-2","itemData":{"DOI":"10.1016/j.tvjl.2011.10.020","ISSN":"1532-2971","PMID":"22104504","abstract":"Epidemiological studies into the risk factors for naturally-occurring equine laminitis are limited. There are a small number of such studies, although the results are inconsistent and remain disputed. The reasons for the conflicting results remain unclear. The aim of this review was to critically evaluate previous research in order to identify publications which provide the best evidence of risk factors for naturally-occurring equine laminitis. A systematic review of English language publications was conducted using MEDLINE (1950-2010), CAB Direct (1910-2010) and IVIS (1997-2010). Additional publications were included by searching bibliographies. Search terms included laminitis, equine, risk factors and epidemiology. Publications which compared a case population to a control population and made inferences about parameters as risk factors for naturally-occurring equine laminitis were included. Information was extracted using predefined data fields, including 18 study quality indicators. In total, 17 publications were fully appraised. Six were considered to provide the most reliable information about risk factors for naturally-occurring laminitis. Information on signalment was well researched and there was good evidence for an association with chronic laminitis and increasing age. There remain inconsistent results for many other horse-level risk factors including gender, breed and bodyweight. Previous publications estimating risk factors for equine laminitis were of reasonable quality, although they were limited in the number and scope of the risk factors studied. High-quality, evidence-based studies are needed to identify further risk factors and to establish consensus over previously identified risk factors for different equine populations.","author":[{"dropping-particle":"","family":"Wylie","given":"C E","non-dropping-particle":"","parse-names":false,"suffix":""},{"dropping-particle":"","family":"Collins","given":"S N","non-dropping-particle":"","parse-names":false,"suffix":""},{"dropping-particle":"","family":"Verheyen","given":"K L P","non-dropping-particle":"","parse-names":false,"suffix":""},{"dropping-particle":"","family":"Newton","given":"J R","non-dropping-particle":"","parse-names":false,"suffix":""}],"container-title":"Veterinary journal (London, England : 1997)","id":"ITEM-2","issue":"1","issued":{"date-parts":[["2012","7"]]},"page":"58-66","publisher":"Elsevier Ltd","title":"Risk factors for equine laminitis: a systematic review with quality appraisal of published evidence.","type":"article-journal","volume":"193"},"uris":["http://www.mendeley.com/documents/?uuid=6c6c7f97-e1d0-46c6-9845-9b6f18bcb999"]},{"id":"ITEM-3","itemData":{"DOI":"10.1111/evj.12606","ISSN":"20423306","PMID":"27363591","abstract":"Background: Certain individuals appear to be predisposed to recurrent pasture-associated laminitis. Previous studies have predominantly investigated risk factors only after disease occurrence. Objectives: To investigate risk factors for pasture-associated laminitis prior to disease occurrence. Study design: Prospective cohort study. Methods: Non-laminitic ponies aged ≥7 years were recruited. Body condition score (BCS), height, weight, crest height and thickness were measured and an overnight dexamethasone suppression test performed. Plasma or serum adiponectin, leptin, triglyceride, basal insulin, insulin post-dexamethasone, insulin-like growth factor 1 (IGF-1), IGF binding protein 1 (IGFBP-1), IGFBP-3, C-reactive protein, von Willebrand's factor, soluble E-selectin and P-selectin concentrations were assayed. Follow-up data were obtained from owners annually for 3 years to ascertain occurrences of veterinarian-diagnosed pasture-associated laminitis. Data were analysed by multivariate logistic regression. Receiver operating characteristic (ROC) curves analysis was performed for significant risk factors and cut-off values determined. Results: A total of 446 animals with a median (interquartile range) age of 15 (10–20) years were recruited. Of these, 50.4% were mares and 49.6% were geldings. The most common breeds were Welsh (36.4%), Shetland (17.0%) and cob (9.4%). Overall, 72.2% of animals were overweight/obese (BCS 7–9/9), 27.3% were of ideal weight (BCS 4–6/9) and 0.5% were underweight (BCS 1–3/9). After 1, 2 and 3 years, respectively, 18 (4.0%), 30 (6.7%) and 44 (9.9%) animals were reported to have had laminitis. Plasma adiponectin, and serum basal (insulin) and (insulin) post-dexamethasone levels were significantly (P ≤ 0.05) associated with laminitis occurrence cumulatively after 1, 2 and 3 years. Use of the area under the ROC curves to distinguish animals that did and did not develop laminitis showed good (basal [insulin] after 1 year), fair (all others) or poor ([insulin] post-dexamethasone) levels of accuracy. Main limitations: Animals were evaluated at a single time point and biomarkers were assayed using single assays. Conclusions: Risk factors for future laminitis prior to disease occurrence include low plasma adiponectin and high serum basal insulin or insulin post-dexamethasone concentrations.","author":[{"dropping-particle":"","family":"Menzies-Gow","given":"N. J.","non-dropping-particle":"","parse-names":false,"suffix":""},{"dropping-particle":"","family":"Harris","given":"P. A.","non-dropping-particle":"","parse-names":false,"suffix":""},{"dropping-particle":"","family":"Elliott","given":"J.","non-dropping-particle":"","parse-names":false,"suffix":""}],"container-title":"Equine Veterinary Journal","id":"ITEM-3","issue":"3","issued":{"date-parts":[["2017"]]},"page":"300-306","title":"Prospective cohort study evaluating risk factors for the development of pasture-associated laminitis in the United Kingdom","type":"article-journal","volume":"49"},"uris":["http://www.mendeley.com/documents/?uuid=530b422b-8c05-4d48-808a-1833dde3a0ba"]}],"mendeley":{"formattedCitation":"[3–5]","plainTextFormattedCitation":"[3–5]","previouslyFormattedCitation":"[3–5]"},"properties":{"noteIndex":0},"schema":"https://github.com/citation-style-language/schema/raw/master/csl-citation.json"}</w:instrText>
      </w:r>
      <w:r w:rsidR="00C1677A" w:rsidRPr="0097679B">
        <w:rPr>
          <w:rFonts w:ascii="Arial" w:hAnsi="Arial" w:cs="Arial"/>
          <w:sz w:val="20"/>
          <w:szCs w:val="20"/>
        </w:rPr>
        <w:fldChar w:fldCharType="separate"/>
      </w:r>
      <w:r w:rsidR="00F5044F" w:rsidRPr="0097679B">
        <w:rPr>
          <w:rFonts w:ascii="Arial" w:hAnsi="Arial" w:cs="Arial"/>
          <w:noProof/>
          <w:sz w:val="20"/>
          <w:szCs w:val="20"/>
        </w:rPr>
        <w:t>[3–5]</w:t>
      </w:r>
      <w:r w:rsidR="00C1677A" w:rsidRPr="0097679B">
        <w:rPr>
          <w:rFonts w:ascii="Arial" w:hAnsi="Arial" w:cs="Arial"/>
          <w:sz w:val="20"/>
          <w:szCs w:val="20"/>
        </w:rPr>
        <w:fldChar w:fldCharType="end"/>
      </w:r>
      <w:r w:rsidR="00F24AD9" w:rsidRPr="0097679B">
        <w:rPr>
          <w:rFonts w:ascii="Arial" w:hAnsi="Arial" w:cs="Arial"/>
          <w:sz w:val="20"/>
          <w:szCs w:val="20"/>
        </w:rPr>
        <w:t xml:space="preserve">. However, </w:t>
      </w:r>
      <w:r w:rsidR="00AC6CED">
        <w:rPr>
          <w:rFonts w:ascii="Arial" w:hAnsi="Arial" w:cs="Arial"/>
          <w:sz w:val="20"/>
          <w:szCs w:val="20"/>
        </w:rPr>
        <w:t xml:space="preserve">the relative importance </w:t>
      </w:r>
      <w:r w:rsidR="00C1677A" w:rsidRPr="0097679B">
        <w:rPr>
          <w:rFonts w:ascii="Arial" w:hAnsi="Arial" w:cs="Arial"/>
          <w:sz w:val="20"/>
          <w:szCs w:val="20"/>
        </w:rPr>
        <w:t xml:space="preserve">of different risk factors and </w:t>
      </w:r>
      <w:r>
        <w:rPr>
          <w:rFonts w:ascii="Arial" w:hAnsi="Arial" w:cs="Arial"/>
          <w:sz w:val="20"/>
          <w:szCs w:val="20"/>
        </w:rPr>
        <w:t>precise</w:t>
      </w:r>
      <w:r w:rsidRPr="0097679B">
        <w:rPr>
          <w:rFonts w:ascii="Arial" w:hAnsi="Arial" w:cs="Arial"/>
          <w:sz w:val="20"/>
          <w:szCs w:val="20"/>
        </w:rPr>
        <w:t xml:space="preserve"> </w:t>
      </w:r>
      <w:r w:rsidR="00F24AD9" w:rsidRPr="0097679B">
        <w:rPr>
          <w:rFonts w:ascii="Arial" w:hAnsi="Arial" w:cs="Arial"/>
          <w:sz w:val="20"/>
          <w:szCs w:val="20"/>
        </w:rPr>
        <w:t>quantif</w:t>
      </w:r>
      <w:r>
        <w:rPr>
          <w:rFonts w:ascii="Arial" w:hAnsi="Arial" w:cs="Arial"/>
          <w:sz w:val="20"/>
          <w:szCs w:val="20"/>
        </w:rPr>
        <w:t>ication of</w:t>
      </w:r>
      <w:r w:rsidR="00F24AD9" w:rsidRPr="0097679B">
        <w:rPr>
          <w:rFonts w:ascii="Arial" w:hAnsi="Arial" w:cs="Arial"/>
          <w:sz w:val="20"/>
          <w:szCs w:val="20"/>
        </w:rPr>
        <w:t xml:space="preserve"> risk </w:t>
      </w:r>
      <w:r>
        <w:rPr>
          <w:rFonts w:ascii="Arial" w:hAnsi="Arial" w:cs="Arial"/>
          <w:sz w:val="20"/>
          <w:szCs w:val="20"/>
        </w:rPr>
        <w:t>requires further study</w:t>
      </w:r>
      <w:r w:rsidR="00F24AD9" w:rsidRPr="0097679B">
        <w:rPr>
          <w:rFonts w:ascii="Arial" w:hAnsi="Arial" w:cs="Arial"/>
          <w:sz w:val="20"/>
          <w:szCs w:val="20"/>
        </w:rPr>
        <w:t>.</w:t>
      </w:r>
      <w:r w:rsidR="007D5CF4" w:rsidRPr="0097679B">
        <w:rPr>
          <w:rFonts w:ascii="Arial" w:hAnsi="Arial" w:cs="Arial"/>
          <w:sz w:val="20"/>
          <w:szCs w:val="20"/>
        </w:rPr>
        <w:t xml:space="preserve"> </w:t>
      </w:r>
      <w:r w:rsidR="00144E73" w:rsidRPr="0097679B">
        <w:rPr>
          <w:rFonts w:ascii="Arial" w:hAnsi="Arial" w:cs="Arial"/>
          <w:sz w:val="20"/>
          <w:szCs w:val="20"/>
        </w:rPr>
        <w:t>A recent</w:t>
      </w:r>
      <w:r w:rsidR="00302CCF" w:rsidRPr="0097679B">
        <w:rPr>
          <w:rFonts w:ascii="Arial" w:hAnsi="Arial" w:cs="Arial"/>
          <w:sz w:val="20"/>
          <w:szCs w:val="20"/>
        </w:rPr>
        <w:t xml:space="preserve"> cohort</w:t>
      </w:r>
      <w:r w:rsidR="007D5CF4" w:rsidRPr="0097679B">
        <w:rPr>
          <w:rFonts w:ascii="Arial" w:hAnsi="Arial" w:cs="Arial"/>
          <w:sz w:val="20"/>
          <w:szCs w:val="20"/>
        </w:rPr>
        <w:t xml:space="preserve"> study of ponies in </w:t>
      </w:r>
      <w:r w:rsidR="006C7D32">
        <w:rPr>
          <w:rFonts w:ascii="Arial" w:hAnsi="Arial" w:cs="Arial"/>
          <w:sz w:val="20"/>
          <w:szCs w:val="20"/>
        </w:rPr>
        <w:t xml:space="preserve">Southern </w:t>
      </w:r>
      <w:r w:rsidR="00144E73" w:rsidRPr="0097679B">
        <w:rPr>
          <w:rFonts w:ascii="Arial" w:hAnsi="Arial" w:cs="Arial"/>
          <w:sz w:val="20"/>
          <w:szCs w:val="20"/>
        </w:rPr>
        <w:t>England reported a</w:t>
      </w:r>
      <w:r w:rsidR="006C7D32">
        <w:rPr>
          <w:rFonts w:ascii="Arial" w:hAnsi="Arial" w:cs="Arial"/>
          <w:sz w:val="20"/>
          <w:szCs w:val="20"/>
        </w:rPr>
        <w:t xml:space="preserve"> one-year</w:t>
      </w:r>
      <w:r w:rsidR="00144E73" w:rsidRPr="0097679B">
        <w:rPr>
          <w:rFonts w:ascii="Arial" w:hAnsi="Arial" w:cs="Arial"/>
          <w:sz w:val="20"/>
          <w:szCs w:val="20"/>
        </w:rPr>
        <w:t xml:space="preserve"> baseline</w:t>
      </w:r>
      <w:r w:rsidR="006C7D32">
        <w:rPr>
          <w:rFonts w:ascii="Arial" w:hAnsi="Arial" w:cs="Arial"/>
          <w:sz w:val="20"/>
          <w:szCs w:val="20"/>
        </w:rPr>
        <w:t xml:space="preserve"> risk for the development of laminitis of 4%</w:t>
      </w:r>
      <w:r w:rsidR="00144E73" w:rsidRPr="0097679B">
        <w:rPr>
          <w:rFonts w:ascii="Arial" w:hAnsi="Arial" w:cs="Arial"/>
          <w:sz w:val="20"/>
          <w:szCs w:val="20"/>
        </w:rPr>
        <w:t xml:space="preserve"> </w:t>
      </w:r>
      <w:r w:rsidR="00144E73" w:rsidRPr="0097679B">
        <w:rPr>
          <w:rFonts w:ascii="Arial" w:hAnsi="Arial" w:cs="Arial"/>
          <w:sz w:val="20"/>
          <w:szCs w:val="20"/>
        </w:rPr>
        <w:fldChar w:fldCharType="begin" w:fldLock="1"/>
      </w:r>
      <w:r w:rsidR="009926A0" w:rsidRPr="0097679B">
        <w:rPr>
          <w:rFonts w:ascii="Arial" w:hAnsi="Arial" w:cs="Arial"/>
          <w:sz w:val="20"/>
          <w:szCs w:val="20"/>
        </w:rPr>
        <w:instrText>ADDIN CSL_CITATION {"citationItems":[{"id":"ITEM-1","itemData":{"DOI":"10.1111/evj.12606","ISSN":"20423306","PMID":"27363591","abstract":"Background: Certain individuals appear to be predisposed to recurrent pasture-associated laminitis. Previous studies have predominantly investigated risk factors only after disease occurrence. Objectives: To investigate risk factors for pasture-associated laminitis prior to disease occurrence. Study design: Prospective cohort study. Methods: Non-laminitic ponies aged ≥7 years were recruited. Body condition score (BCS), height, weight, crest height and thickness were measured and an overnight dexamethasone suppression test performed. Plasma or serum adiponectin, leptin, triglyceride, basal insulin, insulin post-dexamethasone, insulin-like growth factor 1 (IGF-1), IGF binding protein 1 (IGFBP-1), IGFBP-3, C-reactive protein, von Willebrand's factor, soluble E-selectin and P-selectin concentrations were assayed. Follow-up data were obtained from owners annually for 3 years to ascertain occurrences of veterinarian-diagnosed pasture-associated laminitis. Data were analysed by multivariate logistic regression. Receiver operating characteristic (ROC) curves analysis was performed for significant risk factors and cut-off values determined. Results: A total of 446 animals with a median (interquartile range) age of 15 (10–20) years were recruited. Of these, 50.4% were mares and 49.6% were geldings. The most common breeds were Welsh (36.4%), Shetland (17.0%) and cob (9.4%). Overall, 72.2% of animals were overweight/obese (BCS 7–9/9), 27.3% were of ideal weight (BCS 4–6/9) and 0.5% were underweight (BCS 1–3/9). After 1, 2 and 3 years, respectively, 18 (4.0%), 30 (6.7%) and 44 (9.9%) animals were reported to have had laminitis. Plasma adiponectin, and serum basal (insulin) and (insulin) post-dexamethasone levels were significantly (P ≤ 0.05) associated with laminitis occurrence cumulatively after 1, 2 and 3 years. Use of the area under the ROC curves to distinguish animals that did and did not develop laminitis showed good (basal [insulin] after 1 year), fair (all others) or poor ([insulin] post-dexamethasone) levels of accuracy. Main limitations: Animals were evaluated at a single time point and biomarkers were assayed using single assays. Conclusions: Risk factors for future laminitis prior to disease occurrence include low plasma adiponectin and high serum basal insulin or insulin post-dexamethasone concentrations.","author":[{"dropping-particle":"","family":"Menzies-Gow","given":"N. J.","non-dropping-particle":"","parse-names":false,"suffix":""},{"dropping-particle":"","family":"Harris","given":"P. A.","non-dropping-particle":"","parse-names":false,"suffix":""},{"dropping-particle":"","family":"Elliott","given":"J.","non-dropping-particle":"","parse-names":false,"suffix":""}],"container-title":"Equine Veterinary Journal","id":"ITEM-1","issue":"3","issued":{"date-parts":[["2017"]]},"page":"300-306","title":"Prospective cohort study evaluating risk factors for the development of pasture-associated laminitis in the United Kingdom","type":"article-journal","volume":"49"},"uris":["http://www.mendeley.com/documents/?uuid=530b422b-8c05-4d48-808a-1833dde3a0ba"]}],"mendeley":{"formattedCitation":"[5]","plainTextFormattedCitation":"[5]","previouslyFormattedCitation":"[5]"},"properties":{"noteIndex":0},"schema":"https://github.com/citation-style-language/schema/raw/master/csl-citation.json"}</w:instrText>
      </w:r>
      <w:r w:rsidR="00144E73" w:rsidRPr="0097679B">
        <w:rPr>
          <w:rFonts w:ascii="Arial" w:hAnsi="Arial" w:cs="Arial"/>
          <w:sz w:val="20"/>
          <w:szCs w:val="20"/>
        </w:rPr>
        <w:fldChar w:fldCharType="separate"/>
      </w:r>
      <w:r w:rsidR="00F5044F" w:rsidRPr="0097679B">
        <w:rPr>
          <w:rFonts w:ascii="Arial" w:hAnsi="Arial" w:cs="Arial"/>
          <w:noProof/>
          <w:sz w:val="20"/>
          <w:szCs w:val="20"/>
        </w:rPr>
        <w:t>[5]</w:t>
      </w:r>
      <w:r w:rsidR="00144E73" w:rsidRPr="0097679B">
        <w:rPr>
          <w:rFonts w:ascii="Arial" w:hAnsi="Arial" w:cs="Arial"/>
          <w:sz w:val="20"/>
          <w:szCs w:val="20"/>
        </w:rPr>
        <w:fldChar w:fldCharType="end"/>
      </w:r>
      <w:r w:rsidR="00894481" w:rsidRPr="0097679B">
        <w:rPr>
          <w:rFonts w:ascii="Arial" w:hAnsi="Arial" w:cs="Arial"/>
          <w:sz w:val="20"/>
          <w:szCs w:val="20"/>
        </w:rPr>
        <w:t xml:space="preserve">. </w:t>
      </w:r>
      <w:r w:rsidR="006C7D32">
        <w:rPr>
          <w:rFonts w:ascii="Arial" w:hAnsi="Arial" w:cs="Arial"/>
          <w:sz w:val="20"/>
          <w:szCs w:val="20"/>
        </w:rPr>
        <w:t>T</w:t>
      </w:r>
      <w:r w:rsidR="007D5CF4" w:rsidRPr="0097679B">
        <w:rPr>
          <w:rFonts w:ascii="Arial" w:hAnsi="Arial" w:cs="Arial"/>
          <w:sz w:val="20"/>
          <w:szCs w:val="20"/>
        </w:rPr>
        <w:t>he</w:t>
      </w:r>
      <w:r w:rsidR="00894481" w:rsidRPr="0097679B">
        <w:rPr>
          <w:rFonts w:ascii="Arial" w:hAnsi="Arial" w:cs="Arial"/>
          <w:sz w:val="20"/>
          <w:szCs w:val="20"/>
        </w:rPr>
        <w:t xml:space="preserve"> estimated</w:t>
      </w:r>
      <w:r w:rsidR="007D5CF4" w:rsidRPr="0097679B">
        <w:rPr>
          <w:rFonts w:ascii="Arial" w:hAnsi="Arial" w:cs="Arial"/>
          <w:sz w:val="20"/>
          <w:szCs w:val="20"/>
        </w:rPr>
        <w:t xml:space="preserve"> one</w:t>
      </w:r>
      <w:r w:rsidR="006C7D32">
        <w:rPr>
          <w:rFonts w:ascii="Arial" w:hAnsi="Arial" w:cs="Arial"/>
          <w:sz w:val="20"/>
          <w:szCs w:val="20"/>
        </w:rPr>
        <w:t>-</w:t>
      </w:r>
      <w:r w:rsidR="007D5CF4" w:rsidRPr="0097679B">
        <w:rPr>
          <w:rFonts w:ascii="Arial" w:hAnsi="Arial" w:cs="Arial"/>
          <w:sz w:val="20"/>
          <w:szCs w:val="20"/>
        </w:rPr>
        <w:t>year</w:t>
      </w:r>
      <w:r w:rsidR="006C7D32">
        <w:rPr>
          <w:rFonts w:ascii="Arial" w:hAnsi="Arial" w:cs="Arial"/>
          <w:sz w:val="20"/>
          <w:szCs w:val="20"/>
        </w:rPr>
        <w:t xml:space="preserve"> risk increased to 9.3%</w:t>
      </w:r>
      <w:r w:rsidR="006C7D32" w:rsidRPr="0097679B">
        <w:rPr>
          <w:rFonts w:ascii="Arial" w:hAnsi="Arial" w:cs="Arial"/>
          <w:sz w:val="20"/>
          <w:szCs w:val="20"/>
        </w:rPr>
        <w:t xml:space="preserve"> in ponies with increased basal serum i</w:t>
      </w:r>
      <w:r w:rsidR="00540167">
        <w:rPr>
          <w:rFonts w:ascii="Arial" w:hAnsi="Arial" w:cs="Arial"/>
          <w:sz w:val="20"/>
          <w:szCs w:val="20"/>
        </w:rPr>
        <w:t>nsulin concentrations</w:t>
      </w:r>
      <w:r w:rsidR="006C7D32">
        <w:rPr>
          <w:rFonts w:ascii="Arial" w:hAnsi="Arial" w:cs="Arial"/>
          <w:sz w:val="20"/>
          <w:szCs w:val="20"/>
        </w:rPr>
        <w:t xml:space="preserve"> </w:t>
      </w:r>
      <w:r w:rsidR="007D5CF4" w:rsidRPr="0097679B">
        <w:rPr>
          <w:rFonts w:ascii="Arial" w:hAnsi="Arial" w:cs="Arial"/>
          <w:sz w:val="20"/>
          <w:szCs w:val="20"/>
        </w:rPr>
        <w:t>and</w:t>
      </w:r>
      <w:r w:rsidR="006C7D32">
        <w:rPr>
          <w:rFonts w:ascii="Arial" w:hAnsi="Arial" w:cs="Arial"/>
          <w:sz w:val="20"/>
          <w:szCs w:val="20"/>
        </w:rPr>
        <w:t xml:space="preserve"> to 13.9%</w:t>
      </w:r>
      <w:r w:rsidR="007D5CF4" w:rsidRPr="0097679B">
        <w:rPr>
          <w:rFonts w:ascii="Arial" w:hAnsi="Arial" w:cs="Arial"/>
          <w:sz w:val="20"/>
          <w:szCs w:val="20"/>
        </w:rPr>
        <w:t xml:space="preserve"> in those with low</w:t>
      </w:r>
      <w:r w:rsidR="00894481" w:rsidRPr="0097679B">
        <w:rPr>
          <w:rFonts w:ascii="Arial" w:hAnsi="Arial" w:cs="Arial"/>
          <w:sz w:val="20"/>
          <w:szCs w:val="20"/>
        </w:rPr>
        <w:t xml:space="preserve"> plasma adiponectin concentration</w:t>
      </w:r>
      <w:r w:rsidR="007D5CF4" w:rsidRPr="0097679B">
        <w:rPr>
          <w:rFonts w:ascii="Arial" w:hAnsi="Arial" w:cs="Arial"/>
          <w:sz w:val="20"/>
          <w:szCs w:val="20"/>
        </w:rPr>
        <w:t>s. However</w:t>
      </w:r>
      <w:r>
        <w:rPr>
          <w:rFonts w:ascii="Arial" w:hAnsi="Arial" w:cs="Arial"/>
          <w:sz w:val="20"/>
          <w:szCs w:val="20"/>
        </w:rPr>
        <w:t>,</w:t>
      </w:r>
      <w:r w:rsidR="00894481" w:rsidRPr="0097679B">
        <w:rPr>
          <w:rFonts w:ascii="Arial" w:hAnsi="Arial" w:cs="Arial"/>
          <w:sz w:val="20"/>
          <w:szCs w:val="20"/>
        </w:rPr>
        <w:t xml:space="preserve"> there was no benefit in combining these parameters into a clinical </w:t>
      </w:r>
      <w:r w:rsidR="00302CCF" w:rsidRPr="0097679B">
        <w:rPr>
          <w:rFonts w:ascii="Arial" w:hAnsi="Arial" w:cs="Arial"/>
          <w:sz w:val="20"/>
          <w:szCs w:val="20"/>
        </w:rPr>
        <w:t>prediction model. Ponies in that</w:t>
      </w:r>
      <w:r w:rsidR="00894481" w:rsidRPr="0097679B">
        <w:rPr>
          <w:rFonts w:ascii="Arial" w:hAnsi="Arial" w:cs="Arial"/>
          <w:sz w:val="20"/>
          <w:szCs w:val="20"/>
        </w:rPr>
        <w:t xml:space="preserve"> cohort stud</w:t>
      </w:r>
      <w:r w:rsidR="00A77A80" w:rsidRPr="0097679B">
        <w:rPr>
          <w:rFonts w:ascii="Arial" w:hAnsi="Arial" w:cs="Arial"/>
          <w:sz w:val="20"/>
          <w:szCs w:val="20"/>
        </w:rPr>
        <w:t>y were sampled</w:t>
      </w:r>
      <w:r w:rsidR="00894481" w:rsidRPr="0097679B">
        <w:rPr>
          <w:rFonts w:ascii="Arial" w:hAnsi="Arial" w:cs="Arial"/>
          <w:sz w:val="20"/>
          <w:szCs w:val="20"/>
        </w:rPr>
        <w:t xml:space="preserve"> </w:t>
      </w:r>
      <w:r>
        <w:rPr>
          <w:rFonts w:ascii="Arial" w:hAnsi="Arial" w:cs="Arial"/>
          <w:sz w:val="20"/>
          <w:szCs w:val="20"/>
        </w:rPr>
        <w:t xml:space="preserve">once </w:t>
      </w:r>
      <w:r w:rsidR="006C7D32">
        <w:rPr>
          <w:rFonts w:ascii="Arial" w:hAnsi="Arial" w:cs="Arial"/>
          <w:sz w:val="20"/>
          <w:szCs w:val="20"/>
        </w:rPr>
        <w:t>and management</w:t>
      </w:r>
      <w:r w:rsidR="007D5CF4" w:rsidRPr="0097679B">
        <w:rPr>
          <w:rFonts w:ascii="Arial" w:hAnsi="Arial" w:cs="Arial"/>
          <w:sz w:val="20"/>
          <w:szCs w:val="20"/>
        </w:rPr>
        <w:t xml:space="preserve"> data were not collected.</w:t>
      </w:r>
    </w:p>
    <w:p w14:paraId="21D1B2B9" w14:textId="08F3A693" w:rsidR="00F24AD9" w:rsidRPr="0097679B" w:rsidRDefault="00876734" w:rsidP="00144E73">
      <w:pPr>
        <w:spacing w:line="480" w:lineRule="auto"/>
        <w:contextualSpacing/>
        <w:rPr>
          <w:rFonts w:ascii="Arial" w:hAnsi="Arial" w:cs="Arial"/>
          <w:sz w:val="20"/>
          <w:szCs w:val="20"/>
        </w:rPr>
      </w:pPr>
      <w:r w:rsidRPr="0097679B">
        <w:rPr>
          <w:rFonts w:ascii="Arial" w:hAnsi="Arial" w:cs="Arial"/>
          <w:sz w:val="20"/>
          <w:szCs w:val="20"/>
        </w:rPr>
        <w:t>The present study sought</w:t>
      </w:r>
      <w:r w:rsidR="007D5CF4" w:rsidRPr="0097679B">
        <w:rPr>
          <w:rFonts w:ascii="Arial" w:hAnsi="Arial" w:cs="Arial"/>
          <w:sz w:val="20"/>
          <w:szCs w:val="20"/>
        </w:rPr>
        <w:t xml:space="preserve"> to improve the clinical prediction of</w:t>
      </w:r>
      <w:r w:rsidR="00224566">
        <w:rPr>
          <w:rFonts w:ascii="Arial" w:hAnsi="Arial" w:cs="Arial"/>
          <w:sz w:val="20"/>
          <w:szCs w:val="20"/>
        </w:rPr>
        <w:t xml:space="preserve"> the development of</w:t>
      </w:r>
      <w:r w:rsidR="007D5CF4" w:rsidRPr="0097679B">
        <w:rPr>
          <w:rFonts w:ascii="Arial" w:hAnsi="Arial" w:cs="Arial"/>
          <w:sz w:val="20"/>
          <w:szCs w:val="20"/>
        </w:rPr>
        <w:t xml:space="preserve"> laminitis</w:t>
      </w:r>
      <w:r w:rsidR="00751BFB" w:rsidRPr="0097679B">
        <w:rPr>
          <w:rFonts w:ascii="Arial" w:hAnsi="Arial" w:cs="Arial"/>
          <w:sz w:val="20"/>
          <w:szCs w:val="20"/>
        </w:rPr>
        <w:t xml:space="preserve"> in </w:t>
      </w:r>
      <w:r w:rsidR="00F9624A">
        <w:rPr>
          <w:rFonts w:ascii="Arial" w:hAnsi="Arial" w:cs="Arial"/>
          <w:sz w:val="20"/>
          <w:szCs w:val="20"/>
        </w:rPr>
        <w:t xml:space="preserve">a cohort of </w:t>
      </w:r>
      <w:r w:rsidR="00751BFB" w:rsidRPr="0097679B">
        <w:rPr>
          <w:rFonts w:ascii="Arial" w:hAnsi="Arial" w:cs="Arial"/>
          <w:sz w:val="20"/>
          <w:szCs w:val="20"/>
        </w:rPr>
        <w:t>privately</w:t>
      </w:r>
      <w:r w:rsidR="006C7D32">
        <w:rPr>
          <w:rFonts w:ascii="Arial" w:hAnsi="Arial" w:cs="Arial"/>
          <w:sz w:val="20"/>
          <w:szCs w:val="20"/>
        </w:rPr>
        <w:t>-</w:t>
      </w:r>
      <w:r w:rsidR="00751BFB" w:rsidRPr="0097679B">
        <w:rPr>
          <w:rFonts w:ascii="Arial" w:hAnsi="Arial" w:cs="Arial"/>
          <w:sz w:val="20"/>
          <w:szCs w:val="20"/>
        </w:rPr>
        <w:t xml:space="preserve">owned </w:t>
      </w:r>
      <w:r w:rsidR="00224566">
        <w:rPr>
          <w:rFonts w:ascii="Arial" w:hAnsi="Arial" w:cs="Arial"/>
          <w:sz w:val="20"/>
          <w:szCs w:val="20"/>
        </w:rPr>
        <w:t xml:space="preserve">non-laminitic </w:t>
      </w:r>
      <w:r w:rsidR="00751BFB" w:rsidRPr="0097679B">
        <w:rPr>
          <w:rFonts w:ascii="Arial" w:hAnsi="Arial" w:cs="Arial"/>
          <w:sz w:val="20"/>
          <w:szCs w:val="20"/>
        </w:rPr>
        <w:t>ponies in the South East of England.</w:t>
      </w:r>
      <w:r w:rsidR="007A2C72" w:rsidRPr="0097679B">
        <w:rPr>
          <w:rFonts w:ascii="Arial" w:hAnsi="Arial" w:cs="Arial"/>
          <w:sz w:val="20"/>
          <w:szCs w:val="20"/>
        </w:rPr>
        <w:t xml:space="preserve"> </w:t>
      </w:r>
      <w:r w:rsidR="00F9624A">
        <w:rPr>
          <w:rFonts w:ascii="Arial" w:hAnsi="Arial" w:cs="Arial"/>
          <w:sz w:val="20"/>
          <w:szCs w:val="20"/>
        </w:rPr>
        <w:t>It was</w:t>
      </w:r>
      <w:r w:rsidR="007A2C72" w:rsidRPr="0097679B">
        <w:rPr>
          <w:rFonts w:ascii="Arial" w:hAnsi="Arial" w:cs="Arial"/>
          <w:sz w:val="20"/>
          <w:szCs w:val="20"/>
        </w:rPr>
        <w:t xml:space="preserve"> hypothesised that the development of laminitis </w:t>
      </w:r>
      <w:r w:rsidR="00DB16B8" w:rsidRPr="0097679B">
        <w:rPr>
          <w:rFonts w:ascii="Arial" w:hAnsi="Arial" w:cs="Arial"/>
          <w:sz w:val="20"/>
          <w:szCs w:val="20"/>
        </w:rPr>
        <w:t>would be associated with</w:t>
      </w:r>
      <w:r w:rsidR="007A2C72" w:rsidRPr="0097679B">
        <w:rPr>
          <w:rFonts w:ascii="Arial" w:hAnsi="Arial" w:cs="Arial"/>
          <w:sz w:val="20"/>
          <w:szCs w:val="20"/>
        </w:rPr>
        <w:t xml:space="preserve"> man</w:t>
      </w:r>
      <w:r w:rsidR="00A6780B">
        <w:rPr>
          <w:rFonts w:ascii="Arial" w:hAnsi="Arial" w:cs="Arial"/>
          <w:sz w:val="20"/>
          <w:szCs w:val="20"/>
        </w:rPr>
        <w:t>agement, metabolic and physical-</w:t>
      </w:r>
      <w:r w:rsidR="007A2C72" w:rsidRPr="0097679B">
        <w:rPr>
          <w:rFonts w:ascii="Arial" w:hAnsi="Arial" w:cs="Arial"/>
          <w:sz w:val="20"/>
          <w:szCs w:val="20"/>
        </w:rPr>
        <w:t>examination findings that could be combined into a clinical prediction model.</w:t>
      </w:r>
    </w:p>
    <w:p w14:paraId="527CA4FE" w14:textId="5E7752A1" w:rsidR="00F24AD9" w:rsidRPr="0097679B" w:rsidRDefault="00F24AD9" w:rsidP="00144E73">
      <w:pPr>
        <w:spacing w:line="480" w:lineRule="auto"/>
        <w:contextualSpacing/>
        <w:rPr>
          <w:rFonts w:ascii="Arial" w:hAnsi="Arial" w:cs="Arial"/>
          <w:sz w:val="20"/>
          <w:szCs w:val="20"/>
        </w:rPr>
      </w:pPr>
      <w:r w:rsidRPr="0097679B">
        <w:rPr>
          <w:rFonts w:ascii="Arial" w:hAnsi="Arial" w:cs="Arial"/>
          <w:sz w:val="20"/>
          <w:szCs w:val="20"/>
        </w:rPr>
        <w:t xml:space="preserve">The </w:t>
      </w:r>
      <w:r w:rsidR="007A2C72" w:rsidRPr="0097679B">
        <w:rPr>
          <w:rFonts w:ascii="Arial" w:hAnsi="Arial" w:cs="Arial"/>
          <w:sz w:val="20"/>
          <w:szCs w:val="20"/>
        </w:rPr>
        <w:t xml:space="preserve">specific </w:t>
      </w:r>
      <w:r w:rsidRPr="0097679B">
        <w:rPr>
          <w:rFonts w:ascii="Arial" w:hAnsi="Arial" w:cs="Arial"/>
          <w:sz w:val="20"/>
          <w:szCs w:val="20"/>
        </w:rPr>
        <w:t>aims were</w:t>
      </w:r>
      <w:r w:rsidR="006C7D32">
        <w:rPr>
          <w:rFonts w:ascii="Arial" w:hAnsi="Arial" w:cs="Arial"/>
          <w:sz w:val="20"/>
          <w:szCs w:val="20"/>
        </w:rPr>
        <w:t xml:space="preserve"> to:</w:t>
      </w:r>
    </w:p>
    <w:p w14:paraId="2AD92F4D" w14:textId="3D722FC3" w:rsidR="00F206C0" w:rsidRPr="0097679B" w:rsidRDefault="00F206C0" w:rsidP="00144E73">
      <w:pPr>
        <w:pStyle w:val="ListParagraph"/>
        <w:numPr>
          <w:ilvl w:val="0"/>
          <w:numId w:val="5"/>
        </w:numPr>
        <w:spacing w:line="480" w:lineRule="auto"/>
        <w:rPr>
          <w:rFonts w:ascii="Arial" w:hAnsi="Arial" w:cs="Arial"/>
          <w:sz w:val="20"/>
          <w:szCs w:val="20"/>
        </w:rPr>
      </w:pPr>
      <w:r w:rsidRPr="0097679B">
        <w:rPr>
          <w:rFonts w:ascii="Arial" w:hAnsi="Arial" w:cs="Arial"/>
          <w:sz w:val="20"/>
          <w:szCs w:val="20"/>
        </w:rPr>
        <w:t>Report the incidence of laminitis</w:t>
      </w:r>
      <w:r w:rsidR="00460511">
        <w:rPr>
          <w:rFonts w:ascii="Arial" w:hAnsi="Arial" w:cs="Arial"/>
          <w:sz w:val="20"/>
          <w:szCs w:val="20"/>
        </w:rPr>
        <w:t xml:space="preserve"> </w:t>
      </w:r>
      <w:r w:rsidRPr="0097679B">
        <w:rPr>
          <w:rFonts w:ascii="Arial" w:hAnsi="Arial" w:cs="Arial"/>
          <w:sz w:val="20"/>
          <w:szCs w:val="20"/>
        </w:rPr>
        <w:t>development.</w:t>
      </w:r>
    </w:p>
    <w:p w14:paraId="0ADC1781" w14:textId="5BAE3513" w:rsidR="00C1677A" w:rsidRPr="0097679B" w:rsidRDefault="00F24AD9" w:rsidP="00144E73">
      <w:pPr>
        <w:pStyle w:val="ListParagraph"/>
        <w:numPr>
          <w:ilvl w:val="0"/>
          <w:numId w:val="5"/>
        </w:numPr>
        <w:spacing w:line="480" w:lineRule="auto"/>
        <w:rPr>
          <w:rFonts w:ascii="Arial" w:hAnsi="Arial" w:cs="Arial"/>
          <w:sz w:val="20"/>
          <w:szCs w:val="20"/>
        </w:rPr>
      </w:pPr>
      <w:r w:rsidRPr="0097679B">
        <w:rPr>
          <w:rFonts w:ascii="Arial" w:hAnsi="Arial" w:cs="Arial"/>
          <w:sz w:val="20"/>
          <w:szCs w:val="20"/>
        </w:rPr>
        <w:t xml:space="preserve">Determine the most important physical, metabolic and management risk </w:t>
      </w:r>
      <w:r w:rsidR="00F206C0" w:rsidRPr="0097679B">
        <w:rPr>
          <w:rFonts w:ascii="Arial" w:hAnsi="Arial" w:cs="Arial"/>
          <w:sz w:val="20"/>
          <w:szCs w:val="20"/>
        </w:rPr>
        <w:t xml:space="preserve">factors associated with </w:t>
      </w:r>
      <w:r w:rsidR="009D7A3B">
        <w:rPr>
          <w:rFonts w:ascii="Arial" w:hAnsi="Arial" w:cs="Arial"/>
          <w:sz w:val="20"/>
          <w:szCs w:val="20"/>
        </w:rPr>
        <w:t>laminitis</w:t>
      </w:r>
      <w:r w:rsidR="009D7A3B" w:rsidRPr="0097679B">
        <w:rPr>
          <w:rFonts w:ascii="Arial" w:hAnsi="Arial" w:cs="Arial"/>
          <w:sz w:val="20"/>
          <w:szCs w:val="20"/>
        </w:rPr>
        <w:t xml:space="preserve"> </w:t>
      </w:r>
      <w:r w:rsidR="00F206C0" w:rsidRPr="0097679B">
        <w:rPr>
          <w:rFonts w:ascii="Arial" w:hAnsi="Arial" w:cs="Arial"/>
          <w:sz w:val="20"/>
          <w:szCs w:val="20"/>
        </w:rPr>
        <w:t xml:space="preserve">development </w:t>
      </w:r>
      <w:r w:rsidR="009D7A3B">
        <w:rPr>
          <w:rFonts w:ascii="Arial" w:hAnsi="Arial" w:cs="Arial"/>
          <w:sz w:val="20"/>
          <w:szCs w:val="20"/>
        </w:rPr>
        <w:t>and</w:t>
      </w:r>
      <w:r w:rsidR="006C7D32">
        <w:rPr>
          <w:rFonts w:ascii="Arial" w:hAnsi="Arial" w:cs="Arial"/>
          <w:sz w:val="20"/>
          <w:szCs w:val="20"/>
        </w:rPr>
        <w:t xml:space="preserve"> </w:t>
      </w:r>
      <w:r w:rsidR="0038385E" w:rsidRPr="0097679B">
        <w:rPr>
          <w:rFonts w:ascii="Arial" w:hAnsi="Arial" w:cs="Arial"/>
          <w:sz w:val="20"/>
          <w:szCs w:val="20"/>
        </w:rPr>
        <w:t>combine</w:t>
      </w:r>
      <w:r w:rsidR="006C7D32">
        <w:rPr>
          <w:rFonts w:ascii="Arial" w:hAnsi="Arial" w:cs="Arial"/>
          <w:sz w:val="20"/>
          <w:szCs w:val="20"/>
        </w:rPr>
        <w:t xml:space="preserve"> these</w:t>
      </w:r>
      <w:r w:rsidR="0038385E" w:rsidRPr="0097679B">
        <w:rPr>
          <w:rFonts w:ascii="Arial" w:hAnsi="Arial" w:cs="Arial"/>
          <w:sz w:val="20"/>
          <w:szCs w:val="20"/>
        </w:rPr>
        <w:t xml:space="preserve"> to improve clinical prediction.</w:t>
      </w:r>
      <w:r w:rsidR="00F206C0" w:rsidRPr="0097679B">
        <w:rPr>
          <w:rFonts w:ascii="Arial" w:hAnsi="Arial" w:cs="Arial"/>
          <w:sz w:val="20"/>
          <w:szCs w:val="20"/>
        </w:rPr>
        <w:t xml:space="preserve"> </w:t>
      </w:r>
    </w:p>
    <w:p w14:paraId="79CD5290" w14:textId="33A39568" w:rsidR="00F206C0" w:rsidRPr="0097679B" w:rsidRDefault="009D7A3B" w:rsidP="00144E73">
      <w:pPr>
        <w:pStyle w:val="ListParagraph"/>
        <w:numPr>
          <w:ilvl w:val="0"/>
          <w:numId w:val="5"/>
        </w:numPr>
        <w:spacing w:line="480" w:lineRule="auto"/>
        <w:rPr>
          <w:rFonts w:ascii="Arial" w:hAnsi="Arial" w:cs="Arial"/>
          <w:sz w:val="20"/>
          <w:szCs w:val="20"/>
        </w:rPr>
      </w:pPr>
      <w:r>
        <w:rPr>
          <w:rFonts w:ascii="Arial" w:hAnsi="Arial" w:cs="Arial"/>
          <w:sz w:val="20"/>
          <w:szCs w:val="20"/>
        </w:rPr>
        <w:t>Devise a risk categorisation</w:t>
      </w:r>
      <w:r w:rsidR="00F206C0" w:rsidRPr="0097679B">
        <w:rPr>
          <w:rFonts w:ascii="Arial" w:hAnsi="Arial" w:cs="Arial"/>
          <w:sz w:val="20"/>
          <w:szCs w:val="20"/>
        </w:rPr>
        <w:t xml:space="preserve"> that </w:t>
      </w:r>
      <w:r w:rsidR="0008368D">
        <w:rPr>
          <w:rFonts w:ascii="Arial" w:hAnsi="Arial" w:cs="Arial"/>
          <w:sz w:val="20"/>
          <w:szCs w:val="20"/>
        </w:rPr>
        <w:t>cou</w:t>
      </w:r>
      <w:r w:rsidR="00D27713">
        <w:rPr>
          <w:rFonts w:ascii="Arial" w:hAnsi="Arial" w:cs="Arial"/>
          <w:sz w:val="20"/>
          <w:szCs w:val="20"/>
        </w:rPr>
        <w:t xml:space="preserve">ld </w:t>
      </w:r>
      <w:r w:rsidR="00F206C0" w:rsidRPr="0097679B">
        <w:rPr>
          <w:rFonts w:ascii="Arial" w:hAnsi="Arial" w:cs="Arial"/>
          <w:sz w:val="20"/>
          <w:szCs w:val="20"/>
        </w:rPr>
        <w:t>be readily communicated to pony owners and clinicians.</w:t>
      </w:r>
    </w:p>
    <w:p w14:paraId="16D56957" w14:textId="00B6925D" w:rsidR="00C1677A" w:rsidRPr="0097679B" w:rsidRDefault="00F206C0" w:rsidP="00894481">
      <w:pPr>
        <w:spacing w:line="480" w:lineRule="auto"/>
        <w:ind w:left="360"/>
        <w:contextualSpacing/>
        <w:rPr>
          <w:rFonts w:ascii="Arial" w:hAnsi="Arial" w:cs="Arial"/>
          <w:sz w:val="20"/>
          <w:szCs w:val="20"/>
        </w:rPr>
      </w:pPr>
      <w:r w:rsidRPr="0097679B">
        <w:rPr>
          <w:rFonts w:ascii="Arial" w:hAnsi="Arial" w:cs="Arial"/>
          <w:sz w:val="20"/>
          <w:szCs w:val="20"/>
        </w:rPr>
        <w:t xml:space="preserve"> </w:t>
      </w:r>
    </w:p>
    <w:p w14:paraId="2FE9CF31" w14:textId="06D2D50D" w:rsidR="0040589E" w:rsidRPr="0097679B" w:rsidRDefault="0040589E" w:rsidP="00144E73">
      <w:pPr>
        <w:spacing w:line="480" w:lineRule="auto"/>
        <w:contextualSpacing/>
        <w:rPr>
          <w:rFonts w:ascii="Arial" w:hAnsi="Arial" w:cs="Arial"/>
          <w:sz w:val="20"/>
          <w:szCs w:val="20"/>
        </w:rPr>
      </w:pPr>
      <w:r w:rsidRPr="0097679B">
        <w:rPr>
          <w:rFonts w:ascii="Arial" w:hAnsi="Arial" w:cs="Arial"/>
          <w:sz w:val="20"/>
          <w:szCs w:val="20"/>
        </w:rPr>
        <w:t>2 Materials and Methods</w:t>
      </w:r>
    </w:p>
    <w:p w14:paraId="675B4785" w14:textId="1D9D9870" w:rsidR="008E7FDB" w:rsidRPr="0097679B" w:rsidRDefault="00F206C0" w:rsidP="00C57AFD">
      <w:pPr>
        <w:spacing w:line="480" w:lineRule="auto"/>
        <w:rPr>
          <w:rFonts w:ascii="Arial" w:hAnsi="Arial" w:cs="Arial"/>
          <w:i/>
          <w:sz w:val="20"/>
          <w:szCs w:val="20"/>
        </w:rPr>
      </w:pPr>
      <w:r w:rsidRPr="0097679B">
        <w:rPr>
          <w:rFonts w:ascii="Arial" w:hAnsi="Arial" w:cs="Arial"/>
          <w:sz w:val="20"/>
          <w:szCs w:val="20"/>
        </w:rPr>
        <w:t xml:space="preserve">The study was approved by the Animal Welfare and Ethical Review Body of the </w:t>
      </w:r>
      <w:r w:rsidR="006C7D32">
        <w:rPr>
          <w:rFonts w:ascii="Arial" w:hAnsi="Arial" w:cs="Arial"/>
          <w:sz w:val="20"/>
          <w:szCs w:val="20"/>
        </w:rPr>
        <w:t>Royal Veterinary College and</w:t>
      </w:r>
      <w:r w:rsidRPr="0097679B">
        <w:rPr>
          <w:rFonts w:ascii="Arial" w:hAnsi="Arial" w:cs="Arial"/>
          <w:sz w:val="20"/>
          <w:szCs w:val="20"/>
        </w:rPr>
        <w:t xml:space="preserve"> conducted under a UK Home Office Licence (PED1AA054).</w:t>
      </w:r>
      <w:r w:rsidR="00A77A80" w:rsidRPr="0097679B">
        <w:rPr>
          <w:rFonts w:ascii="Arial" w:hAnsi="Arial" w:cs="Arial"/>
          <w:sz w:val="20"/>
          <w:szCs w:val="20"/>
        </w:rPr>
        <w:t xml:space="preserve"> A prospective cohort study design was used</w:t>
      </w:r>
      <w:r w:rsidR="006C7D32">
        <w:rPr>
          <w:rFonts w:ascii="Arial" w:hAnsi="Arial" w:cs="Arial"/>
          <w:sz w:val="20"/>
          <w:szCs w:val="20"/>
        </w:rPr>
        <w:t>. E</w:t>
      </w:r>
      <w:r w:rsidR="00B734D5" w:rsidRPr="0097679B">
        <w:rPr>
          <w:rFonts w:ascii="Arial" w:hAnsi="Arial" w:cs="Arial"/>
          <w:sz w:val="20"/>
          <w:szCs w:val="20"/>
        </w:rPr>
        <w:t xml:space="preserve">ach pony was visited </w:t>
      </w:r>
      <w:r w:rsidR="00A77A80" w:rsidRPr="0097679B">
        <w:rPr>
          <w:rFonts w:ascii="Arial" w:hAnsi="Arial" w:cs="Arial"/>
          <w:sz w:val="20"/>
          <w:szCs w:val="20"/>
        </w:rPr>
        <w:t>every six months</w:t>
      </w:r>
      <w:r w:rsidR="00B734D5" w:rsidRPr="0097679B">
        <w:rPr>
          <w:rFonts w:ascii="Arial" w:hAnsi="Arial" w:cs="Arial"/>
          <w:sz w:val="20"/>
          <w:szCs w:val="20"/>
        </w:rPr>
        <w:t xml:space="preserve"> </w:t>
      </w:r>
      <w:r w:rsidR="009D7A3B">
        <w:rPr>
          <w:rFonts w:ascii="Arial" w:hAnsi="Arial" w:cs="Arial"/>
          <w:sz w:val="20"/>
          <w:szCs w:val="20"/>
        </w:rPr>
        <w:t>(</w:t>
      </w:r>
      <w:r w:rsidR="00B734D5" w:rsidRPr="0097679B">
        <w:rPr>
          <w:rFonts w:ascii="Arial" w:hAnsi="Arial" w:cs="Arial"/>
          <w:sz w:val="20"/>
          <w:szCs w:val="20"/>
        </w:rPr>
        <w:t>spring and autumn</w:t>
      </w:r>
      <w:r w:rsidR="009D7A3B">
        <w:rPr>
          <w:rFonts w:ascii="Arial" w:hAnsi="Arial" w:cs="Arial"/>
          <w:sz w:val="20"/>
          <w:szCs w:val="20"/>
        </w:rPr>
        <w:t>)</w:t>
      </w:r>
      <w:r w:rsidR="00A77A80" w:rsidRPr="0097679B">
        <w:rPr>
          <w:rFonts w:ascii="Arial" w:hAnsi="Arial" w:cs="Arial"/>
          <w:sz w:val="20"/>
          <w:szCs w:val="20"/>
        </w:rPr>
        <w:t xml:space="preserve"> for up to eight visits</w:t>
      </w:r>
      <w:r w:rsidR="00B734D5" w:rsidRPr="0097679B">
        <w:rPr>
          <w:rFonts w:ascii="Arial" w:hAnsi="Arial" w:cs="Arial"/>
          <w:sz w:val="20"/>
          <w:szCs w:val="20"/>
        </w:rPr>
        <w:t xml:space="preserve"> (</w:t>
      </w:r>
      <w:r w:rsidR="006C7D32">
        <w:rPr>
          <w:rFonts w:ascii="Arial" w:hAnsi="Arial" w:cs="Arial"/>
          <w:sz w:val="20"/>
          <w:szCs w:val="20"/>
        </w:rPr>
        <w:t>2015-2019)</w:t>
      </w:r>
      <w:r w:rsidR="00224566">
        <w:rPr>
          <w:rFonts w:ascii="Arial" w:hAnsi="Arial" w:cs="Arial"/>
          <w:sz w:val="20"/>
          <w:szCs w:val="20"/>
        </w:rPr>
        <w:t>.</w:t>
      </w:r>
      <w:r w:rsidR="006C7D32">
        <w:rPr>
          <w:rFonts w:ascii="Arial" w:hAnsi="Arial" w:cs="Arial"/>
          <w:sz w:val="20"/>
          <w:szCs w:val="20"/>
        </w:rPr>
        <w:t xml:space="preserve"> </w:t>
      </w:r>
      <w:r w:rsidR="009D7A3B">
        <w:rPr>
          <w:rFonts w:ascii="Arial" w:hAnsi="Arial" w:cs="Arial"/>
          <w:sz w:val="20"/>
          <w:szCs w:val="20"/>
        </w:rPr>
        <w:t xml:space="preserve">Most </w:t>
      </w:r>
      <w:r w:rsidR="006C7D32">
        <w:rPr>
          <w:rFonts w:ascii="Arial" w:hAnsi="Arial" w:cs="Arial"/>
          <w:sz w:val="20"/>
          <w:szCs w:val="20"/>
        </w:rPr>
        <w:t>spring visits occurred</w:t>
      </w:r>
      <w:r w:rsidR="00B734D5" w:rsidRPr="0097679B">
        <w:rPr>
          <w:rFonts w:ascii="Arial" w:hAnsi="Arial" w:cs="Arial"/>
          <w:sz w:val="20"/>
          <w:szCs w:val="20"/>
        </w:rPr>
        <w:t xml:space="preserve"> between 15</w:t>
      </w:r>
      <w:r w:rsidR="00B734D5" w:rsidRPr="0097679B">
        <w:rPr>
          <w:rFonts w:ascii="Arial" w:hAnsi="Arial" w:cs="Arial"/>
          <w:sz w:val="20"/>
          <w:szCs w:val="20"/>
          <w:vertAlign w:val="superscript"/>
        </w:rPr>
        <w:t>th</w:t>
      </w:r>
      <w:r w:rsidR="00B734D5" w:rsidRPr="0097679B">
        <w:rPr>
          <w:rFonts w:ascii="Arial" w:hAnsi="Arial" w:cs="Arial"/>
          <w:sz w:val="20"/>
          <w:szCs w:val="20"/>
        </w:rPr>
        <w:t xml:space="preserve"> March-15</w:t>
      </w:r>
      <w:r w:rsidR="00B734D5" w:rsidRPr="0097679B">
        <w:rPr>
          <w:rFonts w:ascii="Arial" w:hAnsi="Arial" w:cs="Arial"/>
          <w:sz w:val="20"/>
          <w:szCs w:val="20"/>
          <w:vertAlign w:val="superscript"/>
        </w:rPr>
        <w:t>th</w:t>
      </w:r>
      <w:r w:rsidR="00034AB9">
        <w:rPr>
          <w:rFonts w:ascii="Arial" w:hAnsi="Arial" w:cs="Arial"/>
          <w:sz w:val="20"/>
          <w:szCs w:val="20"/>
        </w:rPr>
        <w:t xml:space="preserve"> April, and</w:t>
      </w:r>
      <w:r w:rsidR="006C7D32">
        <w:rPr>
          <w:rFonts w:ascii="Arial" w:hAnsi="Arial" w:cs="Arial"/>
          <w:sz w:val="20"/>
          <w:szCs w:val="20"/>
        </w:rPr>
        <w:t xml:space="preserve"> autumn visits between</w:t>
      </w:r>
      <w:r w:rsidR="00F809D0">
        <w:rPr>
          <w:rFonts w:ascii="Arial" w:hAnsi="Arial" w:cs="Arial"/>
          <w:sz w:val="20"/>
          <w:szCs w:val="20"/>
        </w:rPr>
        <w:t xml:space="preserve"> </w:t>
      </w:r>
      <w:r w:rsidR="00B734D5" w:rsidRPr="0097679B">
        <w:rPr>
          <w:rFonts w:ascii="Arial" w:hAnsi="Arial" w:cs="Arial"/>
          <w:sz w:val="20"/>
          <w:szCs w:val="20"/>
        </w:rPr>
        <w:t>15</w:t>
      </w:r>
      <w:r w:rsidR="00B734D5" w:rsidRPr="0097679B">
        <w:rPr>
          <w:rFonts w:ascii="Arial" w:hAnsi="Arial" w:cs="Arial"/>
          <w:sz w:val="20"/>
          <w:szCs w:val="20"/>
          <w:vertAlign w:val="superscript"/>
        </w:rPr>
        <w:t>th</w:t>
      </w:r>
      <w:r w:rsidR="00B734D5" w:rsidRPr="0097679B">
        <w:rPr>
          <w:rFonts w:ascii="Arial" w:hAnsi="Arial" w:cs="Arial"/>
          <w:sz w:val="20"/>
          <w:szCs w:val="20"/>
        </w:rPr>
        <w:t xml:space="preserve"> September-15</w:t>
      </w:r>
      <w:r w:rsidR="00B734D5" w:rsidRPr="0097679B">
        <w:rPr>
          <w:rFonts w:ascii="Arial" w:hAnsi="Arial" w:cs="Arial"/>
          <w:sz w:val="20"/>
          <w:szCs w:val="20"/>
          <w:vertAlign w:val="superscript"/>
        </w:rPr>
        <w:t>th</w:t>
      </w:r>
      <w:r w:rsidR="00B734D5" w:rsidRPr="0097679B">
        <w:rPr>
          <w:rFonts w:ascii="Arial" w:hAnsi="Arial" w:cs="Arial"/>
          <w:sz w:val="20"/>
          <w:szCs w:val="20"/>
        </w:rPr>
        <w:t xml:space="preserve"> October</w:t>
      </w:r>
      <w:r w:rsidR="006C7D32">
        <w:rPr>
          <w:rFonts w:ascii="Arial" w:hAnsi="Arial" w:cs="Arial"/>
          <w:sz w:val="20"/>
          <w:szCs w:val="20"/>
        </w:rPr>
        <w:t>.</w:t>
      </w:r>
      <w:r w:rsidR="00B734D5" w:rsidRPr="0097679B">
        <w:rPr>
          <w:rFonts w:ascii="Arial" w:hAnsi="Arial" w:cs="Arial"/>
          <w:sz w:val="20"/>
          <w:szCs w:val="20"/>
        </w:rPr>
        <w:t xml:space="preserve"> Po</w:t>
      </w:r>
      <w:r w:rsidR="00A77A80" w:rsidRPr="0097679B">
        <w:rPr>
          <w:rFonts w:ascii="Arial" w:hAnsi="Arial" w:cs="Arial"/>
          <w:sz w:val="20"/>
          <w:szCs w:val="20"/>
        </w:rPr>
        <w:t>nies were followed-up for the development of laminitis.</w:t>
      </w:r>
      <w:r w:rsidR="00B734D5" w:rsidRPr="0097679B">
        <w:rPr>
          <w:rFonts w:ascii="Arial" w:hAnsi="Arial" w:cs="Arial"/>
          <w:sz w:val="20"/>
          <w:szCs w:val="20"/>
        </w:rPr>
        <w:t xml:space="preserve"> For ease of analysis</w:t>
      </w:r>
      <w:r w:rsidR="00D27713">
        <w:rPr>
          <w:rFonts w:ascii="Arial" w:hAnsi="Arial" w:cs="Arial"/>
          <w:sz w:val="20"/>
          <w:szCs w:val="20"/>
        </w:rPr>
        <w:t>,</w:t>
      </w:r>
      <w:r w:rsidR="00B734D5" w:rsidRPr="0097679B">
        <w:rPr>
          <w:rFonts w:ascii="Arial" w:hAnsi="Arial" w:cs="Arial"/>
          <w:sz w:val="20"/>
          <w:szCs w:val="20"/>
        </w:rPr>
        <w:t xml:space="preserve"> visit dates were notionally assigned as 1</w:t>
      </w:r>
      <w:r w:rsidR="00B734D5" w:rsidRPr="0097679B">
        <w:rPr>
          <w:rFonts w:ascii="Arial" w:hAnsi="Arial" w:cs="Arial"/>
          <w:sz w:val="20"/>
          <w:szCs w:val="20"/>
          <w:vertAlign w:val="superscript"/>
        </w:rPr>
        <w:t>st</w:t>
      </w:r>
      <w:r w:rsidR="00B734D5" w:rsidRPr="0097679B">
        <w:rPr>
          <w:rFonts w:ascii="Arial" w:hAnsi="Arial" w:cs="Arial"/>
          <w:sz w:val="20"/>
          <w:szCs w:val="20"/>
        </w:rPr>
        <w:t xml:space="preserve"> April and 1</w:t>
      </w:r>
      <w:r w:rsidR="00B734D5" w:rsidRPr="0097679B">
        <w:rPr>
          <w:rFonts w:ascii="Arial" w:hAnsi="Arial" w:cs="Arial"/>
          <w:sz w:val="20"/>
          <w:szCs w:val="20"/>
          <w:vertAlign w:val="superscript"/>
        </w:rPr>
        <w:t>st</w:t>
      </w:r>
      <w:r w:rsidR="00B734D5" w:rsidRPr="0097679B">
        <w:rPr>
          <w:rFonts w:ascii="Arial" w:hAnsi="Arial" w:cs="Arial"/>
          <w:sz w:val="20"/>
          <w:szCs w:val="20"/>
        </w:rPr>
        <w:t xml:space="preserve"> October for spring and autumn respectively.</w:t>
      </w:r>
      <w:r w:rsidR="00B734D5" w:rsidRPr="0097679B">
        <w:rPr>
          <w:rFonts w:ascii="Arial" w:hAnsi="Arial" w:cs="Arial"/>
          <w:i/>
          <w:sz w:val="20"/>
          <w:szCs w:val="20"/>
        </w:rPr>
        <w:t xml:space="preserve"> </w:t>
      </w:r>
    </w:p>
    <w:p w14:paraId="4CF33C10" w14:textId="221C9001" w:rsidR="00751BFB" w:rsidRPr="0097679B" w:rsidRDefault="00751BFB" w:rsidP="00C57AFD">
      <w:pPr>
        <w:spacing w:line="480" w:lineRule="auto"/>
        <w:rPr>
          <w:rFonts w:ascii="Arial" w:hAnsi="Arial" w:cs="Arial"/>
          <w:i/>
          <w:sz w:val="20"/>
          <w:szCs w:val="20"/>
        </w:rPr>
      </w:pPr>
      <w:r w:rsidRPr="0097679B">
        <w:rPr>
          <w:rFonts w:ascii="Arial" w:hAnsi="Arial" w:cs="Arial"/>
          <w:i/>
          <w:sz w:val="20"/>
          <w:szCs w:val="20"/>
        </w:rPr>
        <w:lastRenderedPageBreak/>
        <w:t>2.1 Animals</w:t>
      </w:r>
    </w:p>
    <w:p w14:paraId="43F8A9D2" w14:textId="374880E7" w:rsidR="00751BFB" w:rsidRPr="0097679B" w:rsidRDefault="00034AB9" w:rsidP="00C57AFD">
      <w:pPr>
        <w:spacing w:line="480" w:lineRule="auto"/>
        <w:rPr>
          <w:rFonts w:ascii="Arial" w:hAnsi="Arial" w:cs="Arial"/>
          <w:sz w:val="20"/>
          <w:szCs w:val="20"/>
        </w:rPr>
      </w:pPr>
      <w:r>
        <w:rPr>
          <w:rFonts w:ascii="Arial" w:hAnsi="Arial" w:cs="Arial"/>
          <w:sz w:val="20"/>
          <w:szCs w:val="20"/>
        </w:rPr>
        <w:t>P</w:t>
      </w:r>
      <w:r w:rsidR="00751BFB" w:rsidRPr="0097679B">
        <w:rPr>
          <w:rFonts w:ascii="Arial" w:hAnsi="Arial" w:cs="Arial"/>
          <w:sz w:val="20"/>
          <w:szCs w:val="20"/>
        </w:rPr>
        <w:t>ony</w:t>
      </w:r>
      <w:r>
        <w:rPr>
          <w:rFonts w:ascii="Arial" w:hAnsi="Arial" w:cs="Arial"/>
          <w:sz w:val="20"/>
          <w:szCs w:val="20"/>
        </w:rPr>
        <w:t>-</w:t>
      </w:r>
      <w:r w:rsidR="00751BFB" w:rsidRPr="0097679B">
        <w:rPr>
          <w:rFonts w:ascii="Arial" w:hAnsi="Arial" w:cs="Arial"/>
          <w:sz w:val="20"/>
          <w:szCs w:val="20"/>
        </w:rPr>
        <w:t xml:space="preserve">owner recruitment and inclusion criteria have been reported previously </w:t>
      </w:r>
      <w:r w:rsidR="00751BFB" w:rsidRPr="0097679B">
        <w:rPr>
          <w:rFonts w:ascii="Arial" w:hAnsi="Arial" w:cs="Arial"/>
          <w:sz w:val="20"/>
          <w:szCs w:val="20"/>
        </w:rPr>
        <w:fldChar w:fldCharType="begin" w:fldLock="1"/>
      </w:r>
      <w:r w:rsidR="009926A0" w:rsidRPr="0097679B">
        <w:rPr>
          <w:rFonts w:ascii="Arial" w:hAnsi="Arial" w:cs="Arial"/>
          <w:sz w:val="20"/>
          <w:szCs w:val="20"/>
        </w:rPr>
        <w:instrText>ADDIN CSL_CITATION {"citationItems":[{"id":"ITEM-1","itemData":{"DOI":"10.1111/evj.12797","author":[{"dropping-particle":"","family":"Knowles","given":"E J","non-dropping-particle":"","parse-names":false,"suffix":""},{"dropping-particle":"","family":"Shaw","given":"S","non-dropping-particle":"","parse-names":false,"suffix":""},{"dropping-particle":"","family":"Harris","given":"P A","non-dropping-particle":"","parse-names":false,"suffix":""},{"dropping-particle":"","family":"Elliott","given":"J","non-dropping-particle":"","parse-names":false,"suffix":""}],"container-title":"Equine Vet J","id":"ITEM-1","issued":{"date-parts":[["2018"]]},"page":"672-677","title":"Plasma adrenocorticotropic hormone ( ACTH ) concentrations in ponies measured by two different assays suggests seasonal cross-reactivity or interference","type":"article-journal","volume":"50"},"uris":["http://www.mendeley.com/documents/?uuid=f4f084e6-4e9b-40ff-aacb-9a5907845c45"]}],"mendeley":{"formattedCitation":"[6]","plainTextFormattedCitation":"[6]","previouslyFormattedCitation":"[6]"},"properties":{"noteIndex":0},"schema":"https://github.com/citation-style-language/schema/raw/master/csl-citation.json"}</w:instrText>
      </w:r>
      <w:r w:rsidR="00751BFB" w:rsidRPr="0097679B">
        <w:rPr>
          <w:rFonts w:ascii="Arial" w:hAnsi="Arial" w:cs="Arial"/>
          <w:sz w:val="20"/>
          <w:szCs w:val="20"/>
        </w:rPr>
        <w:fldChar w:fldCharType="separate"/>
      </w:r>
      <w:r w:rsidR="00F5044F" w:rsidRPr="0097679B">
        <w:rPr>
          <w:rFonts w:ascii="Arial" w:hAnsi="Arial" w:cs="Arial"/>
          <w:noProof/>
          <w:sz w:val="20"/>
          <w:szCs w:val="20"/>
        </w:rPr>
        <w:t>[6]</w:t>
      </w:r>
      <w:r w:rsidR="00751BFB" w:rsidRPr="0097679B">
        <w:rPr>
          <w:rFonts w:ascii="Arial" w:hAnsi="Arial" w:cs="Arial"/>
          <w:sz w:val="20"/>
          <w:szCs w:val="20"/>
        </w:rPr>
        <w:fldChar w:fldCharType="end"/>
      </w:r>
      <w:r w:rsidR="00751BFB" w:rsidRPr="0097679B">
        <w:rPr>
          <w:rFonts w:ascii="Arial" w:hAnsi="Arial" w:cs="Arial"/>
          <w:sz w:val="20"/>
          <w:szCs w:val="20"/>
        </w:rPr>
        <w:t>.</w:t>
      </w:r>
      <w:r w:rsidR="00144E73" w:rsidRPr="0097679B">
        <w:rPr>
          <w:rFonts w:ascii="Arial" w:hAnsi="Arial" w:cs="Arial"/>
          <w:sz w:val="20"/>
          <w:szCs w:val="20"/>
        </w:rPr>
        <w:t xml:space="preserve"> Briefly, eligible animals were ponies (≤149cm wit</w:t>
      </w:r>
      <w:r w:rsidR="00A77A80" w:rsidRPr="0097679B">
        <w:rPr>
          <w:rFonts w:ascii="Arial" w:hAnsi="Arial" w:cs="Arial"/>
          <w:sz w:val="20"/>
          <w:szCs w:val="20"/>
        </w:rPr>
        <w:t>h shoes)</w:t>
      </w:r>
      <w:r w:rsidR="009D7A3B">
        <w:rPr>
          <w:rFonts w:ascii="Arial" w:hAnsi="Arial" w:cs="Arial"/>
          <w:sz w:val="20"/>
          <w:szCs w:val="20"/>
        </w:rPr>
        <w:t>,</w:t>
      </w:r>
      <w:r w:rsidR="00A77A80" w:rsidRPr="0097679B">
        <w:rPr>
          <w:rFonts w:ascii="Arial" w:hAnsi="Arial" w:cs="Arial"/>
          <w:sz w:val="20"/>
          <w:szCs w:val="20"/>
        </w:rPr>
        <w:t xml:space="preserve"> </w:t>
      </w:r>
      <w:r w:rsidR="009D7A3B">
        <w:rPr>
          <w:rFonts w:ascii="Arial" w:hAnsi="Arial" w:cs="Arial"/>
          <w:sz w:val="20"/>
          <w:szCs w:val="20"/>
        </w:rPr>
        <w:t>≥</w:t>
      </w:r>
      <w:r w:rsidR="00A77A80" w:rsidRPr="0097679B">
        <w:rPr>
          <w:rFonts w:ascii="Arial" w:hAnsi="Arial" w:cs="Arial"/>
          <w:sz w:val="20"/>
          <w:szCs w:val="20"/>
        </w:rPr>
        <w:t>5-years of age</w:t>
      </w:r>
      <w:r w:rsidR="00144E73" w:rsidRPr="0097679B">
        <w:rPr>
          <w:rFonts w:ascii="Arial" w:hAnsi="Arial" w:cs="Arial"/>
          <w:sz w:val="20"/>
          <w:szCs w:val="20"/>
        </w:rPr>
        <w:t xml:space="preserve"> with no known history of veterinary</w:t>
      </w:r>
      <w:r w:rsidR="008E7FDB" w:rsidRPr="0097679B">
        <w:rPr>
          <w:rFonts w:ascii="Arial" w:hAnsi="Arial" w:cs="Arial"/>
          <w:sz w:val="20"/>
          <w:szCs w:val="20"/>
        </w:rPr>
        <w:t>-</w:t>
      </w:r>
      <w:r w:rsidR="00144E73" w:rsidRPr="0097679B">
        <w:rPr>
          <w:rFonts w:ascii="Arial" w:hAnsi="Arial" w:cs="Arial"/>
          <w:sz w:val="20"/>
          <w:szCs w:val="20"/>
        </w:rPr>
        <w:t>confirmed laminitis</w:t>
      </w:r>
      <w:r w:rsidR="00683DB5" w:rsidRPr="0097679B">
        <w:rPr>
          <w:rFonts w:ascii="Arial" w:hAnsi="Arial" w:cs="Arial"/>
          <w:sz w:val="20"/>
          <w:szCs w:val="20"/>
        </w:rPr>
        <w:t xml:space="preserve"> that were kept at a site with at least five eligible ponies</w:t>
      </w:r>
      <w:r w:rsidR="008E7FDB" w:rsidRPr="0097679B">
        <w:rPr>
          <w:rFonts w:ascii="Arial" w:hAnsi="Arial" w:cs="Arial"/>
          <w:sz w:val="20"/>
          <w:szCs w:val="20"/>
        </w:rPr>
        <w:t>. Ponies were excluded</w:t>
      </w:r>
      <w:r w:rsidR="00144E73" w:rsidRPr="0097679B">
        <w:rPr>
          <w:rFonts w:ascii="Arial" w:hAnsi="Arial" w:cs="Arial"/>
          <w:sz w:val="20"/>
          <w:szCs w:val="20"/>
        </w:rPr>
        <w:t xml:space="preserve"> if they were pregnant, receiving pharmaceutical treatment for pituitary </w:t>
      </w:r>
      <w:r w:rsidR="00144E73" w:rsidRPr="0097679B">
        <w:rPr>
          <w:rFonts w:ascii="Arial" w:hAnsi="Arial" w:cs="Arial"/>
          <w:i/>
          <w:sz w:val="20"/>
          <w:szCs w:val="20"/>
        </w:rPr>
        <w:t xml:space="preserve">pars intermedia </w:t>
      </w:r>
      <w:r w:rsidR="00894481" w:rsidRPr="0097679B">
        <w:rPr>
          <w:rFonts w:ascii="Arial" w:hAnsi="Arial" w:cs="Arial"/>
          <w:sz w:val="20"/>
          <w:szCs w:val="20"/>
        </w:rPr>
        <w:t>dysfunction</w:t>
      </w:r>
      <w:r w:rsidR="007D5CF4" w:rsidRPr="0097679B">
        <w:rPr>
          <w:rFonts w:ascii="Arial" w:hAnsi="Arial" w:cs="Arial"/>
          <w:sz w:val="20"/>
          <w:szCs w:val="20"/>
        </w:rPr>
        <w:t xml:space="preserve"> (PPID)</w:t>
      </w:r>
      <w:r w:rsidR="008E7FDB" w:rsidRPr="0097679B">
        <w:rPr>
          <w:rFonts w:ascii="Arial" w:hAnsi="Arial" w:cs="Arial"/>
          <w:sz w:val="20"/>
          <w:szCs w:val="20"/>
        </w:rPr>
        <w:t xml:space="preserve"> or if laminitis,</w:t>
      </w:r>
      <w:r w:rsidR="00894481" w:rsidRPr="0097679B">
        <w:rPr>
          <w:rFonts w:ascii="Arial" w:hAnsi="Arial" w:cs="Arial"/>
          <w:sz w:val="20"/>
          <w:szCs w:val="20"/>
        </w:rPr>
        <w:t xml:space="preserve"> significant other lameness or other disease </w:t>
      </w:r>
      <w:r w:rsidR="008E7FDB" w:rsidRPr="0097679B">
        <w:rPr>
          <w:rFonts w:ascii="Arial" w:hAnsi="Arial" w:cs="Arial"/>
          <w:sz w:val="20"/>
          <w:szCs w:val="20"/>
        </w:rPr>
        <w:t>was evident</w:t>
      </w:r>
      <w:r w:rsidR="00894481" w:rsidRPr="0097679B">
        <w:rPr>
          <w:rFonts w:ascii="Arial" w:hAnsi="Arial" w:cs="Arial"/>
          <w:sz w:val="20"/>
          <w:szCs w:val="20"/>
        </w:rPr>
        <w:t xml:space="preserve"> at the time of data collection. Ponies could enter the study at any data collection </w:t>
      </w:r>
      <w:r w:rsidR="007005DC">
        <w:rPr>
          <w:rFonts w:ascii="Arial" w:hAnsi="Arial" w:cs="Arial"/>
          <w:sz w:val="20"/>
          <w:szCs w:val="20"/>
        </w:rPr>
        <w:t>point</w:t>
      </w:r>
      <w:r w:rsidR="007005DC" w:rsidRPr="0097679B">
        <w:rPr>
          <w:rFonts w:ascii="Arial" w:hAnsi="Arial" w:cs="Arial"/>
          <w:sz w:val="20"/>
          <w:szCs w:val="20"/>
        </w:rPr>
        <w:t xml:space="preserve"> </w:t>
      </w:r>
      <w:r w:rsidR="00894481" w:rsidRPr="0097679B">
        <w:rPr>
          <w:rFonts w:ascii="Arial" w:hAnsi="Arial" w:cs="Arial"/>
          <w:sz w:val="20"/>
          <w:szCs w:val="20"/>
        </w:rPr>
        <w:t xml:space="preserve">and </w:t>
      </w:r>
      <w:r w:rsidR="000A106E" w:rsidRPr="0097679B">
        <w:rPr>
          <w:rFonts w:ascii="Arial" w:hAnsi="Arial" w:cs="Arial"/>
          <w:sz w:val="20"/>
          <w:szCs w:val="20"/>
        </w:rPr>
        <w:t>all eligible ponies</w:t>
      </w:r>
      <w:r w:rsidR="007005DC">
        <w:rPr>
          <w:rFonts w:ascii="Arial" w:hAnsi="Arial" w:cs="Arial"/>
          <w:sz w:val="20"/>
          <w:szCs w:val="20"/>
        </w:rPr>
        <w:t xml:space="preserve"> (owner consent permitting)</w:t>
      </w:r>
      <w:r w:rsidR="000A106E" w:rsidRPr="0097679B">
        <w:rPr>
          <w:rFonts w:ascii="Arial" w:hAnsi="Arial" w:cs="Arial"/>
          <w:sz w:val="20"/>
          <w:szCs w:val="20"/>
        </w:rPr>
        <w:t xml:space="preserve"> were included at each data collection time at each premises.</w:t>
      </w:r>
      <w:r w:rsidR="00302CCF" w:rsidRPr="0097679B">
        <w:rPr>
          <w:rFonts w:ascii="Arial" w:hAnsi="Arial" w:cs="Arial"/>
          <w:sz w:val="20"/>
          <w:szCs w:val="20"/>
        </w:rPr>
        <w:t xml:space="preserve"> Alt</w:t>
      </w:r>
      <w:r w:rsidR="007D5CF4" w:rsidRPr="0097679B">
        <w:rPr>
          <w:rFonts w:ascii="Arial" w:hAnsi="Arial" w:cs="Arial"/>
          <w:sz w:val="20"/>
          <w:szCs w:val="20"/>
        </w:rPr>
        <w:t>hough</w:t>
      </w:r>
      <w:r w:rsidR="007574F8" w:rsidRPr="0097679B">
        <w:rPr>
          <w:rFonts w:ascii="Arial" w:hAnsi="Arial" w:cs="Arial"/>
          <w:sz w:val="20"/>
          <w:szCs w:val="20"/>
        </w:rPr>
        <w:t xml:space="preserve"> a survival analysis</w:t>
      </w:r>
      <w:r w:rsidR="007D5CF4" w:rsidRPr="0097679B">
        <w:rPr>
          <w:rFonts w:ascii="Arial" w:hAnsi="Arial" w:cs="Arial"/>
          <w:sz w:val="20"/>
          <w:szCs w:val="20"/>
        </w:rPr>
        <w:t xml:space="preserve"> was planned</w:t>
      </w:r>
      <w:r w:rsidR="007574F8" w:rsidRPr="0097679B">
        <w:rPr>
          <w:rFonts w:ascii="Arial" w:hAnsi="Arial" w:cs="Arial"/>
          <w:sz w:val="20"/>
          <w:szCs w:val="20"/>
        </w:rPr>
        <w:t>, for practical reasons a sample size calculation was based on a binary/logistic analysis. The calculation assumed</w:t>
      </w:r>
      <w:r w:rsidR="002668D7" w:rsidRPr="0097679B">
        <w:rPr>
          <w:rFonts w:ascii="Arial" w:hAnsi="Arial" w:cs="Arial"/>
          <w:sz w:val="20"/>
          <w:szCs w:val="20"/>
        </w:rPr>
        <w:t>:</w:t>
      </w:r>
      <w:r w:rsidR="007574F8" w:rsidRPr="0097679B">
        <w:rPr>
          <w:rFonts w:ascii="Arial" w:hAnsi="Arial" w:cs="Arial"/>
          <w:sz w:val="20"/>
          <w:szCs w:val="20"/>
        </w:rPr>
        <w:t xml:space="preserve"> an average follow</w:t>
      </w:r>
      <w:r w:rsidR="008A08FE">
        <w:rPr>
          <w:rFonts w:ascii="Arial" w:hAnsi="Arial" w:cs="Arial"/>
          <w:sz w:val="20"/>
          <w:szCs w:val="20"/>
        </w:rPr>
        <w:t>-</w:t>
      </w:r>
      <w:r w:rsidR="007574F8" w:rsidRPr="0097679B">
        <w:rPr>
          <w:rFonts w:ascii="Arial" w:hAnsi="Arial" w:cs="Arial"/>
          <w:sz w:val="20"/>
          <w:szCs w:val="20"/>
        </w:rPr>
        <w:t>up period of 2 years, a two-year laminitis incid</w:t>
      </w:r>
      <w:r w:rsidR="002668D7" w:rsidRPr="0097679B">
        <w:rPr>
          <w:rFonts w:ascii="Arial" w:hAnsi="Arial" w:cs="Arial"/>
          <w:sz w:val="20"/>
          <w:szCs w:val="20"/>
        </w:rPr>
        <w:t>ence of 5</w:t>
      </w:r>
      <w:r w:rsidR="007574F8" w:rsidRPr="0097679B">
        <w:rPr>
          <w:rFonts w:ascii="Arial" w:hAnsi="Arial" w:cs="Arial"/>
          <w:sz w:val="20"/>
          <w:szCs w:val="20"/>
        </w:rPr>
        <w:t>%,</w:t>
      </w:r>
      <w:r>
        <w:rPr>
          <w:rFonts w:ascii="Arial" w:hAnsi="Arial" w:cs="Arial"/>
          <w:sz w:val="20"/>
          <w:szCs w:val="20"/>
        </w:rPr>
        <w:t xml:space="preserve"> </w:t>
      </w:r>
      <w:r w:rsidR="002668D7" w:rsidRPr="0097679B">
        <w:rPr>
          <w:rFonts w:ascii="Arial" w:hAnsi="Arial" w:cs="Arial"/>
          <w:sz w:val="20"/>
          <w:szCs w:val="20"/>
        </w:rPr>
        <w:t>a prevalence of 10-27%</w:t>
      </w:r>
      <w:r>
        <w:rPr>
          <w:rFonts w:ascii="Arial" w:hAnsi="Arial" w:cs="Arial"/>
          <w:sz w:val="20"/>
          <w:szCs w:val="20"/>
        </w:rPr>
        <w:t xml:space="preserve"> and an odds ratio of 5-10 for the main risk factor, β = 0.8 and,</w:t>
      </w:r>
      <w:r w:rsidR="002668D7" w:rsidRPr="0097679B">
        <w:rPr>
          <w:rFonts w:ascii="Arial" w:hAnsi="Arial" w:cs="Arial"/>
          <w:sz w:val="20"/>
          <w:szCs w:val="20"/>
        </w:rPr>
        <w:t xml:space="preserve"> α =0.05, and yielded an estimated requirement of 189-447 ponies. </w:t>
      </w:r>
      <w:r w:rsidR="007574F8" w:rsidRPr="0097679B">
        <w:rPr>
          <w:rFonts w:ascii="Arial" w:hAnsi="Arial" w:cs="Arial"/>
          <w:sz w:val="20"/>
          <w:szCs w:val="20"/>
        </w:rPr>
        <w:t xml:space="preserve"> </w:t>
      </w:r>
    </w:p>
    <w:p w14:paraId="2D61C25C" w14:textId="77777777" w:rsidR="002668D7" w:rsidRPr="0097679B" w:rsidRDefault="002668D7" w:rsidP="00C57AFD">
      <w:pPr>
        <w:spacing w:line="480" w:lineRule="auto"/>
        <w:rPr>
          <w:rFonts w:ascii="Arial" w:hAnsi="Arial" w:cs="Arial"/>
          <w:i/>
          <w:sz w:val="20"/>
          <w:szCs w:val="20"/>
        </w:rPr>
      </w:pPr>
      <w:r w:rsidRPr="0097679B">
        <w:rPr>
          <w:rFonts w:ascii="Arial" w:hAnsi="Arial" w:cs="Arial"/>
          <w:i/>
          <w:sz w:val="20"/>
          <w:szCs w:val="20"/>
        </w:rPr>
        <w:t>2.2 Data Collection</w:t>
      </w:r>
    </w:p>
    <w:p w14:paraId="16C27F04" w14:textId="224CB2EB" w:rsidR="001767E1" w:rsidRPr="0097679B" w:rsidRDefault="00034AB9" w:rsidP="00C57AFD">
      <w:pPr>
        <w:spacing w:line="480" w:lineRule="auto"/>
        <w:rPr>
          <w:rFonts w:ascii="Arial" w:hAnsi="Arial" w:cs="Arial"/>
          <w:sz w:val="20"/>
          <w:szCs w:val="20"/>
        </w:rPr>
      </w:pPr>
      <w:r>
        <w:rPr>
          <w:rFonts w:ascii="Arial" w:hAnsi="Arial" w:cs="Arial"/>
          <w:sz w:val="20"/>
          <w:szCs w:val="20"/>
        </w:rPr>
        <w:t>At each visit</w:t>
      </w:r>
      <w:r w:rsidR="001767E1" w:rsidRPr="0097679B">
        <w:rPr>
          <w:rFonts w:ascii="Arial" w:hAnsi="Arial" w:cs="Arial"/>
          <w:sz w:val="20"/>
          <w:szCs w:val="20"/>
        </w:rPr>
        <w:t xml:space="preserve"> eac</w:t>
      </w:r>
      <w:r w:rsidR="008E7FDB" w:rsidRPr="0097679B">
        <w:rPr>
          <w:rFonts w:ascii="Arial" w:hAnsi="Arial" w:cs="Arial"/>
          <w:sz w:val="20"/>
          <w:szCs w:val="20"/>
        </w:rPr>
        <w:t>h pony underwent a</w:t>
      </w:r>
      <w:r>
        <w:rPr>
          <w:rFonts w:ascii="Arial" w:hAnsi="Arial" w:cs="Arial"/>
          <w:sz w:val="20"/>
          <w:szCs w:val="20"/>
        </w:rPr>
        <w:t xml:space="preserve"> </w:t>
      </w:r>
      <w:r w:rsidR="00BA15FE">
        <w:rPr>
          <w:rFonts w:ascii="Arial" w:hAnsi="Arial" w:cs="Arial"/>
          <w:sz w:val="20"/>
          <w:szCs w:val="20"/>
        </w:rPr>
        <w:t xml:space="preserve">standardised </w:t>
      </w:r>
      <w:r>
        <w:rPr>
          <w:rFonts w:ascii="Arial" w:hAnsi="Arial" w:cs="Arial"/>
          <w:sz w:val="20"/>
          <w:szCs w:val="20"/>
        </w:rPr>
        <w:t>veterinary examination. T</w:t>
      </w:r>
      <w:r w:rsidR="00D115B7" w:rsidRPr="0097679B">
        <w:rPr>
          <w:rFonts w:ascii="Arial" w:hAnsi="Arial" w:cs="Arial"/>
          <w:sz w:val="20"/>
          <w:szCs w:val="20"/>
        </w:rPr>
        <w:t>hree categories of data were</w:t>
      </w:r>
      <w:r w:rsidR="001767E1" w:rsidRPr="0097679B">
        <w:rPr>
          <w:rFonts w:ascii="Arial" w:hAnsi="Arial" w:cs="Arial"/>
          <w:sz w:val="20"/>
          <w:szCs w:val="20"/>
        </w:rPr>
        <w:t xml:space="preserve"> </w:t>
      </w:r>
      <w:r w:rsidR="00D115B7" w:rsidRPr="0097679B">
        <w:rPr>
          <w:rFonts w:ascii="Arial" w:hAnsi="Arial" w:cs="Arial"/>
          <w:sz w:val="20"/>
          <w:szCs w:val="20"/>
        </w:rPr>
        <w:t xml:space="preserve">collected: i) blood analytes, ii) physical/ clinical measurements and iii) an owner/ keeper questionnaire. </w:t>
      </w:r>
    </w:p>
    <w:p w14:paraId="072FDB38" w14:textId="1A667D7C" w:rsidR="00D115B7" w:rsidRPr="0097679B" w:rsidRDefault="00D115B7" w:rsidP="00C57AFD">
      <w:pPr>
        <w:spacing w:line="480" w:lineRule="auto"/>
        <w:rPr>
          <w:rFonts w:ascii="Arial" w:hAnsi="Arial" w:cs="Arial"/>
          <w:i/>
          <w:sz w:val="20"/>
          <w:szCs w:val="20"/>
        </w:rPr>
      </w:pPr>
      <w:r w:rsidRPr="0097679B">
        <w:rPr>
          <w:rFonts w:ascii="Arial" w:hAnsi="Arial" w:cs="Arial"/>
          <w:i/>
          <w:sz w:val="20"/>
          <w:szCs w:val="20"/>
        </w:rPr>
        <w:t>2.2.1 Blood Analytes</w:t>
      </w:r>
    </w:p>
    <w:p w14:paraId="53389E3F" w14:textId="7ECC3E0B" w:rsidR="0027365E" w:rsidRPr="0027365E" w:rsidRDefault="00683DB5" w:rsidP="00C57AFD">
      <w:pPr>
        <w:spacing w:line="480" w:lineRule="auto"/>
        <w:rPr>
          <w:rFonts w:ascii="Arial" w:hAnsi="Arial" w:cs="Arial"/>
          <w:sz w:val="20"/>
          <w:szCs w:val="20"/>
        </w:rPr>
      </w:pPr>
      <w:r w:rsidRPr="0097679B">
        <w:rPr>
          <w:rFonts w:ascii="Arial" w:hAnsi="Arial" w:cs="Arial"/>
          <w:sz w:val="20"/>
          <w:szCs w:val="20"/>
        </w:rPr>
        <w:t>P</w:t>
      </w:r>
      <w:r w:rsidR="00D115B7" w:rsidRPr="0097679B">
        <w:rPr>
          <w:rFonts w:ascii="Arial" w:hAnsi="Arial" w:cs="Arial"/>
          <w:sz w:val="20"/>
          <w:szCs w:val="20"/>
        </w:rPr>
        <w:t xml:space="preserve">onies were not fasted prior to </w:t>
      </w:r>
      <w:r w:rsidR="00920B85">
        <w:rPr>
          <w:rFonts w:ascii="Arial" w:hAnsi="Arial" w:cs="Arial"/>
          <w:sz w:val="20"/>
          <w:szCs w:val="20"/>
        </w:rPr>
        <w:t>sampling.</w:t>
      </w:r>
      <w:r w:rsidR="00D115B7" w:rsidRPr="0097679B">
        <w:rPr>
          <w:rFonts w:ascii="Arial" w:hAnsi="Arial" w:cs="Arial"/>
          <w:sz w:val="20"/>
          <w:szCs w:val="20"/>
        </w:rPr>
        <w:t xml:space="preserve"> </w:t>
      </w:r>
      <w:r w:rsidR="00920B85">
        <w:rPr>
          <w:rFonts w:ascii="Arial" w:hAnsi="Arial" w:cs="Arial"/>
          <w:sz w:val="20"/>
          <w:szCs w:val="20"/>
        </w:rPr>
        <w:t xml:space="preserve">They </w:t>
      </w:r>
      <w:r w:rsidR="00D115B7" w:rsidRPr="0097679B">
        <w:rPr>
          <w:rFonts w:ascii="Arial" w:hAnsi="Arial" w:cs="Arial"/>
          <w:sz w:val="20"/>
          <w:szCs w:val="20"/>
        </w:rPr>
        <w:t>could be fed hay or kept at pasture but owners were asked to withhold any addit</w:t>
      </w:r>
      <w:r w:rsidR="00034AB9">
        <w:rPr>
          <w:rFonts w:ascii="Arial" w:hAnsi="Arial" w:cs="Arial"/>
          <w:sz w:val="20"/>
          <w:szCs w:val="20"/>
        </w:rPr>
        <w:t xml:space="preserve">ional </w:t>
      </w:r>
      <w:r w:rsidR="00A62888">
        <w:rPr>
          <w:rFonts w:ascii="Arial" w:hAnsi="Arial" w:cs="Arial"/>
          <w:sz w:val="20"/>
          <w:szCs w:val="20"/>
        </w:rPr>
        <w:t xml:space="preserve">complementary </w:t>
      </w:r>
      <w:r w:rsidR="00034AB9">
        <w:rPr>
          <w:rFonts w:ascii="Arial" w:hAnsi="Arial" w:cs="Arial"/>
          <w:sz w:val="20"/>
          <w:szCs w:val="20"/>
        </w:rPr>
        <w:t>feed on that day</w:t>
      </w:r>
      <w:r w:rsidR="00D115B7" w:rsidRPr="0097679B">
        <w:rPr>
          <w:rFonts w:ascii="Arial" w:hAnsi="Arial" w:cs="Arial"/>
          <w:sz w:val="20"/>
          <w:szCs w:val="20"/>
        </w:rPr>
        <w:t>. A basal blood sample was taken by jugular venepuncture into clot activator, EDTA, heparinised and oxalate fluoride vacutainer tubes</w:t>
      </w:r>
      <w:r w:rsidR="00135A40">
        <w:rPr>
          <w:rFonts w:ascii="Arial" w:hAnsi="Arial" w:cs="Arial"/>
          <w:sz w:val="20"/>
          <w:szCs w:val="20"/>
          <w:vertAlign w:val="superscript"/>
        </w:rPr>
        <w:t>i</w:t>
      </w:r>
      <w:r w:rsidR="00D115B7" w:rsidRPr="0097679B">
        <w:rPr>
          <w:rFonts w:ascii="Arial" w:hAnsi="Arial" w:cs="Arial"/>
          <w:sz w:val="20"/>
          <w:szCs w:val="20"/>
        </w:rPr>
        <w:t>.</w:t>
      </w:r>
      <w:r w:rsidR="000617A0" w:rsidRPr="0097679B">
        <w:rPr>
          <w:rFonts w:ascii="Arial" w:hAnsi="Arial" w:cs="Arial"/>
          <w:sz w:val="20"/>
          <w:szCs w:val="20"/>
        </w:rPr>
        <w:t xml:space="preserve"> Each pony was weighed with a portable weighbridge</w:t>
      </w:r>
      <w:r w:rsidR="00135A40">
        <w:rPr>
          <w:rFonts w:ascii="Arial" w:hAnsi="Arial" w:cs="Arial"/>
          <w:sz w:val="20"/>
          <w:szCs w:val="20"/>
          <w:vertAlign w:val="superscript"/>
        </w:rPr>
        <w:t>ii</w:t>
      </w:r>
      <w:r w:rsidR="000617A0" w:rsidRPr="0097679B">
        <w:rPr>
          <w:rFonts w:ascii="Arial" w:hAnsi="Arial" w:cs="Arial"/>
          <w:sz w:val="20"/>
          <w:szCs w:val="20"/>
        </w:rPr>
        <w:t xml:space="preserve"> and a modified oral sugar test (OST) was performed</w:t>
      </w:r>
      <w:r w:rsidRPr="0097679B">
        <w:rPr>
          <w:rFonts w:ascii="Arial" w:hAnsi="Arial" w:cs="Arial"/>
          <w:sz w:val="20"/>
          <w:szCs w:val="20"/>
        </w:rPr>
        <w:t>. P</w:t>
      </w:r>
      <w:r w:rsidR="000617A0" w:rsidRPr="0097679B">
        <w:rPr>
          <w:rFonts w:ascii="Arial" w:hAnsi="Arial" w:cs="Arial"/>
          <w:sz w:val="20"/>
          <w:szCs w:val="20"/>
        </w:rPr>
        <w:t xml:space="preserve">onies were </w:t>
      </w:r>
      <w:r w:rsidR="00920B85">
        <w:rPr>
          <w:rFonts w:ascii="Arial" w:hAnsi="Arial" w:cs="Arial"/>
          <w:sz w:val="20"/>
          <w:szCs w:val="20"/>
        </w:rPr>
        <w:t>syringe dosed</w:t>
      </w:r>
      <w:r w:rsidR="00920B85" w:rsidRPr="0097679B">
        <w:rPr>
          <w:rFonts w:ascii="Arial" w:hAnsi="Arial" w:cs="Arial"/>
          <w:sz w:val="20"/>
          <w:szCs w:val="20"/>
        </w:rPr>
        <w:t xml:space="preserve"> </w:t>
      </w:r>
      <w:r w:rsidR="000617A0" w:rsidRPr="0097679B">
        <w:rPr>
          <w:rFonts w:ascii="Arial" w:hAnsi="Arial" w:cs="Arial"/>
          <w:sz w:val="20"/>
          <w:szCs w:val="20"/>
        </w:rPr>
        <w:t>0.3ml/kg Karo</w:t>
      </w:r>
      <w:r w:rsidR="00822EB3">
        <w:rPr>
          <w:rFonts w:ascii="Arial" w:hAnsi="Arial" w:cs="Arial"/>
          <w:sz w:val="20"/>
          <w:szCs w:val="20"/>
        </w:rPr>
        <w:t xml:space="preserve"> light</w:t>
      </w:r>
      <w:r w:rsidR="00135A40">
        <w:rPr>
          <w:rFonts w:ascii="Arial" w:hAnsi="Arial" w:cs="Arial"/>
          <w:sz w:val="20"/>
          <w:szCs w:val="20"/>
          <w:vertAlign w:val="superscript"/>
        </w:rPr>
        <w:t>iii</w:t>
      </w:r>
      <w:r w:rsidR="00241E7A" w:rsidRPr="0097679B">
        <w:rPr>
          <w:rFonts w:ascii="Arial" w:hAnsi="Arial" w:cs="Arial"/>
          <w:sz w:val="20"/>
          <w:szCs w:val="20"/>
        </w:rPr>
        <w:t xml:space="preserve"> </w:t>
      </w:r>
      <w:r w:rsidRPr="0097679B">
        <w:rPr>
          <w:rFonts w:ascii="Arial" w:hAnsi="Arial" w:cs="Arial"/>
          <w:sz w:val="20"/>
          <w:szCs w:val="20"/>
        </w:rPr>
        <w:t xml:space="preserve">corn syrup </w:t>
      </w:r>
      <w:r w:rsidR="00920B85">
        <w:rPr>
          <w:rFonts w:ascii="Arial" w:hAnsi="Arial" w:cs="Arial"/>
          <w:sz w:val="20"/>
          <w:szCs w:val="20"/>
        </w:rPr>
        <w:t>orally</w:t>
      </w:r>
      <w:r w:rsidR="00241E7A" w:rsidRPr="0097679B">
        <w:rPr>
          <w:rFonts w:ascii="Arial" w:hAnsi="Arial" w:cs="Arial"/>
          <w:sz w:val="20"/>
          <w:szCs w:val="20"/>
        </w:rPr>
        <w:t xml:space="preserve"> to the nearest 50kg.</w:t>
      </w:r>
      <w:r w:rsidR="00EC34F8">
        <w:rPr>
          <w:rFonts w:ascii="Arial" w:hAnsi="Arial" w:cs="Arial"/>
          <w:sz w:val="20"/>
          <w:szCs w:val="20"/>
        </w:rPr>
        <w:t>Rarely, p</w:t>
      </w:r>
      <w:r w:rsidR="00920B85">
        <w:rPr>
          <w:rFonts w:ascii="Arial" w:hAnsi="Arial" w:cs="Arial"/>
          <w:sz w:val="20"/>
          <w:szCs w:val="20"/>
        </w:rPr>
        <w:t xml:space="preserve">onies </w:t>
      </w:r>
      <w:r w:rsidR="00EC34F8">
        <w:rPr>
          <w:rFonts w:ascii="Arial" w:hAnsi="Arial" w:cs="Arial"/>
          <w:sz w:val="20"/>
          <w:szCs w:val="20"/>
        </w:rPr>
        <w:t xml:space="preserve">were </w:t>
      </w:r>
      <w:r w:rsidR="00920B85">
        <w:rPr>
          <w:rFonts w:ascii="Arial" w:hAnsi="Arial" w:cs="Arial"/>
          <w:sz w:val="20"/>
          <w:szCs w:val="20"/>
        </w:rPr>
        <w:t>not amenable to syringe dosing</w:t>
      </w:r>
      <w:r w:rsidR="00EC34F8">
        <w:rPr>
          <w:rFonts w:ascii="Arial" w:hAnsi="Arial" w:cs="Arial"/>
          <w:sz w:val="20"/>
          <w:szCs w:val="20"/>
        </w:rPr>
        <w:t xml:space="preserve"> and </w:t>
      </w:r>
      <w:r w:rsidR="00920B85">
        <w:rPr>
          <w:rFonts w:ascii="Arial" w:hAnsi="Arial" w:cs="Arial"/>
          <w:sz w:val="20"/>
          <w:szCs w:val="20"/>
        </w:rPr>
        <w:t xml:space="preserve">were </w:t>
      </w:r>
      <w:r w:rsidR="00241E7A" w:rsidRPr="0097679B">
        <w:rPr>
          <w:rFonts w:ascii="Arial" w:hAnsi="Arial" w:cs="Arial"/>
          <w:sz w:val="20"/>
          <w:szCs w:val="20"/>
        </w:rPr>
        <w:t>given</w:t>
      </w:r>
      <w:r w:rsidR="00920B85">
        <w:rPr>
          <w:rFonts w:ascii="Arial" w:hAnsi="Arial" w:cs="Arial"/>
          <w:sz w:val="20"/>
          <w:szCs w:val="20"/>
        </w:rPr>
        <w:t xml:space="preserve"> the syrup</w:t>
      </w:r>
      <w:r w:rsidR="00241E7A" w:rsidRPr="0097679B">
        <w:rPr>
          <w:rFonts w:ascii="Arial" w:hAnsi="Arial" w:cs="Arial"/>
          <w:sz w:val="20"/>
          <w:szCs w:val="20"/>
        </w:rPr>
        <w:t xml:space="preserve"> in a small handful of low non-structural carbohydrate feed. Blood samples were then taken by jugular venepuncture into clot activator vacutainer tubes 30</w:t>
      </w:r>
      <w:r w:rsidR="00EC48EF" w:rsidRPr="0097679B">
        <w:rPr>
          <w:rFonts w:ascii="Arial" w:hAnsi="Arial" w:cs="Arial"/>
          <w:sz w:val="20"/>
          <w:szCs w:val="20"/>
        </w:rPr>
        <w:t xml:space="preserve"> and 60</w:t>
      </w:r>
      <w:r w:rsidRPr="0097679B">
        <w:rPr>
          <w:rFonts w:ascii="Arial" w:hAnsi="Arial" w:cs="Arial"/>
          <w:sz w:val="20"/>
          <w:szCs w:val="20"/>
        </w:rPr>
        <w:t xml:space="preserve"> </w:t>
      </w:r>
      <w:r w:rsidR="00241E7A" w:rsidRPr="0097679B">
        <w:rPr>
          <w:rFonts w:ascii="Arial" w:hAnsi="Arial" w:cs="Arial"/>
          <w:sz w:val="20"/>
          <w:szCs w:val="20"/>
        </w:rPr>
        <w:t>minutes (</w:t>
      </w:r>
      <w:r w:rsidR="00920B85">
        <w:rPr>
          <w:rFonts w:ascii="Arial" w:hAnsi="Arial" w:cs="Arial"/>
          <w:sz w:val="20"/>
          <w:szCs w:val="20"/>
        </w:rPr>
        <w:t>±</w:t>
      </w:r>
      <w:r w:rsidR="00241E7A" w:rsidRPr="0097679B">
        <w:rPr>
          <w:rFonts w:ascii="Arial" w:hAnsi="Arial" w:cs="Arial"/>
          <w:sz w:val="20"/>
          <w:szCs w:val="20"/>
        </w:rPr>
        <w:t xml:space="preserve"> 5 minutes) after </w:t>
      </w:r>
      <w:r w:rsidR="00920B85">
        <w:rPr>
          <w:rFonts w:ascii="Arial" w:hAnsi="Arial" w:cs="Arial"/>
          <w:sz w:val="20"/>
          <w:szCs w:val="20"/>
        </w:rPr>
        <w:t xml:space="preserve">corn syrup </w:t>
      </w:r>
      <w:r w:rsidR="00241E7A" w:rsidRPr="0097679B">
        <w:rPr>
          <w:rFonts w:ascii="Arial" w:hAnsi="Arial" w:cs="Arial"/>
          <w:sz w:val="20"/>
          <w:szCs w:val="20"/>
        </w:rPr>
        <w:t xml:space="preserve">administration. </w:t>
      </w:r>
      <w:r w:rsidR="00F5044F" w:rsidRPr="0097679B">
        <w:rPr>
          <w:rFonts w:ascii="Arial" w:hAnsi="Arial" w:cs="Arial"/>
          <w:sz w:val="20"/>
          <w:szCs w:val="20"/>
        </w:rPr>
        <w:t xml:space="preserve">Basal samples were </w:t>
      </w:r>
      <w:r w:rsidR="00F5044F" w:rsidRPr="007F54DE">
        <w:rPr>
          <w:rFonts w:ascii="Arial" w:hAnsi="Arial" w:cs="Arial"/>
          <w:sz w:val="20"/>
          <w:szCs w:val="20"/>
        </w:rPr>
        <w:t>analysed for</w:t>
      </w:r>
      <w:r w:rsidR="00540167">
        <w:rPr>
          <w:rFonts w:ascii="Arial" w:hAnsi="Arial" w:cs="Arial"/>
          <w:sz w:val="20"/>
          <w:szCs w:val="20"/>
        </w:rPr>
        <w:t xml:space="preserve"> serum </w:t>
      </w:r>
      <w:r w:rsidR="009E62E3" w:rsidRPr="007F54DE">
        <w:rPr>
          <w:rFonts w:ascii="Arial" w:hAnsi="Arial" w:cs="Arial"/>
          <w:sz w:val="20"/>
          <w:szCs w:val="20"/>
        </w:rPr>
        <w:t>insulin</w:t>
      </w:r>
      <w:r w:rsidR="00540167">
        <w:rPr>
          <w:rFonts w:ascii="Arial" w:hAnsi="Arial" w:cs="Arial"/>
          <w:sz w:val="20"/>
          <w:szCs w:val="20"/>
        </w:rPr>
        <w:t xml:space="preserve"> concentrations</w:t>
      </w:r>
      <w:r w:rsidR="00EC48EF" w:rsidRPr="007F54DE">
        <w:rPr>
          <w:rFonts w:ascii="Arial" w:hAnsi="Arial" w:cs="Arial"/>
          <w:sz w:val="20"/>
          <w:szCs w:val="20"/>
        </w:rPr>
        <w:t xml:space="preserve"> ([insulin]T0)</w:t>
      </w:r>
      <w:r w:rsidR="00540167">
        <w:rPr>
          <w:rFonts w:ascii="Arial" w:hAnsi="Arial" w:cs="Arial"/>
          <w:sz w:val="20"/>
          <w:szCs w:val="20"/>
        </w:rPr>
        <w:t xml:space="preserve"> </w:t>
      </w:r>
      <w:r w:rsidR="009E62E3" w:rsidRPr="007F54DE">
        <w:rPr>
          <w:rFonts w:ascii="Arial" w:hAnsi="Arial" w:cs="Arial"/>
          <w:sz w:val="20"/>
          <w:szCs w:val="20"/>
        </w:rPr>
        <w:t xml:space="preserve">and </w:t>
      </w:r>
      <w:r w:rsidR="00540167">
        <w:rPr>
          <w:rFonts w:ascii="Arial" w:hAnsi="Arial" w:cs="Arial"/>
          <w:sz w:val="20"/>
          <w:szCs w:val="20"/>
        </w:rPr>
        <w:t xml:space="preserve">plasma concentrations of: adiponectin ([adiponectin]), </w:t>
      </w:r>
      <w:r w:rsidR="00F5044F" w:rsidRPr="007F54DE">
        <w:rPr>
          <w:rFonts w:ascii="Arial" w:hAnsi="Arial" w:cs="Arial"/>
          <w:sz w:val="20"/>
          <w:szCs w:val="20"/>
        </w:rPr>
        <w:t>triglycerides</w:t>
      </w:r>
      <w:r w:rsidR="00540167">
        <w:rPr>
          <w:rFonts w:ascii="Arial" w:hAnsi="Arial" w:cs="Arial"/>
          <w:sz w:val="20"/>
          <w:szCs w:val="20"/>
        </w:rPr>
        <w:t xml:space="preserve"> ([triglycerides])</w:t>
      </w:r>
      <w:r w:rsidR="00F5044F" w:rsidRPr="007F54DE">
        <w:rPr>
          <w:rFonts w:ascii="Arial" w:hAnsi="Arial" w:cs="Arial"/>
          <w:sz w:val="20"/>
          <w:szCs w:val="20"/>
        </w:rPr>
        <w:t>, glucose</w:t>
      </w:r>
      <w:r w:rsidR="00540167">
        <w:rPr>
          <w:rFonts w:ascii="Arial" w:hAnsi="Arial" w:cs="Arial"/>
          <w:sz w:val="20"/>
          <w:szCs w:val="20"/>
        </w:rPr>
        <w:t xml:space="preserve"> ([glucose])</w:t>
      </w:r>
      <w:r w:rsidR="00F5044F" w:rsidRPr="007F54DE">
        <w:rPr>
          <w:rFonts w:ascii="Arial" w:hAnsi="Arial" w:cs="Arial"/>
          <w:sz w:val="20"/>
          <w:szCs w:val="20"/>
        </w:rPr>
        <w:t xml:space="preserve"> and</w:t>
      </w:r>
      <w:r w:rsidR="00F5044F" w:rsidRPr="0097679B">
        <w:rPr>
          <w:rFonts w:ascii="Arial" w:hAnsi="Arial" w:cs="Arial"/>
          <w:sz w:val="20"/>
          <w:szCs w:val="20"/>
        </w:rPr>
        <w:t xml:space="preserve"> adrenocorticotrophic hormone (</w:t>
      </w:r>
      <w:r w:rsidR="00EC34F8">
        <w:rPr>
          <w:rFonts w:ascii="Arial" w:hAnsi="Arial" w:cs="Arial"/>
          <w:sz w:val="20"/>
          <w:szCs w:val="20"/>
        </w:rPr>
        <w:t>[</w:t>
      </w:r>
      <w:r w:rsidR="00F5044F" w:rsidRPr="0097679B">
        <w:rPr>
          <w:rFonts w:ascii="Arial" w:hAnsi="Arial" w:cs="Arial"/>
          <w:sz w:val="20"/>
          <w:szCs w:val="20"/>
        </w:rPr>
        <w:t>ACTH</w:t>
      </w:r>
      <w:r w:rsidR="00EC34F8">
        <w:rPr>
          <w:rFonts w:ascii="Arial" w:hAnsi="Arial" w:cs="Arial"/>
          <w:sz w:val="20"/>
          <w:szCs w:val="20"/>
        </w:rPr>
        <w:t>]</w:t>
      </w:r>
      <w:r w:rsidR="00F5044F" w:rsidRPr="0097679B">
        <w:rPr>
          <w:rFonts w:ascii="Arial" w:hAnsi="Arial" w:cs="Arial"/>
          <w:sz w:val="20"/>
          <w:szCs w:val="20"/>
        </w:rPr>
        <w:t>).</w:t>
      </w:r>
      <w:r w:rsidR="00540167">
        <w:rPr>
          <w:rFonts w:ascii="Arial" w:hAnsi="Arial" w:cs="Arial"/>
          <w:sz w:val="20"/>
          <w:szCs w:val="20"/>
        </w:rPr>
        <w:t xml:space="preserve"> S</w:t>
      </w:r>
      <w:r w:rsidR="00EC48EF" w:rsidRPr="0097679B">
        <w:rPr>
          <w:rFonts w:ascii="Arial" w:hAnsi="Arial" w:cs="Arial"/>
          <w:sz w:val="20"/>
          <w:szCs w:val="20"/>
        </w:rPr>
        <w:t>amples taken at 30 and 60</w:t>
      </w:r>
      <w:r w:rsidR="00F5044F" w:rsidRPr="0097679B">
        <w:rPr>
          <w:rFonts w:ascii="Arial" w:hAnsi="Arial" w:cs="Arial"/>
          <w:sz w:val="20"/>
          <w:szCs w:val="20"/>
        </w:rPr>
        <w:t xml:space="preserve"> minutes were analysed for insulin only</w:t>
      </w:r>
      <w:r w:rsidR="00EC48EF" w:rsidRPr="0097679B">
        <w:rPr>
          <w:rFonts w:ascii="Arial" w:hAnsi="Arial" w:cs="Arial"/>
          <w:sz w:val="20"/>
          <w:szCs w:val="20"/>
        </w:rPr>
        <w:t xml:space="preserve"> ([insulin]T30 and [insulin]T60)</w:t>
      </w:r>
      <w:r w:rsidR="00F5044F" w:rsidRPr="0097679B">
        <w:rPr>
          <w:rFonts w:ascii="Arial" w:hAnsi="Arial" w:cs="Arial"/>
          <w:sz w:val="20"/>
          <w:szCs w:val="20"/>
        </w:rPr>
        <w:t>.</w:t>
      </w:r>
      <w:r w:rsidRPr="0097679B">
        <w:rPr>
          <w:rFonts w:ascii="Arial" w:hAnsi="Arial" w:cs="Arial"/>
          <w:sz w:val="20"/>
          <w:szCs w:val="20"/>
        </w:rPr>
        <w:t xml:space="preserve"> </w:t>
      </w:r>
      <w:r w:rsidR="00920B85">
        <w:rPr>
          <w:rFonts w:ascii="Arial" w:hAnsi="Arial" w:cs="Arial"/>
          <w:sz w:val="20"/>
          <w:szCs w:val="20"/>
        </w:rPr>
        <w:t>S</w:t>
      </w:r>
      <w:r w:rsidRPr="0097679B">
        <w:rPr>
          <w:rFonts w:ascii="Arial" w:hAnsi="Arial" w:cs="Arial"/>
          <w:sz w:val="20"/>
          <w:szCs w:val="20"/>
        </w:rPr>
        <w:t xml:space="preserve">ample handling and assay </w:t>
      </w:r>
      <w:r w:rsidR="00920B85">
        <w:rPr>
          <w:rFonts w:ascii="Arial" w:hAnsi="Arial" w:cs="Arial"/>
          <w:sz w:val="20"/>
          <w:szCs w:val="20"/>
        </w:rPr>
        <w:t>details</w:t>
      </w:r>
      <w:r w:rsidR="00920B85" w:rsidRPr="0097679B">
        <w:rPr>
          <w:rFonts w:ascii="Arial" w:hAnsi="Arial" w:cs="Arial"/>
          <w:sz w:val="20"/>
          <w:szCs w:val="20"/>
        </w:rPr>
        <w:t xml:space="preserve"> </w:t>
      </w:r>
      <w:r w:rsidRPr="0097679B">
        <w:rPr>
          <w:rFonts w:ascii="Arial" w:hAnsi="Arial" w:cs="Arial"/>
          <w:sz w:val="20"/>
          <w:szCs w:val="20"/>
        </w:rPr>
        <w:t>are includ</w:t>
      </w:r>
      <w:r w:rsidR="0027365E">
        <w:rPr>
          <w:rFonts w:ascii="Arial" w:hAnsi="Arial" w:cs="Arial"/>
          <w:sz w:val="20"/>
          <w:szCs w:val="20"/>
        </w:rPr>
        <w:t>ed in S</w:t>
      </w:r>
      <w:r w:rsidRPr="0097679B">
        <w:rPr>
          <w:rFonts w:ascii="Arial" w:hAnsi="Arial" w:cs="Arial"/>
          <w:sz w:val="20"/>
          <w:szCs w:val="20"/>
        </w:rPr>
        <w:t xml:space="preserve">upplementary item 1. </w:t>
      </w:r>
    </w:p>
    <w:p w14:paraId="2260FCD7" w14:textId="0BF8649D" w:rsidR="00944774" w:rsidRPr="0097679B" w:rsidRDefault="00944774" w:rsidP="00C57AFD">
      <w:pPr>
        <w:spacing w:line="480" w:lineRule="auto"/>
        <w:rPr>
          <w:rFonts w:ascii="Arial" w:hAnsi="Arial" w:cs="Arial"/>
          <w:i/>
          <w:sz w:val="20"/>
          <w:szCs w:val="20"/>
        </w:rPr>
      </w:pPr>
      <w:r w:rsidRPr="0097679B">
        <w:rPr>
          <w:rFonts w:ascii="Arial" w:hAnsi="Arial" w:cs="Arial"/>
          <w:i/>
          <w:sz w:val="20"/>
          <w:szCs w:val="20"/>
        </w:rPr>
        <w:lastRenderedPageBreak/>
        <w:t>2.2.2. Physical examination and morphometry</w:t>
      </w:r>
    </w:p>
    <w:p w14:paraId="1A021B82" w14:textId="7879B972" w:rsidR="006D5E5C" w:rsidRPr="0097679B" w:rsidRDefault="008E7FDB" w:rsidP="00C57AFD">
      <w:pPr>
        <w:spacing w:line="480" w:lineRule="auto"/>
        <w:rPr>
          <w:rFonts w:ascii="Arial" w:hAnsi="Arial" w:cs="Arial"/>
          <w:sz w:val="20"/>
          <w:szCs w:val="20"/>
        </w:rPr>
      </w:pPr>
      <w:r w:rsidRPr="0097679B">
        <w:rPr>
          <w:rFonts w:ascii="Arial" w:hAnsi="Arial" w:cs="Arial"/>
          <w:sz w:val="20"/>
          <w:szCs w:val="20"/>
        </w:rPr>
        <w:t>Ponies were</w:t>
      </w:r>
      <w:r w:rsidR="00944774" w:rsidRPr="0097679B">
        <w:rPr>
          <w:rFonts w:ascii="Arial" w:hAnsi="Arial" w:cs="Arial"/>
          <w:sz w:val="20"/>
          <w:szCs w:val="20"/>
        </w:rPr>
        <w:t xml:space="preserve"> </w:t>
      </w:r>
      <w:r w:rsidR="00920B85">
        <w:rPr>
          <w:rFonts w:ascii="Arial" w:hAnsi="Arial" w:cs="Arial"/>
          <w:sz w:val="20"/>
          <w:szCs w:val="20"/>
        </w:rPr>
        <w:t>examined</w:t>
      </w:r>
      <w:r w:rsidR="00DB14EB">
        <w:rPr>
          <w:rFonts w:ascii="Arial" w:hAnsi="Arial" w:cs="Arial"/>
          <w:sz w:val="20"/>
          <w:szCs w:val="20"/>
        </w:rPr>
        <w:t xml:space="preserve"> (by EJK)</w:t>
      </w:r>
      <w:r w:rsidR="00920B85" w:rsidRPr="0097679B">
        <w:rPr>
          <w:rFonts w:ascii="Arial" w:hAnsi="Arial" w:cs="Arial"/>
          <w:sz w:val="20"/>
          <w:szCs w:val="20"/>
        </w:rPr>
        <w:t xml:space="preserve"> </w:t>
      </w:r>
      <w:r w:rsidR="00944774" w:rsidRPr="0097679B">
        <w:rPr>
          <w:rFonts w:ascii="Arial" w:hAnsi="Arial" w:cs="Arial"/>
          <w:sz w:val="20"/>
          <w:szCs w:val="20"/>
        </w:rPr>
        <w:t xml:space="preserve">to ensure they were </w:t>
      </w:r>
      <w:r w:rsidR="00920B85">
        <w:rPr>
          <w:rFonts w:ascii="Arial" w:hAnsi="Arial" w:cs="Arial"/>
          <w:sz w:val="20"/>
          <w:szCs w:val="20"/>
        </w:rPr>
        <w:t>healthy</w:t>
      </w:r>
      <w:r w:rsidR="00944774" w:rsidRPr="0097679B">
        <w:rPr>
          <w:rFonts w:ascii="Arial" w:hAnsi="Arial" w:cs="Arial"/>
          <w:sz w:val="20"/>
          <w:szCs w:val="20"/>
        </w:rPr>
        <w:t xml:space="preserve"> and the following physical parameters </w:t>
      </w:r>
      <w:r w:rsidR="00433536" w:rsidRPr="0097679B">
        <w:rPr>
          <w:rFonts w:ascii="Arial" w:hAnsi="Arial" w:cs="Arial"/>
          <w:sz w:val="20"/>
          <w:szCs w:val="20"/>
        </w:rPr>
        <w:t>recorded: weight, height,</w:t>
      </w:r>
      <w:r w:rsidR="00944774" w:rsidRPr="0097679B">
        <w:rPr>
          <w:rFonts w:ascii="Arial" w:hAnsi="Arial" w:cs="Arial"/>
          <w:sz w:val="20"/>
          <w:szCs w:val="20"/>
        </w:rPr>
        <w:t xml:space="preserve"> body length</w:t>
      </w:r>
      <w:r w:rsidR="00433536" w:rsidRPr="0097679B">
        <w:rPr>
          <w:rFonts w:ascii="Arial" w:hAnsi="Arial" w:cs="Arial"/>
          <w:sz w:val="20"/>
          <w:szCs w:val="20"/>
        </w:rPr>
        <w:t xml:space="preserve">, </w:t>
      </w:r>
      <w:r w:rsidR="00944774" w:rsidRPr="0097679B">
        <w:rPr>
          <w:rFonts w:ascii="Arial" w:hAnsi="Arial" w:cs="Arial"/>
          <w:sz w:val="20"/>
          <w:szCs w:val="20"/>
        </w:rPr>
        <w:t>neck length</w:t>
      </w:r>
      <w:r w:rsidR="00433536" w:rsidRPr="0097679B">
        <w:rPr>
          <w:rFonts w:ascii="Arial" w:hAnsi="Arial" w:cs="Arial"/>
          <w:sz w:val="20"/>
          <w:szCs w:val="20"/>
        </w:rPr>
        <w:t>,</w:t>
      </w:r>
      <w:r w:rsidR="009E62E3" w:rsidRPr="0097679B">
        <w:rPr>
          <w:rFonts w:ascii="Arial" w:hAnsi="Arial" w:cs="Arial"/>
          <w:sz w:val="20"/>
          <w:szCs w:val="20"/>
        </w:rPr>
        <w:t xml:space="preserve"> </w:t>
      </w:r>
      <w:r w:rsidR="00944774" w:rsidRPr="0097679B">
        <w:rPr>
          <w:rFonts w:ascii="Arial" w:hAnsi="Arial" w:cs="Arial"/>
          <w:sz w:val="20"/>
          <w:szCs w:val="20"/>
        </w:rPr>
        <w:t>heart girth</w:t>
      </w:r>
      <w:r w:rsidR="00433536" w:rsidRPr="0097679B">
        <w:rPr>
          <w:rFonts w:ascii="Arial" w:hAnsi="Arial" w:cs="Arial"/>
          <w:sz w:val="20"/>
          <w:szCs w:val="20"/>
        </w:rPr>
        <w:t>,</w:t>
      </w:r>
      <w:r w:rsidR="00944774" w:rsidRPr="0097679B">
        <w:rPr>
          <w:rFonts w:ascii="Arial" w:hAnsi="Arial" w:cs="Arial"/>
          <w:sz w:val="20"/>
          <w:szCs w:val="20"/>
        </w:rPr>
        <w:t xml:space="preserve"> </w:t>
      </w:r>
      <w:r w:rsidR="00433536" w:rsidRPr="0097679B">
        <w:rPr>
          <w:rFonts w:ascii="Arial" w:hAnsi="Arial" w:cs="Arial"/>
          <w:sz w:val="20"/>
          <w:szCs w:val="20"/>
        </w:rPr>
        <w:t>belly girth</w:t>
      </w:r>
      <w:r w:rsidR="00944774" w:rsidRPr="0097679B">
        <w:rPr>
          <w:rFonts w:ascii="Arial" w:hAnsi="Arial" w:cs="Arial"/>
          <w:sz w:val="20"/>
          <w:szCs w:val="20"/>
        </w:rPr>
        <w:t>, body condition score</w:t>
      </w:r>
      <w:r w:rsidR="00944774" w:rsidRPr="0097679B">
        <w:rPr>
          <w:rFonts w:ascii="Arial" w:hAnsi="Arial" w:cs="Arial"/>
          <w:sz w:val="20"/>
          <w:szCs w:val="20"/>
        </w:rPr>
        <w:fldChar w:fldCharType="begin" w:fldLock="1"/>
      </w:r>
      <w:r w:rsidR="000B6ADD">
        <w:rPr>
          <w:rFonts w:ascii="Arial" w:hAnsi="Arial" w:cs="Arial"/>
          <w:sz w:val="20"/>
          <w:szCs w:val="20"/>
        </w:rPr>
        <w:instrText>ADDIN CSL_CITATION {"citationItems":[{"id":"ITEM-1","itemData":{"DOI":"10.1111/j.2042-3306.1983.tb01826.x","ISSN":"04251644","PMID":"6641685","author":[{"dropping-particle":"","family":"Henneke","given":"D R","non-dropping-particle":"","parse-names":false,"suffix":""},{"dropping-particle":"","family":"Potter","given":"G D","non-dropping-particle":"","parse-names":false,"suffix":""},{"dropping-particle":"","family":"Kreider","given":"J L","non-dropping-particle":"","parse-names":false,"suffix":""},{"dropping-particle":"","family":"Yeates","given":"B F","non-dropping-particle":"","parse-names":false,"suffix":""}],"container-title":"Equine veterinary journal","id":"ITEM-1","issue":"4","issued":{"date-parts":[["1983"]]},"page":"371-372","title":"Relationship between condition score, physical measurements and body fat percentage in mares","type":"article-journal","volume":"15"},"uris":["http://www.mendeley.com/documents/?uuid=b059f3a7-106e-417f-8689-396593026ea7"]}],"mendeley":{"formattedCitation":"[7]","plainTextFormattedCitation":"[7]","previouslyFormattedCitation":"[7]"},"properties":{"noteIndex":0},"schema":"https://github.com/citation-style-language/schema/raw/master/csl-citation.json"}</w:instrText>
      </w:r>
      <w:r w:rsidR="00944774" w:rsidRPr="0097679B">
        <w:rPr>
          <w:rFonts w:ascii="Arial" w:hAnsi="Arial" w:cs="Arial"/>
          <w:sz w:val="20"/>
          <w:szCs w:val="20"/>
        </w:rPr>
        <w:fldChar w:fldCharType="separate"/>
      </w:r>
      <w:r w:rsidR="00EB565D" w:rsidRPr="0097679B">
        <w:rPr>
          <w:rFonts w:ascii="Arial" w:hAnsi="Arial" w:cs="Arial"/>
          <w:noProof/>
          <w:sz w:val="20"/>
          <w:szCs w:val="20"/>
        </w:rPr>
        <w:t>[7]</w:t>
      </w:r>
      <w:r w:rsidR="00944774" w:rsidRPr="0097679B">
        <w:rPr>
          <w:rFonts w:ascii="Arial" w:hAnsi="Arial" w:cs="Arial"/>
          <w:sz w:val="20"/>
          <w:szCs w:val="20"/>
        </w:rPr>
        <w:fldChar w:fldCharType="end"/>
      </w:r>
      <w:r w:rsidR="00944774" w:rsidRPr="0097679B">
        <w:rPr>
          <w:rFonts w:ascii="Arial" w:hAnsi="Arial" w:cs="Arial"/>
          <w:sz w:val="20"/>
          <w:szCs w:val="20"/>
        </w:rPr>
        <w:t xml:space="preserve">, cresty neck score </w:t>
      </w:r>
      <w:r w:rsidR="00944774"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{"citationItems":[{"id":"ITEM-1","itemData":{"DOI":"10.1016/j.tvjl.2008.02.029","ISBN":"1090-0233 (Print)\\r1090-0233 (Linking)","ISSN":"10900233","PMID":"18440844","abstract":"This study described a scoring system for the assessment of apparent neck adiposity and evaluated morphometric measurements for assessment of neck and overall adiposity. Twenty-one barren Thoroughbred mares, 13 Arabian geldings and 75 Welsh, Dartmoor, or crossbred pony mares, were clinically examined and blood samples analysed for insulin, glucose, leptin, and triglycerides. Bodyweight (BW), height, length, girth and abdominal circumferences, neck length, neck crest height and neck circumference were measured, and body condition scores (BCS) and cresty neck scores (CNS) were rated. Girth:height ratio had the strongest associations with BCS (rs = 0.64, P &lt; 0.001 in horses; rs = 0.83, P &lt; 0.001 in ponies) and blood variables, such as leptin (rs = 0.39, P = 0.024 in horses; rs = 0.68, P &lt; 0.001 in ponies). Crest height and neck circumference:height ratio had the strongest association with CNS (rs &gt; 0.50, P &lt; 0.01) and blood variables, such as insulin (rs ??? 0.40, P &lt; 0.05). Cresty neck score was useful in the assessment of neck crest adiposity and had physiological relevance, as demonstrated by associations with blood variables. Girth:height was the most suitable morphometric for assessment of overall adiposity, and either crest height or neck circumference:height was a suitable morphometric for assessment of apparent neck adiposity. ?? 2008 Elsevier Ltd. All rights reserved.","author":[{"dropping-particle":"","family":"Carter","given":"R A","non-dropping-particle":"","parse-names":false,"suffix":""},{"dropping-particle":"","family":"Geor","given":"R J","non-dropping-particle":"","parse-names":false,"suffix":""},{"dropping-particle":"","family":"Burton Staniar","given":"W","non-dropping-particle":"","parse-names":false,"suffix":""},{"dropping-particle":"","family":"Cubitt","given":"T A","non-dropping-particle":"","parse-names":false,"suffix":""},{"dropping-particle":"","family":"Harris","given":"P A","non-dropping-particle":"","parse-names":false,"suffix":""}],"container-title":"Veterinary Journal","id":"ITEM-1","issue":"2","issued":{"date-parts":[["2009"]]},"page":"204-210","publisher":"Elsevier Ltd","title":"Apparent adiposity assessed by standardised scoring systems and morphometric measurements in horses and ponies","type":"article-journal","volume":"179"},"uris":["http://www.mendeley.com/documents/?uuid=6742bd6c-5b33-49ad-9b2a-f884c064eb48"]}],"mendeley":{"formattedCitation":"[8]","plainTextFormattedCitation":"[8]","previouslyFormattedCitation":"[8]"},"properties":{"noteIndex":0},"schema":"https://github.com/citation-style-language/schema/raw/master/csl-citation.json"}</w:instrText>
      </w:r>
      <w:r w:rsidR="00944774" w:rsidRPr="0097679B">
        <w:rPr>
          <w:rFonts w:ascii="Arial" w:hAnsi="Arial" w:cs="Arial"/>
          <w:sz w:val="20"/>
          <w:szCs w:val="20"/>
        </w:rPr>
        <w:fldChar w:fldCharType="separate"/>
      </w:r>
      <w:r w:rsidR="00EB565D" w:rsidRPr="0097679B">
        <w:rPr>
          <w:rFonts w:ascii="Arial" w:hAnsi="Arial" w:cs="Arial"/>
          <w:noProof/>
          <w:sz w:val="20"/>
          <w:szCs w:val="20"/>
        </w:rPr>
        <w:t>[8]</w:t>
      </w:r>
      <w:r w:rsidR="00944774" w:rsidRPr="0097679B">
        <w:rPr>
          <w:rFonts w:ascii="Arial" w:hAnsi="Arial" w:cs="Arial"/>
          <w:sz w:val="20"/>
          <w:szCs w:val="20"/>
        </w:rPr>
        <w:fldChar w:fldCharType="end"/>
      </w:r>
      <w:r w:rsidR="00944774" w:rsidRPr="0097679B">
        <w:rPr>
          <w:rFonts w:ascii="Arial" w:hAnsi="Arial" w:cs="Arial"/>
          <w:sz w:val="20"/>
          <w:szCs w:val="20"/>
        </w:rPr>
        <w:t>, th</w:t>
      </w:r>
      <w:r w:rsidR="0027365E">
        <w:rPr>
          <w:rFonts w:ascii="Arial" w:hAnsi="Arial" w:cs="Arial"/>
          <w:sz w:val="20"/>
          <w:szCs w:val="20"/>
        </w:rPr>
        <w:t xml:space="preserve">e presence or absence </w:t>
      </w:r>
      <w:r w:rsidR="00944774" w:rsidRPr="0097679B">
        <w:rPr>
          <w:rFonts w:ascii="Arial" w:hAnsi="Arial" w:cs="Arial"/>
          <w:sz w:val="20"/>
          <w:szCs w:val="20"/>
        </w:rPr>
        <w:t xml:space="preserve">of hypertrichosis, bulging supraorbital fat pads, a pot belly or </w:t>
      </w:r>
      <w:r w:rsidR="00DB14EB">
        <w:rPr>
          <w:rFonts w:ascii="Arial" w:hAnsi="Arial" w:cs="Arial"/>
          <w:sz w:val="20"/>
          <w:szCs w:val="20"/>
        </w:rPr>
        <w:t xml:space="preserve">forelimb </w:t>
      </w:r>
      <w:r w:rsidR="00944774" w:rsidRPr="0097679B">
        <w:rPr>
          <w:rFonts w:ascii="Arial" w:hAnsi="Arial" w:cs="Arial"/>
          <w:sz w:val="20"/>
          <w:szCs w:val="20"/>
        </w:rPr>
        <w:t>evidence of divergent hoof growth.</w:t>
      </w:r>
      <w:r w:rsidR="00433536" w:rsidRPr="0097679B">
        <w:rPr>
          <w:rFonts w:ascii="Arial" w:hAnsi="Arial" w:cs="Arial"/>
          <w:sz w:val="20"/>
          <w:szCs w:val="20"/>
        </w:rPr>
        <w:t xml:space="preserve"> </w:t>
      </w:r>
      <w:r w:rsidR="00DB14EB">
        <w:rPr>
          <w:rFonts w:ascii="Arial" w:hAnsi="Arial" w:cs="Arial"/>
          <w:sz w:val="20"/>
          <w:szCs w:val="20"/>
        </w:rPr>
        <w:t>Detailed definition of a</w:t>
      </w:r>
      <w:r w:rsidR="00DB14EB" w:rsidRPr="0097679B">
        <w:rPr>
          <w:rFonts w:ascii="Arial" w:hAnsi="Arial" w:cs="Arial"/>
          <w:sz w:val="20"/>
          <w:szCs w:val="20"/>
        </w:rPr>
        <w:t xml:space="preserve">ll </w:t>
      </w:r>
      <w:r w:rsidR="00433536" w:rsidRPr="0097679B">
        <w:rPr>
          <w:rFonts w:ascii="Arial" w:hAnsi="Arial" w:cs="Arial"/>
          <w:sz w:val="20"/>
          <w:szCs w:val="20"/>
        </w:rPr>
        <w:t>variables considered for analysis</w:t>
      </w:r>
      <w:r w:rsidR="0027365E">
        <w:rPr>
          <w:rFonts w:ascii="Arial" w:hAnsi="Arial" w:cs="Arial"/>
          <w:sz w:val="20"/>
          <w:szCs w:val="20"/>
        </w:rPr>
        <w:t xml:space="preserve"> </w:t>
      </w:r>
      <w:r w:rsidR="00E439C1">
        <w:rPr>
          <w:rFonts w:ascii="Arial" w:hAnsi="Arial" w:cs="Arial"/>
          <w:sz w:val="20"/>
          <w:szCs w:val="20"/>
        </w:rPr>
        <w:t xml:space="preserve">is </w:t>
      </w:r>
      <w:r w:rsidR="00DB14EB">
        <w:rPr>
          <w:rFonts w:ascii="Arial" w:hAnsi="Arial" w:cs="Arial"/>
          <w:sz w:val="20"/>
          <w:szCs w:val="20"/>
        </w:rPr>
        <w:t>presented</w:t>
      </w:r>
      <w:r w:rsidR="0027365E">
        <w:rPr>
          <w:rFonts w:ascii="Arial" w:hAnsi="Arial" w:cs="Arial"/>
          <w:sz w:val="20"/>
          <w:szCs w:val="20"/>
        </w:rPr>
        <w:t xml:space="preserve"> in S</w:t>
      </w:r>
      <w:r w:rsidR="00433536" w:rsidRPr="0097679B">
        <w:rPr>
          <w:rFonts w:ascii="Arial" w:hAnsi="Arial" w:cs="Arial"/>
          <w:sz w:val="20"/>
          <w:szCs w:val="20"/>
        </w:rPr>
        <w:t xml:space="preserve">upplementary item 2.  </w:t>
      </w:r>
    </w:p>
    <w:p w14:paraId="173CA3A1" w14:textId="69E646E1" w:rsidR="006D5E5C" w:rsidRPr="0097679B" w:rsidRDefault="006D5E5C" w:rsidP="00C57AFD">
      <w:pPr>
        <w:spacing w:line="480" w:lineRule="auto"/>
        <w:rPr>
          <w:rFonts w:ascii="Arial" w:hAnsi="Arial" w:cs="Arial"/>
          <w:i/>
          <w:sz w:val="20"/>
          <w:szCs w:val="20"/>
        </w:rPr>
      </w:pPr>
      <w:r w:rsidRPr="0097679B">
        <w:rPr>
          <w:rFonts w:ascii="Arial" w:hAnsi="Arial" w:cs="Arial"/>
          <w:i/>
          <w:sz w:val="20"/>
          <w:szCs w:val="20"/>
        </w:rPr>
        <w:t>2.2.3 Management questionnaire</w:t>
      </w:r>
    </w:p>
    <w:p w14:paraId="7ED5FE52" w14:textId="7462C5A4" w:rsidR="006D5E5C" w:rsidRPr="0097679B" w:rsidRDefault="006D5E5C" w:rsidP="00C57AFD">
      <w:pPr>
        <w:spacing w:line="480" w:lineRule="auto"/>
        <w:rPr>
          <w:rFonts w:ascii="Arial" w:hAnsi="Arial" w:cs="Arial"/>
          <w:sz w:val="20"/>
          <w:szCs w:val="20"/>
        </w:rPr>
      </w:pPr>
      <w:r w:rsidRPr="0097679B">
        <w:rPr>
          <w:rFonts w:ascii="Arial" w:hAnsi="Arial" w:cs="Arial"/>
          <w:sz w:val="20"/>
          <w:szCs w:val="20"/>
        </w:rPr>
        <w:t>Owners/ carers were asked to complet</w:t>
      </w:r>
      <w:r w:rsidR="0027365E">
        <w:rPr>
          <w:rFonts w:ascii="Arial" w:hAnsi="Arial" w:cs="Arial"/>
          <w:sz w:val="20"/>
          <w:szCs w:val="20"/>
        </w:rPr>
        <w:t xml:space="preserve">e a questionnaire concerning the diet, management and health (including </w:t>
      </w:r>
      <w:r w:rsidRPr="0097679B">
        <w:rPr>
          <w:rFonts w:ascii="Arial" w:hAnsi="Arial" w:cs="Arial"/>
          <w:sz w:val="20"/>
          <w:szCs w:val="20"/>
        </w:rPr>
        <w:t xml:space="preserve">any </w:t>
      </w:r>
      <w:r w:rsidR="00256CA9" w:rsidRPr="0097679B">
        <w:rPr>
          <w:rFonts w:ascii="Arial" w:hAnsi="Arial" w:cs="Arial"/>
          <w:sz w:val="20"/>
          <w:szCs w:val="20"/>
        </w:rPr>
        <w:t>PPID</w:t>
      </w:r>
      <w:r w:rsidR="00E439C1">
        <w:rPr>
          <w:rFonts w:ascii="Arial" w:hAnsi="Arial" w:cs="Arial"/>
          <w:sz w:val="20"/>
          <w:szCs w:val="20"/>
        </w:rPr>
        <w:t xml:space="preserve"> signs</w:t>
      </w:r>
      <w:r w:rsidR="0027365E">
        <w:rPr>
          <w:rFonts w:ascii="Arial" w:hAnsi="Arial" w:cs="Arial"/>
          <w:sz w:val="20"/>
          <w:szCs w:val="20"/>
        </w:rPr>
        <w:t>)</w:t>
      </w:r>
      <w:r w:rsidRPr="0097679B">
        <w:rPr>
          <w:rFonts w:ascii="Arial" w:hAnsi="Arial" w:cs="Arial"/>
          <w:sz w:val="20"/>
          <w:szCs w:val="20"/>
        </w:rPr>
        <w:t xml:space="preserve"> for each pony at each visit </w:t>
      </w:r>
      <w:r w:rsidR="00E439C1">
        <w:rPr>
          <w:rFonts w:ascii="Arial" w:hAnsi="Arial" w:cs="Arial"/>
          <w:sz w:val="20"/>
          <w:szCs w:val="20"/>
        </w:rPr>
        <w:t xml:space="preserve">(returned by </w:t>
      </w:r>
      <w:r w:rsidRPr="0097679B">
        <w:rPr>
          <w:rFonts w:ascii="Arial" w:hAnsi="Arial" w:cs="Arial"/>
          <w:sz w:val="20"/>
          <w:szCs w:val="20"/>
        </w:rPr>
        <w:t>post</w:t>
      </w:r>
      <w:r w:rsidR="00E439C1">
        <w:rPr>
          <w:rFonts w:ascii="Arial" w:hAnsi="Arial" w:cs="Arial"/>
          <w:sz w:val="20"/>
          <w:szCs w:val="20"/>
        </w:rPr>
        <w:t>)</w:t>
      </w:r>
      <w:r w:rsidRPr="0097679B">
        <w:rPr>
          <w:rFonts w:ascii="Arial" w:hAnsi="Arial" w:cs="Arial"/>
          <w:sz w:val="20"/>
          <w:szCs w:val="20"/>
        </w:rPr>
        <w:t>. Two questionnaires</w:t>
      </w:r>
      <w:r w:rsidR="00E439C1">
        <w:rPr>
          <w:rFonts w:ascii="Arial" w:hAnsi="Arial" w:cs="Arial"/>
          <w:sz w:val="20"/>
          <w:szCs w:val="20"/>
        </w:rPr>
        <w:t xml:space="preserve"> (see supplementary item 3)</w:t>
      </w:r>
      <w:r w:rsidRPr="0097679B">
        <w:rPr>
          <w:rFonts w:ascii="Arial" w:hAnsi="Arial" w:cs="Arial"/>
          <w:sz w:val="20"/>
          <w:szCs w:val="20"/>
        </w:rPr>
        <w:t xml:space="preserve"> were used, one at initial enrolment and another for each subseque</w:t>
      </w:r>
      <w:r w:rsidR="0027365E">
        <w:rPr>
          <w:rFonts w:ascii="Arial" w:hAnsi="Arial" w:cs="Arial"/>
          <w:sz w:val="20"/>
          <w:szCs w:val="20"/>
        </w:rPr>
        <w:t>nt visit</w:t>
      </w:r>
      <w:r w:rsidR="00433536" w:rsidRPr="0097679B">
        <w:rPr>
          <w:rFonts w:ascii="Arial" w:hAnsi="Arial" w:cs="Arial"/>
          <w:sz w:val="20"/>
          <w:szCs w:val="20"/>
        </w:rPr>
        <w:t>.</w:t>
      </w:r>
    </w:p>
    <w:p w14:paraId="423A1934" w14:textId="7140A97C" w:rsidR="006D5E5C" w:rsidRPr="0097679B" w:rsidRDefault="006D5E5C" w:rsidP="00C57AFD">
      <w:pPr>
        <w:spacing w:line="480" w:lineRule="auto"/>
        <w:rPr>
          <w:rFonts w:ascii="Arial" w:hAnsi="Arial" w:cs="Arial"/>
          <w:sz w:val="20"/>
          <w:szCs w:val="20"/>
        </w:rPr>
      </w:pPr>
      <w:r w:rsidRPr="0097679B">
        <w:rPr>
          <w:rFonts w:ascii="Arial" w:hAnsi="Arial" w:cs="Arial"/>
          <w:i/>
          <w:sz w:val="20"/>
          <w:szCs w:val="20"/>
        </w:rPr>
        <w:t>2.3 Outcome and follow-up</w:t>
      </w:r>
      <w:r w:rsidRPr="0097679B">
        <w:rPr>
          <w:rFonts w:ascii="Arial" w:hAnsi="Arial" w:cs="Arial"/>
          <w:sz w:val="20"/>
          <w:szCs w:val="20"/>
        </w:rPr>
        <w:t xml:space="preserve"> </w:t>
      </w:r>
    </w:p>
    <w:p w14:paraId="743FF171" w14:textId="7396937D" w:rsidR="00B75112" w:rsidRPr="0097679B" w:rsidRDefault="006D5E5C" w:rsidP="00C57AFD">
      <w:pPr>
        <w:spacing w:line="480" w:lineRule="auto"/>
        <w:rPr>
          <w:rFonts w:ascii="Arial" w:hAnsi="Arial" w:cs="Arial"/>
          <w:sz w:val="20"/>
          <w:szCs w:val="20"/>
        </w:rPr>
      </w:pPr>
      <w:r w:rsidRPr="0097679B">
        <w:rPr>
          <w:rFonts w:ascii="Arial" w:hAnsi="Arial" w:cs="Arial"/>
          <w:sz w:val="20"/>
          <w:szCs w:val="20"/>
        </w:rPr>
        <w:t xml:space="preserve">The study was observational </w:t>
      </w:r>
      <w:r w:rsidR="00822EB3">
        <w:rPr>
          <w:rFonts w:ascii="Arial" w:hAnsi="Arial" w:cs="Arial"/>
          <w:sz w:val="20"/>
          <w:szCs w:val="20"/>
        </w:rPr>
        <w:t xml:space="preserve">and </w:t>
      </w:r>
      <w:r w:rsidRPr="0097679B">
        <w:rPr>
          <w:rFonts w:ascii="Arial" w:hAnsi="Arial" w:cs="Arial"/>
          <w:sz w:val="20"/>
          <w:szCs w:val="20"/>
        </w:rPr>
        <w:t xml:space="preserve">owners were </w:t>
      </w:r>
      <w:r w:rsidR="0027365E">
        <w:rPr>
          <w:rFonts w:ascii="Arial" w:hAnsi="Arial" w:cs="Arial"/>
          <w:sz w:val="20"/>
          <w:szCs w:val="20"/>
        </w:rPr>
        <w:t>asked to treat their ponies as usual</w:t>
      </w:r>
      <w:r w:rsidR="000E3595" w:rsidRPr="0097679B">
        <w:rPr>
          <w:rFonts w:ascii="Arial" w:hAnsi="Arial" w:cs="Arial"/>
          <w:sz w:val="20"/>
          <w:szCs w:val="20"/>
        </w:rPr>
        <w:t xml:space="preserve">. Owners were unaware of the results of blood </w:t>
      </w:r>
      <w:r w:rsidR="00E439C1" w:rsidRPr="0097679B">
        <w:rPr>
          <w:rFonts w:ascii="Arial" w:hAnsi="Arial" w:cs="Arial"/>
          <w:sz w:val="20"/>
          <w:szCs w:val="20"/>
        </w:rPr>
        <w:t>analys</w:t>
      </w:r>
      <w:r w:rsidR="00E439C1">
        <w:rPr>
          <w:rFonts w:ascii="Arial" w:hAnsi="Arial" w:cs="Arial"/>
          <w:sz w:val="20"/>
          <w:szCs w:val="20"/>
        </w:rPr>
        <w:t>e</w:t>
      </w:r>
      <w:r w:rsidR="00E439C1" w:rsidRPr="0097679B">
        <w:rPr>
          <w:rFonts w:ascii="Arial" w:hAnsi="Arial" w:cs="Arial"/>
          <w:sz w:val="20"/>
          <w:szCs w:val="20"/>
        </w:rPr>
        <w:t xml:space="preserve">s </w:t>
      </w:r>
      <w:r w:rsidR="000E3595" w:rsidRPr="0097679B">
        <w:rPr>
          <w:rFonts w:ascii="Arial" w:hAnsi="Arial" w:cs="Arial"/>
          <w:sz w:val="20"/>
          <w:szCs w:val="20"/>
        </w:rPr>
        <w:t>or the investigator’s assessment of their ponies</w:t>
      </w:r>
      <w:r w:rsidR="00822EB3">
        <w:rPr>
          <w:rFonts w:ascii="Arial" w:hAnsi="Arial" w:cs="Arial"/>
          <w:sz w:val="20"/>
          <w:szCs w:val="20"/>
        </w:rPr>
        <w:t>,</w:t>
      </w:r>
      <w:r w:rsidR="000E3595" w:rsidRPr="0097679B">
        <w:rPr>
          <w:rFonts w:ascii="Arial" w:hAnsi="Arial" w:cs="Arial"/>
          <w:sz w:val="20"/>
          <w:szCs w:val="20"/>
        </w:rPr>
        <w:t xml:space="preserve"> although this could </w:t>
      </w:r>
      <w:r w:rsidR="00731A74" w:rsidRPr="0097679B">
        <w:rPr>
          <w:rFonts w:ascii="Arial" w:hAnsi="Arial" w:cs="Arial"/>
          <w:sz w:val="20"/>
          <w:szCs w:val="20"/>
        </w:rPr>
        <w:t xml:space="preserve">be requested for </w:t>
      </w:r>
      <w:r w:rsidR="000E3595" w:rsidRPr="0097679B">
        <w:rPr>
          <w:rFonts w:ascii="Arial" w:hAnsi="Arial" w:cs="Arial"/>
          <w:sz w:val="20"/>
          <w:szCs w:val="20"/>
        </w:rPr>
        <w:t>welfare reasons. At each visi</w:t>
      </w:r>
      <w:r w:rsidR="008E0673" w:rsidRPr="0097679B">
        <w:rPr>
          <w:rFonts w:ascii="Arial" w:hAnsi="Arial" w:cs="Arial"/>
          <w:sz w:val="20"/>
          <w:szCs w:val="20"/>
        </w:rPr>
        <w:t>t</w:t>
      </w:r>
      <w:r w:rsidR="000E3595" w:rsidRPr="0097679B">
        <w:rPr>
          <w:rFonts w:ascii="Arial" w:hAnsi="Arial" w:cs="Arial"/>
          <w:sz w:val="20"/>
          <w:szCs w:val="20"/>
        </w:rPr>
        <w:t xml:space="preserve"> owners/carers were asked </w:t>
      </w:r>
      <w:r w:rsidR="008749C8" w:rsidRPr="0097679B">
        <w:rPr>
          <w:rFonts w:ascii="Arial" w:hAnsi="Arial" w:cs="Arial"/>
          <w:sz w:val="20"/>
          <w:szCs w:val="20"/>
        </w:rPr>
        <w:t>about</w:t>
      </w:r>
      <w:r w:rsidR="00256CA9" w:rsidRPr="0097679B">
        <w:rPr>
          <w:rFonts w:ascii="Arial" w:hAnsi="Arial" w:cs="Arial"/>
          <w:sz w:val="20"/>
          <w:szCs w:val="20"/>
        </w:rPr>
        <w:t xml:space="preserve"> any suspected</w:t>
      </w:r>
      <w:r w:rsidR="000E3595" w:rsidRPr="0097679B">
        <w:rPr>
          <w:rFonts w:ascii="Arial" w:hAnsi="Arial" w:cs="Arial"/>
          <w:sz w:val="20"/>
          <w:szCs w:val="20"/>
        </w:rPr>
        <w:t xml:space="preserve"> laminitis</w:t>
      </w:r>
      <w:r w:rsidR="008749C8" w:rsidRPr="0097679B">
        <w:rPr>
          <w:rFonts w:ascii="Arial" w:hAnsi="Arial" w:cs="Arial"/>
          <w:sz w:val="20"/>
          <w:szCs w:val="20"/>
        </w:rPr>
        <w:t xml:space="preserve"> since the previous visit</w:t>
      </w:r>
      <w:r w:rsidR="000E3595" w:rsidRPr="0097679B">
        <w:rPr>
          <w:rFonts w:ascii="Arial" w:hAnsi="Arial" w:cs="Arial"/>
          <w:sz w:val="20"/>
          <w:szCs w:val="20"/>
        </w:rPr>
        <w:t>.</w:t>
      </w:r>
      <w:r w:rsidR="008749C8" w:rsidRPr="0097679B">
        <w:rPr>
          <w:rFonts w:ascii="Arial" w:hAnsi="Arial" w:cs="Arial"/>
          <w:sz w:val="20"/>
          <w:szCs w:val="20"/>
        </w:rPr>
        <w:t xml:space="preserve"> Owners were contacted again by telephone or email six and twelve months after the final visit.</w:t>
      </w:r>
      <w:r w:rsidR="00731A74" w:rsidRPr="0097679B">
        <w:rPr>
          <w:rFonts w:ascii="Arial" w:hAnsi="Arial" w:cs="Arial"/>
          <w:sz w:val="20"/>
          <w:szCs w:val="20"/>
        </w:rPr>
        <w:t xml:space="preserve"> </w:t>
      </w:r>
      <w:r w:rsidR="008749C8" w:rsidRPr="0097679B">
        <w:rPr>
          <w:rFonts w:ascii="Arial" w:hAnsi="Arial" w:cs="Arial"/>
          <w:sz w:val="20"/>
          <w:szCs w:val="20"/>
        </w:rPr>
        <w:t>If laminitis occ</w:t>
      </w:r>
      <w:r w:rsidR="00731A74" w:rsidRPr="0097679B">
        <w:rPr>
          <w:rFonts w:ascii="Arial" w:hAnsi="Arial" w:cs="Arial"/>
          <w:sz w:val="20"/>
          <w:szCs w:val="20"/>
        </w:rPr>
        <w:t>urred</w:t>
      </w:r>
      <w:r w:rsidR="00E439C1">
        <w:rPr>
          <w:rFonts w:ascii="Arial" w:hAnsi="Arial" w:cs="Arial"/>
          <w:sz w:val="20"/>
          <w:szCs w:val="20"/>
        </w:rPr>
        <w:t>,</w:t>
      </w:r>
      <w:r w:rsidR="00731A74" w:rsidRPr="0097679B">
        <w:rPr>
          <w:rFonts w:ascii="Arial" w:hAnsi="Arial" w:cs="Arial"/>
          <w:sz w:val="20"/>
          <w:szCs w:val="20"/>
        </w:rPr>
        <w:t xml:space="preserve"> </w:t>
      </w:r>
      <w:r w:rsidR="0027365E">
        <w:rPr>
          <w:rFonts w:ascii="Arial" w:hAnsi="Arial" w:cs="Arial"/>
          <w:sz w:val="20"/>
          <w:szCs w:val="20"/>
        </w:rPr>
        <w:t>it was recorded as either owner-</w:t>
      </w:r>
      <w:r w:rsidR="008749C8" w:rsidRPr="0097679B">
        <w:rPr>
          <w:rFonts w:ascii="Arial" w:hAnsi="Arial" w:cs="Arial"/>
          <w:sz w:val="20"/>
          <w:szCs w:val="20"/>
        </w:rPr>
        <w:t>suspected</w:t>
      </w:r>
      <w:r w:rsidR="0027365E">
        <w:rPr>
          <w:rFonts w:ascii="Arial" w:hAnsi="Arial" w:cs="Arial"/>
          <w:sz w:val="20"/>
          <w:szCs w:val="20"/>
        </w:rPr>
        <w:t>, farrier-</w:t>
      </w:r>
      <w:r w:rsidR="00731A74" w:rsidRPr="0097679B">
        <w:rPr>
          <w:rFonts w:ascii="Arial" w:hAnsi="Arial" w:cs="Arial"/>
          <w:sz w:val="20"/>
          <w:szCs w:val="20"/>
        </w:rPr>
        <w:t>suspected</w:t>
      </w:r>
      <w:r w:rsidR="008749C8" w:rsidRPr="0097679B">
        <w:rPr>
          <w:rFonts w:ascii="Arial" w:hAnsi="Arial" w:cs="Arial"/>
          <w:sz w:val="20"/>
          <w:szCs w:val="20"/>
        </w:rPr>
        <w:t xml:space="preserve"> or veterinary-confirmed</w:t>
      </w:r>
      <w:r w:rsidR="006A2B58" w:rsidRPr="0097679B">
        <w:rPr>
          <w:rFonts w:ascii="Arial" w:hAnsi="Arial" w:cs="Arial"/>
          <w:sz w:val="20"/>
          <w:szCs w:val="20"/>
        </w:rPr>
        <w:t xml:space="preserve">. </w:t>
      </w:r>
      <w:r w:rsidR="008749C8" w:rsidRPr="0097679B">
        <w:rPr>
          <w:rFonts w:ascii="Arial" w:hAnsi="Arial" w:cs="Arial"/>
          <w:sz w:val="20"/>
          <w:szCs w:val="20"/>
        </w:rPr>
        <w:t xml:space="preserve">Veterinary-confirmed cases </w:t>
      </w:r>
      <w:r w:rsidR="00DB6C0F">
        <w:rPr>
          <w:rFonts w:ascii="Arial" w:hAnsi="Arial" w:cs="Arial"/>
          <w:sz w:val="20"/>
          <w:szCs w:val="20"/>
        </w:rPr>
        <w:t>were</w:t>
      </w:r>
      <w:r w:rsidR="008749C8" w:rsidRPr="0097679B">
        <w:rPr>
          <w:rFonts w:ascii="Arial" w:hAnsi="Arial" w:cs="Arial"/>
          <w:sz w:val="20"/>
          <w:szCs w:val="20"/>
        </w:rPr>
        <w:t xml:space="preserve"> diagnosed</w:t>
      </w:r>
      <w:r w:rsidR="008E0673" w:rsidRPr="0097679B">
        <w:rPr>
          <w:rFonts w:ascii="Arial" w:hAnsi="Arial" w:cs="Arial"/>
          <w:sz w:val="20"/>
          <w:szCs w:val="20"/>
        </w:rPr>
        <w:t>/confirmed</w:t>
      </w:r>
      <w:r w:rsidR="008749C8" w:rsidRPr="0097679B">
        <w:rPr>
          <w:rFonts w:ascii="Arial" w:hAnsi="Arial" w:cs="Arial"/>
          <w:sz w:val="20"/>
          <w:szCs w:val="20"/>
        </w:rPr>
        <w:t xml:space="preserve"> as lam</w:t>
      </w:r>
      <w:r w:rsidR="00322339" w:rsidRPr="0097679B">
        <w:rPr>
          <w:rFonts w:ascii="Arial" w:hAnsi="Arial" w:cs="Arial"/>
          <w:sz w:val="20"/>
          <w:szCs w:val="20"/>
        </w:rPr>
        <w:t>initis by a veterinary surgeon based on the clinical signs.</w:t>
      </w:r>
    </w:p>
    <w:p w14:paraId="4EFD9BF3" w14:textId="457523F1" w:rsidR="008749C8" w:rsidRPr="0097679B" w:rsidRDefault="00156F48" w:rsidP="00C57AFD">
      <w:pPr>
        <w:spacing w:line="480" w:lineRule="auto"/>
        <w:rPr>
          <w:rFonts w:ascii="Arial" w:hAnsi="Arial" w:cs="Arial"/>
          <w:sz w:val="20"/>
          <w:szCs w:val="20"/>
        </w:rPr>
      </w:pPr>
      <w:r>
        <w:rPr>
          <w:rFonts w:ascii="Arial" w:hAnsi="Arial" w:cs="Arial"/>
          <w:sz w:val="20"/>
          <w:szCs w:val="20"/>
        </w:rPr>
        <w:t>The study</w:t>
      </w:r>
      <w:r w:rsidR="00731A74" w:rsidRPr="0097679B">
        <w:rPr>
          <w:rFonts w:ascii="Arial" w:hAnsi="Arial" w:cs="Arial"/>
          <w:sz w:val="20"/>
          <w:szCs w:val="20"/>
        </w:rPr>
        <w:t xml:space="preserve"> outcome was </w:t>
      </w:r>
      <w:r w:rsidR="00E439C1">
        <w:rPr>
          <w:rFonts w:ascii="Arial" w:hAnsi="Arial" w:cs="Arial"/>
          <w:sz w:val="20"/>
          <w:szCs w:val="20"/>
        </w:rPr>
        <w:t xml:space="preserve">laminitis </w:t>
      </w:r>
      <w:r w:rsidR="00731A74" w:rsidRPr="0097679B">
        <w:rPr>
          <w:rFonts w:ascii="Arial" w:hAnsi="Arial" w:cs="Arial"/>
          <w:sz w:val="20"/>
          <w:szCs w:val="20"/>
        </w:rPr>
        <w:t>development (either veterinary confirmed or owner/ farrier suspected), if this occurred the outcome</w:t>
      </w:r>
      <w:r w:rsidR="0029152E">
        <w:rPr>
          <w:rFonts w:ascii="Arial" w:hAnsi="Arial" w:cs="Arial"/>
          <w:sz w:val="20"/>
          <w:szCs w:val="20"/>
        </w:rPr>
        <w:t xml:space="preserve"> date (to the nearest month)</w:t>
      </w:r>
      <w:r w:rsidR="00731A74" w:rsidRPr="0097679B">
        <w:rPr>
          <w:rFonts w:ascii="Arial" w:hAnsi="Arial" w:cs="Arial"/>
          <w:sz w:val="20"/>
          <w:szCs w:val="20"/>
        </w:rPr>
        <w:t xml:space="preserve"> was recorded</w:t>
      </w:r>
      <w:r w:rsidR="00712327">
        <w:rPr>
          <w:rFonts w:ascii="Arial" w:hAnsi="Arial" w:cs="Arial"/>
          <w:sz w:val="20"/>
          <w:szCs w:val="20"/>
        </w:rPr>
        <w:t xml:space="preserve">, data collected up to the date of laminitis were used for analysis and the pony then left the cohort immediately following laminitis development. </w:t>
      </w:r>
      <w:r w:rsidR="00822EB3">
        <w:rPr>
          <w:rFonts w:ascii="Arial" w:hAnsi="Arial" w:cs="Arial"/>
          <w:sz w:val="20"/>
          <w:szCs w:val="20"/>
        </w:rPr>
        <w:t>I</w:t>
      </w:r>
      <w:r w:rsidR="00731A74" w:rsidRPr="0097679B">
        <w:rPr>
          <w:rFonts w:ascii="Arial" w:hAnsi="Arial" w:cs="Arial"/>
          <w:sz w:val="20"/>
          <w:szCs w:val="20"/>
        </w:rPr>
        <w:t xml:space="preserve">f </w:t>
      </w:r>
      <w:r w:rsidR="00822EB3">
        <w:rPr>
          <w:rFonts w:ascii="Arial" w:hAnsi="Arial" w:cs="Arial"/>
          <w:sz w:val="20"/>
          <w:szCs w:val="20"/>
        </w:rPr>
        <w:t>ponies</w:t>
      </w:r>
      <w:r w:rsidR="00822EB3" w:rsidRPr="0097679B">
        <w:rPr>
          <w:rFonts w:ascii="Arial" w:hAnsi="Arial" w:cs="Arial"/>
          <w:sz w:val="20"/>
          <w:szCs w:val="20"/>
        </w:rPr>
        <w:t xml:space="preserve"> </w:t>
      </w:r>
      <w:r w:rsidR="008749C8" w:rsidRPr="0097679B">
        <w:rPr>
          <w:rFonts w:ascii="Arial" w:hAnsi="Arial" w:cs="Arial"/>
          <w:sz w:val="20"/>
          <w:szCs w:val="20"/>
        </w:rPr>
        <w:t>moved premises</w:t>
      </w:r>
      <w:r w:rsidR="008E0673" w:rsidRPr="0097679B">
        <w:rPr>
          <w:rFonts w:ascii="Arial" w:hAnsi="Arial" w:cs="Arial"/>
          <w:sz w:val="20"/>
          <w:szCs w:val="20"/>
        </w:rPr>
        <w:t xml:space="preserve"> or </w:t>
      </w:r>
      <w:r w:rsidR="00E84607">
        <w:rPr>
          <w:rFonts w:ascii="Arial" w:hAnsi="Arial" w:cs="Arial"/>
          <w:sz w:val="20"/>
          <w:szCs w:val="20"/>
        </w:rPr>
        <w:t>became ineligible</w:t>
      </w:r>
      <w:r w:rsidR="008E0673" w:rsidRPr="0097679B">
        <w:rPr>
          <w:rFonts w:ascii="Arial" w:hAnsi="Arial" w:cs="Arial"/>
          <w:sz w:val="20"/>
          <w:szCs w:val="20"/>
        </w:rPr>
        <w:t xml:space="preserve"> </w:t>
      </w:r>
      <w:r w:rsidR="00E84607">
        <w:rPr>
          <w:rFonts w:ascii="Arial" w:hAnsi="Arial" w:cs="Arial"/>
          <w:sz w:val="20"/>
          <w:szCs w:val="20"/>
        </w:rPr>
        <w:t>(</w:t>
      </w:r>
      <w:r w:rsidR="008E0673" w:rsidRPr="0097679B">
        <w:rPr>
          <w:rFonts w:ascii="Arial" w:hAnsi="Arial" w:cs="Arial"/>
          <w:sz w:val="20"/>
          <w:szCs w:val="20"/>
        </w:rPr>
        <w:t>e.g. becoming pregnant</w:t>
      </w:r>
      <w:r w:rsidR="00E84607">
        <w:rPr>
          <w:rFonts w:ascii="Arial" w:hAnsi="Arial" w:cs="Arial"/>
          <w:sz w:val="20"/>
          <w:szCs w:val="20"/>
        </w:rPr>
        <w:t>)</w:t>
      </w:r>
      <w:r w:rsidR="00822EB3">
        <w:rPr>
          <w:rFonts w:ascii="Arial" w:hAnsi="Arial" w:cs="Arial"/>
          <w:sz w:val="20"/>
          <w:szCs w:val="20"/>
        </w:rPr>
        <w:t>,</w:t>
      </w:r>
      <w:r w:rsidR="00410A14">
        <w:rPr>
          <w:rFonts w:ascii="Arial" w:hAnsi="Arial" w:cs="Arial"/>
          <w:sz w:val="20"/>
          <w:szCs w:val="20"/>
        </w:rPr>
        <w:t xml:space="preserve"> </w:t>
      </w:r>
      <w:r w:rsidR="00822EB3">
        <w:rPr>
          <w:rFonts w:ascii="Arial" w:hAnsi="Arial" w:cs="Arial"/>
          <w:sz w:val="20"/>
          <w:szCs w:val="20"/>
        </w:rPr>
        <w:t>d</w:t>
      </w:r>
      <w:r w:rsidR="00E84607">
        <w:rPr>
          <w:rFonts w:ascii="Arial" w:hAnsi="Arial" w:cs="Arial"/>
          <w:sz w:val="20"/>
          <w:szCs w:val="20"/>
        </w:rPr>
        <w:t>ata were included up to</w:t>
      </w:r>
      <w:r w:rsidR="00EF3157" w:rsidRPr="0097679B">
        <w:rPr>
          <w:rFonts w:ascii="Arial" w:hAnsi="Arial" w:cs="Arial"/>
          <w:sz w:val="20"/>
          <w:szCs w:val="20"/>
        </w:rPr>
        <w:t xml:space="preserve"> the last known date that the pony rem</w:t>
      </w:r>
      <w:r w:rsidR="00E84607">
        <w:rPr>
          <w:rFonts w:ascii="Arial" w:hAnsi="Arial" w:cs="Arial"/>
          <w:sz w:val="20"/>
          <w:szCs w:val="20"/>
        </w:rPr>
        <w:t>ained eligible for inclusion</w:t>
      </w:r>
      <w:r w:rsidR="008749C8" w:rsidRPr="0097679B">
        <w:rPr>
          <w:rFonts w:ascii="Arial" w:hAnsi="Arial" w:cs="Arial"/>
          <w:sz w:val="20"/>
          <w:szCs w:val="20"/>
        </w:rPr>
        <w:t>. F</w:t>
      </w:r>
      <w:r w:rsidR="00460511">
        <w:rPr>
          <w:rFonts w:ascii="Arial" w:hAnsi="Arial" w:cs="Arial"/>
          <w:sz w:val="20"/>
          <w:szCs w:val="20"/>
        </w:rPr>
        <w:t>ollow-</w:t>
      </w:r>
      <w:r w:rsidR="008749C8" w:rsidRPr="0097679B">
        <w:rPr>
          <w:rFonts w:ascii="Arial" w:hAnsi="Arial" w:cs="Arial"/>
          <w:sz w:val="20"/>
          <w:szCs w:val="20"/>
        </w:rPr>
        <w:t>u</w:t>
      </w:r>
      <w:r w:rsidR="00E84607">
        <w:rPr>
          <w:rFonts w:ascii="Arial" w:hAnsi="Arial" w:cs="Arial"/>
          <w:sz w:val="20"/>
          <w:szCs w:val="20"/>
        </w:rPr>
        <w:t xml:space="preserve">p for all cases </w:t>
      </w:r>
      <w:r w:rsidR="0029152E">
        <w:rPr>
          <w:rFonts w:ascii="Arial" w:hAnsi="Arial" w:cs="Arial"/>
          <w:sz w:val="20"/>
          <w:szCs w:val="20"/>
        </w:rPr>
        <w:t>ceased</w:t>
      </w:r>
      <w:r w:rsidR="00E84607">
        <w:rPr>
          <w:rFonts w:ascii="Arial" w:hAnsi="Arial" w:cs="Arial"/>
          <w:sz w:val="20"/>
          <w:szCs w:val="20"/>
        </w:rPr>
        <w:t xml:space="preserve"> in s</w:t>
      </w:r>
      <w:r w:rsidR="008749C8" w:rsidRPr="0097679B">
        <w:rPr>
          <w:rFonts w:ascii="Arial" w:hAnsi="Arial" w:cs="Arial"/>
          <w:sz w:val="20"/>
          <w:szCs w:val="20"/>
        </w:rPr>
        <w:t>pring 2020.</w:t>
      </w:r>
      <w:r w:rsidR="006F7D52" w:rsidRPr="0097679B">
        <w:rPr>
          <w:rFonts w:ascii="Arial" w:hAnsi="Arial" w:cs="Arial"/>
          <w:sz w:val="20"/>
          <w:szCs w:val="20"/>
        </w:rPr>
        <w:t xml:space="preserve"> </w:t>
      </w:r>
    </w:p>
    <w:p w14:paraId="45114681" w14:textId="2DEB237E" w:rsidR="006F7D52" w:rsidRPr="0097679B" w:rsidRDefault="006F7D52" w:rsidP="00C57AFD">
      <w:pPr>
        <w:spacing w:line="480" w:lineRule="auto"/>
        <w:rPr>
          <w:rFonts w:ascii="Arial" w:hAnsi="Arial" w:cs="Arial"/>
          <w:i/>
          <w:sz w:val="20"/>
          <w:szCs w:val="20"/>
        </w:rPr>
      </w:pPr>
      <w:r w:rsidRPr="0097679B">
        <w:rPr>
          <w:rFonts w:ascii="Arial" w:hAnsi="Arial" w:cs="Arial"/>
          <w:i/>
          <w:sz w:val="20"/>
          <w:szCs w:val="20"/>
        </w:rPr>
        <w:t>2.4 Data processing and analysis</w:t>
      </w:r>
    </w:p>
    <w:p w14:paraId="30BD73A0" w14:textId="202BF5B9" w:rsidR="0077683E" w:rsidRPr="0097679B" w:rsidRDefault="0077683E" w:rsidP="00C57AFD">
      <w:pPr>
        <w:spacing w:line="480" w:lineRule="auto"/>
        <w:rPr>
          <w:rFonts w:ascii="Arial" w:hAnsi="Arial" w:cs="Arial"/>
          <w:i/>
          <w:sz w:val="20"/>
          <w:szCs w:val="20"/>
        </w:rPr>
      </w:pPr>
      <w:r w:rsidRPr="0097679B">
        <w:rPr>
          <w:rFonts w:ascii="Arial" w:hAnsi="Arial" w:cs="Arial"/>
          <w:i/>
          <w:sz w:val="20"/>
          <w:szCs w:val="20"/>
        </w:rPr>
        <w:t>2.4.1 Data processing</w:t>
      </w:r>
    </w:p>
    <w:p w14:paraId="3EB85360" w14:textId="02B93A84" w:rsidR="006F7D52" w:rsidRPr="0097679B" w:rsidRDefault="002923CD" w:rsidP="00C57AFD">
      <w:pPr>
        <w:spacing w:line="480" w:lineRule="auto"/>
        <w:rPr>
          <w:rFonts w:ascii="Arial" w:hAnsi="Arial" w:cs="Arial"/>
          <w:sz w:val="20"/>
          <w:szCs w:val="20"/>
        </w:rPr>
      </w:pPr>
      <w:r w:rsidRPr="0097679B">
        <w:rPr>
          <w:rFonts w:ascii="Arial" w:hAnsi="Arial" w:cs="Arial"/>
          <w:sz w:val="20"/>
          <w:szCs w:val="20"/>
        </w:rPr>
        <w:lastRenderedPageBreak/>
        <w:t>Data were checked and p</w:t>
      </w:r>
      <w:r w:rsidR="00135A40">
        <w:rPr>
          <w:rFonts w:ascii="Arial" w:hAnsi="Arial" w:cs="Arial"/>
          <w:sz w:val="20"/>
          <w:szCs w:val="20"/>
        </w:rPr>
        <w:t>rocessed using database software</w:t>
      </w:r>
      <w:r w:rsidR="00135A40">
        <w:rPr>
          <w:rFonts w:ascii="Arial" w:hAnsi="Arial" w:cs="Arial"/>
          <w:sz w:val="20"/>
          <w:szCs w:val="20"/>
          <w:vertAlign w:val="superscript"/>
        </w:rPr>
        <w:t>iv v</w:t>
      </w:r>
      <w:r w:rsidR="0050707D" w:rsidRPr="0097679B">
        <w:rPr>
          <w:rFonts w:ascii="Arial" w:hAnsi="Arial" w:cs="Arial"/>
          <w:sz w:val="20"/>
          <w:szCs w:val="20"/>
        </w:rPr>
        <w:t xml:space="preserve">. </w:t>
      </w:r>
      <w:r w:rsidR="0029152E">
        <w:rPr>
          <w:rFonts w:ascii="Arial" w:hAnsi="Arial" w:cs="Arial"/>
          <w:sz w:val="20"/>
          <w:szCs w:val="20"/>
        </w:rPr>
        <w:t>M</w:t>
      </w:r>
      <w:r w:rsidR="00256CA9" w:rsidRPr="0097679B">
        <w:rPr>
          <w:rFonts w:ascii="Arial" w:hAnsi="Arial" w:cs="Arial"/>
          <w:sz w:val="20"/>
          <w:szCs w:val="20"/>
        </w:rPr>
        <w:t xml:space="preserve">issing </w:t>
      </w:r>
      <w:r w:rsidR="00DA3DD5" w:rsidRPr="0097679B">
        <w:rPr>
          <w:rFonts w:ascii="Arial" w:hAnsi="Arial" w:cs="Arial"/>
          <w:sz w:val="20"/>
          <w:szCs w:val="20"/>
        </w:rPr>
        <w:t>value</w:t>
      </w:r>
      <w:r w:rsidR="00256CA9" w:rsidRPr="0097679B">
        <w:rPr>
          <w:rFonts w:ascii="Arial" w:hAnsi="Arial" w:cs="Arial"/>
          <w:sz w:val="20"/>
          <w:szCs w:val="20"/>
        </w:rPr>
        <w:t>s</w:t>
      </w:r>
      <w:r w:rsidR="00EA7147" w:rsidRPr="0097679B">
        <w:rPr>
          <w:rFonts w:ascii="Arial" w:hAnsi="Arial" w:cs="Arial"/>
          <w:sz w:val="20"/>
          <w:szCs w:val="20"/>
        </w:rPr>
        <w:t xml:space="preserve"> </w:t>
      </w:r>
      <w:r w:rsidR="0050707D" w:rsidRPr="0097679B">
        <w:rPr>
          <w:rFonts w:ascii="Arial" w:hAnsi="Arial" w:cs="Arial"/>
          <w:sz w:val="20"/>
          <w:szCs w:val="20"/>
        </w:rPr>
        <w:t>were not usually imputed</w:t>
      </w:r>
      <w:r w:rsidR="0029152E">
        <w:rPr>
          <w:rFonts w:ascii="Arial" w:hAnsi="Arial" w:cs="Arial"/>
          <w:sz w:val="20"/>
          <w:szCs w:val="20"/>
        </w:rPr>
        <w:t>,</w:t>
      </w:r>
      <w:r w:rsidR="0050707D" w:rsidRPr="0097679B">
        <w:rPr>
          <w:rFonts w:ascii="Arial" w:hAnsi="Arial" w:cs="Arial"/>
          <w:sz w:val="20"/>
          <w:szCs w:val="20"/>
        </w:rPr>
        <w:t xml:space="preserve"> however</w:t>
      </w:r>
      <w:r w:rsidR="0029152E">
        <w:rPr>
          <w:rFonts w:ascii="Arial" w:hAnsi="Arial" w:cs="Arial"/>
          <w:sz w:val="20"/>
          <w:szCs w:val="20"/>
        </w:rPr>
        <w:t>,</w:t>
      </w:r>
      <w:r w:rsidR="0050707D" w:rsidRPr="0097679B">
        <w:rPr>
          <w:rFonts w:ascii="Arial" w:hAnsi="Arial" w:cs="Arial"/>
          <w:sz w:val="20"/>
          <w:szCs w:val="20"/>
        </w:rPr>
        <w:t xml:space="preserve"> for blood analytes other than </w:t>
      </w:r>
      <w:r w:rsidR="00256CA9" w:rsidRPr="0097679B">
        <w:rPr>
          <w:rFonts w:ascii="Arial" w:hAnsi="Arial" w:cs="Arial"/>
          <w:sz w:val="20"/>
          <w:szCs w:val="20"/>
        </w:rPr>
        <w:t>[</w:t>
      </w:r>
      <w:r w:rsidR="0050707D" w:rsidRPr="0097679B">
        <w:rPr>
          <w:rFonts w:ascii="Arial" w:hAnsi="Arial" w:cs="Arial"/>
          <w:sz w:val="20"/>
          <w:szCs w:val="20"/>
        </w:rPr>
        <w:t>ACTH</w:t>
      </w:r>
      <w:r w:rsidR="00256CA9" w:rsidRPr="0097679B">
        <w:rPr>
          <w:rFonts w:ascii="Arial" w:hAnsi="Arial" w:cs="Arial"/>
          <w:sz w:val="20"/>
          <w:szCs w:val="20"/>
        </w:rPr>
        <w:t>],</w:t>
      </w:r>
      <w:r w:rsidR="0050707D" w:rsidRPr="0097679B">
        <w:rPr>
          <w:rFonts w:ascii="Arial" w:hAnsi="Arial" w:cs="Arial"/>
          <w:sz w:val="20"/>
          <w:szCs w:val="20"/>
        </w:rPr>
        <w:t xml:space="preserve"> the previous sampling </w:t>
      </w:r>
      <w:r w:rsidR="0029152E">
        <w:rPr>
          <w:rFonts w:ascii="Arial" w:hAnsi="Arial" w:cs="Arial"/>
          <w:sz w:val="20"/>
          <w:szCs w:val="20"/>
        </w:rPr>
        <w:t xml:space="preserve">data </w:t>
      </w:r>
      <w:r w:rsidR="0050707D" w:rsidRPr="0097679B">
        <w:rPr>
          <w:rFonts w:ascii="Arial" w:hAnsi="Arial" w:cs="Arial"/>
          <w:sz w:val="20"/>
          <w:szCs w:val="20"/>
        </w:rPr>
        <w:t xml:space="preserve">point was carried forward if a value was missing. </w:t>
      </w:r>
      <w:r w:rsidR="00EA7147" w:rsidRPr="0097679B">
        <w:rPr>
          <w:rFonts w:ascii="Arial" w:hAnsi="Arial" w:cs="Arial"/>
          <w:sz w:val="20"/>
          <w:szCs w:val="20"/>
        </w:rPr>
        <w:t>Missing blood analyte data</w:t>
      </w:r>
      <w:r w:rsidR="0050707D" w:rsidRPr="0097679B">
        <w:rPr>
          <w:rFonts w:ascii="Arial" w:hAnsi="Arial" w:cs="Arial"/>
          <w:sz w:val="20"/>
          <w:szCs w:val="20"/>
        </w:rPr>
        <w:t xml:space="preserve"> </w:t>
      </w:r>
      <w:r w:rsidR="00EA7147" w:rsidRPr="0097679B">
        <w:rPr>
          <w:rFonts w:ascii="Arial" w:hAnsi="Arial" w:cs="Arial"/>
          <w:sz w:val="20"/>
          <w:szCs w:val="20"/>
        </w:rPr>
        <w:t xml:space="preserve">occurred </w:t>
      </w:r>
      <w:r w:rsidR="00E84607">
        <w:rPr>
          <w:rFonts w:ascii="Arial" w:hAnsi="Arial" w:cs="Arial"/>
          <w:sz w:val="20"/>
          <w:szCs w:val="20"/>
        </w:rPr>
        <w:t>rarely and was usually due to pony behaviour</w:t>
      </w:r>
      <w:r w:rsidR="0050707D" w:rsidRPr="0097679B">
        <w:rPr>
          <w:rFonts w:ascii="Arial" w:hAnsi="Arial" w:cs="Arial"/>
          <w:sz w:val="20"/>
          <w:szCs w:val="20"/>
        </w:rPr>
        <w:t>. If questionnaires were not returned or completed properly owners were asked by telephone or emai</w:t>
      </w:r>
      <w:r w:rsidR="00E84607">
        <w:rPr>
          <w:rFonts w:ascii="Arial" w:hAnsi="Arial" w:cs="Arial"/>
          <w:sz w:val="20"/>
          <w:szCs w:val="20"/>
        </w:rPr>
        <w:t>l for signalment data but</w:t>
      </w:r>
      <w:r w:rsidR="0050707D" w:rsidRPr="0097679B">
        <w:rPr>
          <w:rFonts w:ascii="Arial" w:hAnsi="Arial" w:cs="Arial"/>
          <w:sz w:val="20"/>
          <w:szCs w:val="20"/>
        </w:rPr>
        <w:t xml:space="preserve"> were not asked to remember </w:t>
      </w:r>
      <w:r w:rsidR="00461299" w:rsidRPr="0097679B">
        <w:rPr>
          <w:rFonts w:ascii="Arial" w:hAnsi="Arial" w:cs="Arial"/>
          <w:sz w:val="20"/>
          <w:szCs w:val="20"/>
        </w:rPr>
        <w:t>other management</w:t>
      </w:r>
      <w:r w:rsidR="0029152E">
        <w:rPr>
          <w:rFonts w:ascii="Arial" w:hAnsi="Arial" w:cs="Arial"/>
          <w:sz w:val="20"/>
          <w:szCs w:val="20"/>
        </w:rPr>
        <w:t xml:space="preserve"> details</w:t>
      </w:r>
      <w:r w:rsidR="00461299" w:rsidRPr="0097679B">
        <w:rPr>
          <w:rFonts w:ascii="Arial" w:hAnsi="Arial" w:cs="Arial"/>
          <w:sz w:val="20"/>
          <w:szCs w:val="20"/>
        </w:rPr>
        <w:t>. Missing d</w:t>
      </w:r>
      <w:r w:rsidR="0050707D" w:rsidRPr="0097679B">
        <w:rPr>
          <w:rFonts w:ascii="Arial" w:hAnsi="Arial" w:cs="Arial"/>
          <w:sz w:val="20"/>
          <w:szCs w:val="20"/>
        </w:rPr>
        <w:t xml:space="preserve">ata were imputed for four questionnaire </w:t>
      </w:r>
      <w:r w:rsidR="00461299" w:rsidRPr="0097679B">
        <w:rPr>
          <w:rFonts w:ascii="Arial" w:hAnsi="Arial" w:cs="Arial"/>
          <w:sz w:val="20"/>
          <w:szCs w:val="20"/>
        </w:rPr>
        <w:t>variables</w:t>
      </w:r>
      <w:r w:rsidR="0029152E">
        <w:rPr>
          <w:rFonts w:ascii="Arial" w:hAnsi="Arial" w:cs="Arial"/>
          <w:sz w:val="20"/>
          <w:szCs w:val="20"/>
        </w:rPr>
        <w:t xml:space="preserve"> only</w:t>
      </w:r>
      <w:r w:rsidR="00461299" w:rsidRPr="0097679B">
        <w:rPr>
          <w:rFonts w:ascii="Arial" w:hAnsi="Arial" w:cs="Arial"/>
          <w:sz w:val="20"/>
          <w:szCs w:val="20"/>
        </w:rPr>
        <w:t xml:space="preserve"> under specific circumstances</w:t>
      </w:r>
      <w:r w:rsidR="000349CF" w:rsidRPr="0097679B">
        <w:rPr>
          <w:rFonts w:ascii="Arial" w:hAnsi="Arial" w:cs="Arial"/>
          <w:sz w:val="20"/>
          <w:szCs w:val="20"/>
        </w:rPr>
        <w:t xml:space="preserve"> (</w:t>
      </w:r>
      <w:r w:rsidR="0029152E">
        <w:rPr>
          <w:rFonts w:ascii="Arial" w:hAnsi="Arial" w:cs="Arial"/>
          <w:sz w:val="20"/>
          <w:szCs w:val="20"/>
        </w:rPr>
        <w:t>see</w:t>
      </w:r>
      <w:r w:rsidR="000349CF" w:rsidRPr="0097679B">
        <w:rPr>
          <w:rFonts w:ascii="Arial" w:hAnsi="Arial" w:cs="Arial"/>
          <w:sz w:val="20"/>
          <w:szCs w:val="20"/>
        </w:rPr>
        <w:t xml:space="preserve"> supplementary item 2)</w:t>
      </w:r>
      <w:r w:rsidR="00461299" w:rsidRPr="0097679B">
        <w:rPr>
          <w:rFonts w:ascii="Arial" w:hAnsi="Arial" w:cs="Arial"/>
          <w:sz w:val="20"/>
          <w:szCs w:val="20"/>
        </w:rPr>
        <w:t xml:space="preserve">. </w:t>
      </w:r>
    </w:p>
    <w:p w14:paraId="360EB2E6" w14:textId="4D28F653" w:rsidR="00461299" w:rsidRPr="0097679B" w:rsidRDefault="00461299" w:rsidP="00C57AFD">
      <w:pPr>
        <w:spacing w:line="480" w:lineRule="auto"/>
        <w:rPr>
          <w:rFonts w:ascii="Arial" w:hAnsi="Arial" w:cs="Arial"/>
          <w:sz w:val="20"/>
          <w:szCs w:val="20"/>
        </w:rPr>
      </w:pPr>
      <w:r w:rsidRPr="0097679B">
        <w:rPr>
          <w:rFonts w:ascii="Arial" w:hAnsi="Arial" w:cs="Arial"/>
          <w:sz w:val="20"/>
          <w:szCs w:val="20"/>
        </w:rPr>
        <w:t>Due to the normal seasonal variation in [ACTH]</w:t>
      </w:r>
      <w:r w:rsidR="00BA15FE">
        <w:rPr>
          <w:rFonts w:ascii="Arial" w:hAnsi="Arial" w:cs="Arial"/>
          <w:sz w:val="20"/>
          <w:szCs w:val="20"/>
        </w:rPr>
        <w:t xml:space="preserve"> </w:t>
      </w:r>
      <w:r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{"citationItems":[{"id":"ITEM-1","itemData":{"author":[{"dropping-particle":"","family":"Beech","given":"Jill","non-dropping-particle":"","parse-names":false,"suffix":""},{"dropping-particle":"","family":"Boston","given":"Raymond C","non-dropping-particle":"","parse-names":false,"suffix":""},{"dropping-particle":"","family":"McFarlane","given":"Dianne","non-dropping-particle":"","parse-names":false,"suffix":""},{"dropping-particle":"","family":"Lindborg","given":"Sue","non-dropping-particle":"","parse-names":false,"suffix":""}],"container-title":"Journal of the American Veterinary Medical Association","id":"ITEM-1","issue":"6","issued":{"date-parts":[["2009"]]},"page":"715-722","title":"Evaluation of plasma ACTH, alpha melanocyte stimulating hormone, and insulin concentrations during various photoperiods in clinically normal horses and ponies and those with pituitary pars intermedia dysfunction","type":"article-journal","volume":"235"},"uris":["http://www.mendeley.com/documents/?uuid=05305ef5-8fe7-4e44-9558-72a26e99a807"]}],"mendeley":{"formattedCitation":"[9]","plainTextFormattedCitation":"[9]","previouslyFormattedCitation":"[9]"},"properties":{"noteIndex":0},"schema":"https://github.com/citation-style-language/schema/raw/master/csl-citation.json"}</w:instrText>
      </w:r>
      <w:r w:rsidRPr="0097679B">
        <w:rPr>
          <w:rFonts w:ascii="Arial" w:hAnsi="Arial" w:cs="Arial"/>
          <w:sz w:val="20"/>
          <w:szCs w:val="20"/>
        </w:rPr>
        <w:fldChar w:fldCharType="separate"/>
      </w:r>
      <w:r w:rsidR="00EB565D" w:rsidRPr="0097679B">
        <w:rPr>
          <w:rFonts w:ascii="Arial" w:hAnsi="Arial" w:cs="Arial"/>
          <w:noProof/>
          <w:sz w:val="20"/>
          <w:szCs w:val="20"/>
        </w:rPr>
        <w:t>[9]</w:t>
      </w:r>
      <w:r w:rsidRPr="0097679B">
        <w:rPr>
          <w:rFonts w:ascii="Arial" w:hAnsi="Arial" w:cs="Arial"/>
          <w:sz w:val="20"/>
          <w:szCs w:val="20"/>
        </w:rPr>
        <w:fldChar w:fldCharType="end"/>
      </w:r>
      <w:r w:rsidR="00720F00" w:rsidRPr="0097679B">
        <w:rPr>
          <w:rFonts w:ascii="Arial" w:hAnsi="Arial" w:cs="Arial"/>
          <w:sz w:val="20"/>
          <w:szCs w:val="20"/>
        </w:rPr>
        <w:t xml:space="preserve"> and presence of autumnal cross</w:t>
      </w:r>
      <w:r w:rsidR="0029152E">
        <w:rPr>
          <w:rFonts w:ascii="Arial" w:hAnsi="Arial" w:cs="Arial"/>
          <w:sz w:val="20"/>
          <w:szCs w:val="20"/>
        </w:rPr>
        <w:t>-</w:t>
      </w:r>
      <w:r w:rsidR="00720F00" w:rsidRPr="0097679B">
        <w:rPr>
          <w:rFonts w:ascii="Arial" w:hAnsi="Arial" w:cs="Arial"/>
          <w:sz w:val="20"/>
          <w:szCs w:val="20"/>
        </w:rPr>
        <w:t>reactants</w:t>
      </w:r>
      <w:r w:rsidR="00BA15FE">
        <w:rPr>
          <w:rFonts w:ascii="Arial" w:hAnsi="Arial" w:cs="Arial"/>
          <w:sz w:val="20"/>
          <w:szCs w:val="20"/>
        </w:rPr>
        <w:t xml:space="preserve"> </w:t>
      </w:r>
      <w:r w:rsidR="00720F00" w:rsidRPr="0097679B">
        <w:rPr>
          <w:rFonts w:ascii="Arial" w:hAnsi="Arial" w:cs="Arial"/>
          <w:sz w:val="20"/>
          <w:szCs w:val="20"/>
        </w:rPr>
        <w:fldChar w:fldCharType="begin" w:fldLock="1"/>
      </w:r>
      <w:r w:rsidR="00720F00" w:rsidRPr="0097679B">
        <w:rPr>
          <w:rFonts w:ascii="Arial" w:hAnsi="Arial" w:cs="Arial"/>
          <w:sz w:val="20"/>
          <w:szCs w:val="20"/>
        </w:rPr>
        <w:instrText>ADDIN CSL_CITATION {"citationItems":[{"id":"ITEM-1","itemData":{"DOI":"10.1111/evj.12797","author":[{"dropping-particle":"","family":"Knowles","given":"E J","non-dropping-particle":"","parse-names":false,"suffix":""},{"dropping-particle":"","family":"Shaw","given":"S","non-dropping-particle":"","parse-names":false,"suffix":""},{"dropping-particle":"","family":"Harris","given":"P A","non-dropping-particle":"","parse-names":false,"suffix":""},{"dropping-particle":"","family":"Elliott","given":"J","non-dropping-particle":"","parse-names":false,"suffix":""}],"container-title":"Equine Vet J","id":"ITEM-1","issued":{"date-parts":[["2018"]]},"page":"672-677","title":"Plasma adrenocorticotropic hormone ( ACTH ) concentrations in ponies measured by two different assays suggests seasonal cross-reactivity or interference","type":"article-journal","volume":"50"},"uris":["http://www.mendeley.com/documents/?uuid=f4f084e6-4e9b-40ff-aacb-9a5907845c45"]}],"mendeley":{"formattedCitation":"[6]","plainTextFormattedCitation":"[6]","previouslyFormattedCitation":"[6]"},"properties":{"noteIndex":0},"schema":"https://github.com/citation-style-language/schema/raw/master/csl-citation.json"}</w:instrText>
      </w:r>
      <w:r w:rsidR="00720F00" w:rsidRPr="0097679B">
        <w:rPr>
          <w:rFonts w:ascii="Arial" w:hAnsi="Arial" w:cs="Arial"/>
          <w:sz w:val="20"/>
          <w:szCs w:val="20"/>
        </w:rPr>
        <w:fldChar w:fldCharType="separate"/>
      </w:r>
      <w:r w:rsidR="00720F00" w:rsidRPr="0097679B">
        <w:rPr>
          <w:rFonts w:ascii="Arial" w:hAnsi="Arial" w:cs="Arial"/>
          <w:noProof/>
          <w:sz w:val="20"/>
          <w:szCs w:val="20"/>
        </w:rPr>
        <w:t>[6]</w:t>
      </w:r>
      <w:r w:rsidR="00720F00" w:rsidRPr="0097679B">
        <w:rPr>
          <w:rFonts w:ascii="Arial" w:hAnsi="Arial" w:cs="Arial"/>
          <w:sz w:val="20"/>
          <w:szCs w:val="20"/>
        </w:rPr>
        <w:fldChar w:fldCharType="end"/>
      </w:r>
      <w:r w:rsidR="0029152E">
        <w:rPr>
          <w:rFonts w:ascii="Arial" w:hAnsi="Arial" w:cs="Arial"/>
          <w:sz w:val="20"/>
          <w:szCs w:val="20"/>
        </w:rPr>
        <w:t>,</w:t>
      </w:r>
      <w:r w:rsidR="00720F00" w:rsidRPr="0097679B">
        <w:rPr>
          <w:rFonts w:ascii="Arial" w:hAnsi="Arial" w:cs="Arial"/>
          <w:sz w:val="20"/>
          <w:szCs w:val="20"/>
        </w:rPr>
        <w:t xml:space="preserve"> spring and autumn </w:t>
      </w:r>
      <w:r w:rsidR="00E84607">
        <w:rPr>
          <w:rFonts w:ascii="Arial" w:hAnsi="Arial" w:cs="Arial"/>
          <w:sz w:val="20"/>
          <w:szCs w:val="20"/>
        </w:rPr>
        <w:t>[</w:t>
      </w:r>
      <w:r w:rsidR="00720F00" w:rsidRPr="0097679B">
        <w:rPr>
          <w:rFonts w:ascii="Arial" w:hAnsi="Arial" w:cs="Arial"/>
          <w:sz w:val="20"/>
          <w:szCs w:val="20"/>
        </w:rPr>
        <w:t>ACTH</w:t>
      </w:r>
      <w:r w:rsidR="00E84607">
        <w:rPr>
          <w:rFonts w:ascii="Arial" w:hAnsi="Arial" w:cs="Arial"/>
          <w:sz w:val="20"/>
          <w:szCs w:val="20"/>
        </w:rPr>
        <w:t>]</w:t>
      </w:r>
      <w:r w:rsidR="0029152E">
        <w:rPr>
          <w:rFonts w:ascii="Arial" w:hAnsi="Arial" w:cs="Arial"/>
          <w:sz w:val="20"/>
          <w:szCs w:val="20"/>
        </w:rPr>
        <w:t xml:space="preserve"> absolute values</w:t>
      </w:r>
      <w:r w:rsidR="00720F00" w:rsidRPr="0097679B">
        <w:rPr>
          <w:rFonts w:ascii="Arial" w:hAnsi="Arial" w:cs="Arial"/>
          <w:sz w:val="20"/>
          <w:szCs w:val="20"/>
        </w:rPr>
        <w:t xml:space="preserve"> </w:t>
      </w:r>
      <w:r w:rsidR="00E84607">
        <w:rPr>
          <w:rFonts w:ascii="Arial" w:hAnsi="Arial" w:cs="Arial"/>
          <w:sz w:val="20"/>
          <w:szCs w:val="20"/>
        </w:rPr>
        <w:t>were not</w:t>
      </w:r>
      <w:r w:rsidR="00720F00" w:rsidRPr="0097679B">
        <w:rPr>
          <w:rFonts w:ascii="Arial" w:hAnsi="Arial" w:cs="Arial"/>
          <w:sz w:val="20"/>
          <w:szCs w:val="20"/>
        </w:rPr>
        <w:t xml:space="preserve"> included in the </w:t>
      </w:r>
      <w:r w:rsidR="006A2B58" w:rsidRPr="0097679B">
        <w:rPr>
          <w:rFonts w:ascii="Arial" w:hAnsi="Arial" w:cs="Arial"/>
          <w:sz w:val="20"/>
          <w:szCs w:val="20"/>
        </w:rPr>
        <w:t>main</w:t>
      </w:r>
      <w:r w:rsidR="00720F00" w:rsidRPr="0097679B">
        <w:rPr>
          <w:rFonts w:ascii="Arial" w:hAnsi="Arial" w:cs="Arial"/>
          <w:sz w:val="20"/>
          <w:szCs w:val="20"/>
        </w:rPr>
        <w:t xml:space="preserve"> analysis. </w:t>
      </w:r>
      <w:r w:rsidR="0029152E">
        <w:rPr>
          <w:rFonts w:ascii="Arial" w:hAnsi="Arial" w:cs="Arial"/>
          <w:sz w:val="20"/>
          <w:szCs w:val="20"/>
        </w:rPr>
        <w:t>A</w:t>
      </w:r>
      <w:r w:rsidR="00720F00" w:rsidRPr="0097679B">
        <w:rPr>
          <w:rFonts w:ascii="Arial" w:hAnsi="Arial" w:cs="Arial"/>
          <w:sz w:val="20"/>
          <w:szCs w:val="20"/>
        </w:rPr>
        <w:t>n additional binary variable ‘ACTH positive’ was created to categorise ponies into those with or without [ACTH] that exceeded the middle of the equivocal range proposed by the Equine Endocrinology Group Guidelines</w:t>
      </w:r>
      <w:r w:rsidR="00D404DF" w:rsidRPr="0097679B">
        <w:rPr>
          <w:rFonts w:ascii="Arial" w:hAnsi="Arial" w:cs="Arial"/>
          <w:sz w:val="20"/>
          <w:szCs w:val="20"/>
        </w:rPr>
        <w:t xml:space="preserve"> for </w:t>
      </w:r>
      <w:r w:rsidR="0029152E">
        <w:rPr>
          <w:rFonts w:ascii="Arial" w:hAnsi="Arial" w:cs="Arial"/>
          <w:sz w:val="20"/>
          <w:szCs w:val="20"/>
        </w:rPr>
        <w:t xml:space="preserve">PPID </w:t>
      </w:r>
      <w:r w:rsidR="00D404DF" w:rsidRPr="0097679B">
        <w:rPr>
          <w:rFonts w:ascii="Arial" w:hAnsi="Arial" w:cs="Arial"/>
          <w:sz w:val="20"/>
          <w:szCs w:val="20"/>
        </w:rPr>
        <w:t xml:space="preserve">diagnosis </w:t>
      </w:r>
      <w:r w:rsidR="00720F00"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{"citationItems":[{"id":"ITEM-1","itemData":{"URL":"https://sites.tufts.edu/equineendogroup/files/2019/12/2019-PPID_EEGbooklet.pdf","author":[{"dropping-particle":"","family":"The Equine Endocrinology Group","given":"","non-dropping-particle":"","parse-names":false,"suffix":""}],"id":"ITEM-1","issued":{"date-parts":[["2019"]]},"title":"Recommendations for the Diagnosis and Treatment of Pituitary Pars Intermedia Dysfunction (PPID) 2019","type":"webpage"},"uris":["http://www.mendeley.com/documents/?uuid=a79c7a34-c501-4fbd-a4dc-100d9a96269e"]}],"mendeley":{"formattedCitation":"[10]","plainTextFormattedCitation":"[10]","previouslyFormattedCitation":"[10]"},"properties":{"noteIndex":0},"schema":"https://github.com/citation-style-language/schema/raw/master/csl-citation.json"}</w:instrText>
      </w:r>
      <w:r w:rsidR="00720F00" w:rsidRPr="0097679B">
        <w:rPr>
          <w:rFonts w:ascii="Arial" w:hAnsi="Arial" w:cs="Arial"/>
          <w:sz w:val="20"/>
          <w:szCs w:val="20"/>
        </w:rPr>
        <w:fldChar w:fldCharType="separate"/>
      </w:r>
      <w:r w:rsidR="00EB565D" w:rsidRPr="0097679B">
        <w:rPr>
          <w:rFonts w:ascii="Arial" w:hAnsi="Arial" w:cs="Arial"/>
          <w:noProof/>
          <w:sz w:val="20"/>
          <w:szCs w:val="20"/>
        </w:rPr>
        <w:t>[10]</w:t>
      </w:r>
      <w:r w:rsidR="00720F00" w:rsidRPr="0097679B">
        <w:rPr>
          <w:rFonts w:ascii="Arial" w:hAnsi="Arial" w:cs="Arial"/>
          <w:sz w:val="20"/>
          <w:szCs w:val="20"/>
        </w:rPr>
        <w:fldChar w:fldCharType="end"/>
      </w:r>
      <w:r w:rsidR="00720F00" w:rsidRPr="0097679B">
        <w:rPr>
          <w:rFonts w:ascii="Arial" w:hAnsi="Arial" w:cs="Arial"/>
          <w:sz w:val="20"/>
          <w:szCs w:val="20"/>
        </w:rPr>
        <w:t xml:space="preserve"> in autumn and spring (75 and 40</w:t>
      </w:r>
      <w:r w:rsidR="0029152E">
        <w:rPr>
          <w:rFonts w:ascii="Arial" w:hAnsi="Arial" w:cs="Arial"/>
          <w:sz w:val="20"/>
          <w:szCs w:val="20"/>
        </w:rPr>
        <w:t xml:space="preserve"> </w:t>
      </w:r>
      <w:r w:rsidR="00720F00" w:rsidRPr="0097679B">
        <w:rPr>
          <w:rFonts w:ascii="Arial" w:hAnsi="Arial" w:cs="Arial"/>
          <w:sz w:val="20"/>
          <w:szCs w:val="20"/>
        </w:rPr>
        <w:t>pg/ml</w:t>
      </w:r>
      <w:r w:rsidR="0049556F">
        <w:rPr>
          <w:rFonts w:ascii="Arial" w:hAnsi="Arial" w:cs="Arial"/>
          <w:sz w:val="20"/>
          <w:szCs w:val="20"/>
        </w:rPr>
        <w:t>,</w:t>
      </w:r>
      <w:r w:rsidR="00720F00" w:rsidRPr="0097679B">
        <w:rPr>
          <w:rFonts w:ascii="Arial" w:hAnsi="Arial" w:cs="Arial"/>
          <w:sz w:val="20"/>
          <w:szCs w:val="20"/>
        </w:rPr>
        <w:t xml:space="preserve"> respectively).</w:t>
      </w:r>
    </w:p>
    <w:p w14:paraId="6D88764F" w14:textId="29479724" w:rsidR="006A2B58" w:rsidRPr="0097679B" w:rsidRDefault="00720F00" w:rsidP="00C57AFD">
      <w:pPr>
        <w:spacing w:line="480" w:lineRule="auto"/>
        <w:rPr>
          <w:rFonts w:ascii="Arial" w:hAnsi="Arial" w:cs="Arial"/>
          <w:sz w:val="20"/>
          <w:szCs w:val="20"/>
        </w:rPr>
      </w:pPr>
      <w:r w:rsidRPr="0097679B">
        <w:rPr>
          <w:rFonts w:ascii="Arial" w:hAnsi="Arial" w:cs="Arial"/>
          <w:sz w:val="20"/>
          <w:szCs w:val="20"/>
        </w:rPr>
        <w:t>Prior to analysis</w:t>
      </w:r>
      <w:r w:rsidR="0029152E">
        <w:rPr>
          <w:rFonts w:ascii="Arial" w:hAnsi="Arial" w:cs="Arial"/>
          <w:sz w:val="20"/>
          <w:szCs w:val="20"/>
        </w:rPr>
        <w:t>,</w:t>
      </w:r>
      <w:r w:rsidRPr="0097679B">
        <w:rPr>
          <w:rFonts w:ascii="Arial" w:hAnsi="Arial" w:cs="Arial"/>
          <w:sz w:val="20"/>
          <w:szCs w:val="20"/>
        </w:rPr>
        <w:t xml:space="preserve"> data were processed into biologically plausible variables that were considered potential contributors to laminitis. </w:t>
      </w:r>
      <w:r w:rsidR="00816CF2" w:rsidRPr="0097679B">
        <w:rPr>
          <w:rFonts w:ascii="Arial" w:hAnsi="Arial" w:cs="Arial"/>
          <w:sz w:val="20"/>
          <w:szCs w:val="20"/>
        </w:rPr>
        <w:t>In some cases</w:t>
      </w:r>
      <w:r w:rsidR="00704532">
        <w:rPr>
          <w:rFonts w:ascii="Arial" w:hAnsi="Arial" w:cs="Arial"/>
          <w:sz w:val="20"/>
          <w:szCs w:val="20"/>
        </w:rPr>
        <w:t>,</w:t>
      </w:r>
      <w:r w:rsidR="00816CF2" w:rsidRPr="0097679B">
        <w:rPr>
          <w:rFonts w:ascii="Arial" w:hAnsi="Arial" w:cs="Arial"/>
          <w:sz w:val="20"/>
          <w:szCs w:val="20"/>
        </w:rPr>
        <w:t xml:space="preserve"> composite variables were created to reduce the </w:t>
      </w:r>
      <w:r w:rsidR="00E84607">
        <w:rPr>
          <w:rFonts w:ascii="Arial" w:hAnsi="Arial" w:cs="Arial"/>
          <w:sz w:val="20"/>
          <w:szCs w:val="20"/>
        </w:rPr>
        <w:t xml:space="preserve">total </w:t>
      </w:r>
      <w:r w:rsidR="00816CF2" w:rsidRPr="0097679B">
        <w:rPr>
          <w:rFonts w:ascii="Arial" w:hAnsi="Arial" w:cs="Arial"/>
          <w:sz w:val="20"/>
          <w:szCs w:val="20"/>
        </w:rPr>
        <w:t xml:space="preserve">number of variables </w:t>
      </w:r>
      <w:r w:rsidR="00704532">
        <w:rPr>
          <w:rFonts w:ascii="Arial" w:hAnsi="Arial" w:cs="Arial"/>
          <w:sz w:val="20"/>
          <w:szCs w:val="20"/>
        </w:rPr>
        <w:t>evaluated and so</w:t>
      </w:r>
      <w:r w:rsidR="00F809D0">
        <w:rPr>
          <w:rFonts w:ascii="Arial" w:hAnsi="Arial" w:cs="Arial"/>
          <w:sz w:val="20"/>
          <w:szCs w:val="20"/>
        </w:rPr>
        <w:t xml:space="preserve"> the</w:t>
      </w:r>
      <w:r w:rsidR="00704532">
        <w:rPr>
          <w:rFonts w:ascii="Arial" w:hAnsi="Arial" w:cs="Arial"/>
          <w:sz w:val="20"/>
          <w:szCs w:val="20"/>
        </w:rPr>
        <w:t xml:space="preserve"> </w:t>
      </w:r>
      <w:r w:rsidR="0049556F">
        <w:rPr>
          <w:rFonts w:ascii="Arial" w:hAnsi="Arial" w:cs="Arial"/>
          <w:sz w:val="20"/>
          <w:szCs w:val="20"/>
        </w:rPr>
        <w:t xml:space="preserve">chance of </w:t>
      </w:r>
      <w:r w:rsidR="00704532">
        <w:rPr>
          <w:rFonts w:ascii="Arial" w:hAnsi="Arial" w:cs="Arial"/>
          <w:sz w:val="20"/>
          <w:szCs w:val="20"/>
        </w:rPr>
        <w:t>type 1 errors</w:t>
      </w:r>
      <w:r w:rsidR="00816CF2" w:rsidRPr="0097679B">
        <w:rPr>
          <w:rFonts w:ascii="Arial" w:hAnsi="Arial" w:cs="Arial"/>
          <w:sz w:val="20"/>
          <w:szCs w:val="20"/>
        </w:rPr>
        <w:t>. Where appropriate</w:t>
      </w:r>
      <w:r w:rsidR="00704532">
        <w:rPr>
          <w:rFonts w:ascii="Arial" w:hAnsi="Arial" w:cs="Arial"/>
          <w:sz w:val="20"/>
          <w:szCs w:val="20"/>
        </w:rPr>
        <w:t>,</w:t>
      </w:r>
      <w:r w:rsidR="00816CF2" w:rsidRPr="0097679B">
        <w:rPr>
          <w:rFonts w:ascii="Arial" w:hAnsi="Arial" w:cs="Arial"/>
          <w:sz w:val="20"/>
          <w:szCs w:val="20"/>
        </w:rPr>
        <w:t xml:space="preserve"> the number of </w:t>
      </w:r>
      <w:r w:rsidR="0049556F">
        <w:rPr>
          <w:rFonts w:ascii="Arial" w:hAnsi="Arial" w:cs="Arial"/>
          <w:sz w:val="20"/>
          <w:szCs w:val="20"/>
        </w:rPr>
        <w:t xml:space="preserve">levels </w:t>
      </w:r>
      <w:r w:rsidR="00E84607">
        <w:rPr>
          <w:rFonts w:ascii="Arial" w:hAnsi="Arial" w:cs="Arial"/>
          <w:sz w:val="20"/>
          <w:szCs w:val="20"/>
        </w:rPr>
        <w:t>of categorical variables was</w:t>
      </w:r>
      <w:r w:rsidR="00816CF2" w:rsidRPr="0097679B">
        <w:rPr>
          <w:rFonts w:ascii="Arial" w:hAnsi="Arial" w:cs="Arial"/>
          <w:sz w:val="20"/>
          <w:szCs w:val="20"/>
        </w:rPr>
        <w:t xml:space="preserve"> </w:t>
      </w:r>
      <w:r w:rsidR="00704532">
        <w:rPr>
          <w:rFonts w:ascii="Arial" w:hAnsi="Arial" w:cs="Arial"/>
          <w:sz w:val="20"/>
          <w:szCs w:val="20"/>
        </w:rPr>
        <w:t>minimised</w:t>
      </w:r>
      <w:r w:rsidR="00816CF2" w:rsidRPr="0097679B">
        <w:rPr>
          <w:rFonts w:ascii="Arial" w:hAnsi="Arial" w:cs="Arial"/>
          <w:sz w:val="20"/>
          <w:szCs w:val="20"/>
        </w:rPr>
        <w:t>. Ordinal variables with at least five categories such as body condition score were analysed as continuous variables after assessing the</w:t>
      </w:r>
      <w:r w:rsidR="00704532">
        <w:rPr>
          <w:rFonts w:ascii="Arial" w:hAnsi="Arial" w:cs="Arial"/>
          <w:sz w:val="20"/>
          <w:szCs w:val="20"/>
        </w:rPr>
        <w:t xml:space="preserve"> data</w:t>
      </w:r>
      <w:r w:rsidR="00816CF2" w:rsidRPr="0097679B">
        <w:rPr>
          <w:rFonts w:ascii="Arial" w:hAnsi="Arial" w:cs="Arial"/>
          <w:sz w:val="20"/>
          <w:szCs w:val="20"/>
        </w:rPr>
        <w:t xml:space="preserve"> distribution </w:t>
      </w:r>
      <w:r w:rsidR="0049556F">
        <w:rPr>
          <w:rFonts w:ascii="Arial" w:hAnsi="Arial" w:cs="Arial"/>
          <w:sz w:val="20"/>
          <w:szCs w:val="20"/>
        </w:rPr>
        <w:t>and linearity</w:t>
      </w:r>
      <w:r w:rsidR="00816CF2"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{"citationItems":[{"id":"ITEM-1","itemData":{"DOI":"10.2307/2095231","ISSN":"00031224","abstract":"[Categorization error occurs when continuous variables are measured by indicators with only a few categories. When several continuous variables are collapsed into ordinal categories, the measurement errors introduced may be correlated. This condition violates the assumptions of classical measurement theory. Using simulated data and a multiple indicator approach, we examine the problems that surround categorization error. In general, our results indicate that while categorization error does produce distortions in multiple indicator models, under most of the conditions that we explored, the bias was not sufficient to alter substantive interpretations and the estimates were efficient. Caution is warranted in the use of two-, three- or four-category ordinal indicators, particularly when the sample size is small, as the estimates tend to be biased and inefficient.]","author":[{"dropping-particle":"","family":"Johnson","given":"David Richard","non-dropping-particle":"","parse-names":false,"suffix":""},{"dropping-particle":"","family":"Creech","given":"James C","non-dropping-particle":"","parse-names":false,"suffix":""}],"container-title":"American Sociological Review","id":"ITEM-1","issue":"3","issued":{"date-parts":[["1983","11","10"]]},"page":"398-407","publisher":"[American Sociological Association, Sage Publications, Inc.]","title":"Ordinal Measures in Multiple Indicator Models: A Simulation Study of Categorization Error","type":"article-journal","volume":"48"},"uris":["http://www.mendeley.com/documents/?uuid=6209c01b-e25d-4f25-9dd0-dae90efae183"]}],"mendeley":{"formattedCitation":"[11]","plainTextFormattedCitation":"[11]","previouslyFormattedCitation":"[11]"},"properties":{"noteIndex":0},"schema":"https://github.com/citation-style-language/schema/raw/master/csl-citation.json"}</w:instrText>
      </w:r>
      <w:r w:rsidR="00816CF2" w:rsidRPr="0097679B">
        <w:rPr>
          <w:rFonts w:ascii="Arial" w:hAnsi="Arial" w:cs="Arial"/>
          <w:sz w:val="20"/>
          <w:szCs w:val="20"/>
        </w:rPr>
        <w:fldChar w:fldCharType="separate"/>
      </w:r>
      <w:r w:rsidR="00EB565D" w:rsidRPr="0097679B">
        <w:rPr>
          <w:rFonts w:ascii="Arial" w:hAnsi="Arial" w:cs="Arial"/>
          <w:noProof/>
          <w:sz w:val="20"/>
          <w:szCs w:val="20"/>
        </w:rPr>
        <w:t>[11]</w:t>
      </w:r>
      <w:r w:rsidR="00816CF2" w:rsidRPr="0097679B">
        <w:rPr>
          <w:rFonts w:ascii="Arial" w:hAnsi="Arial" w:cs="Arial"/>
          <w:sz w:val="20"/>
          <w:szCs w:val="20"/>
        </w:rPr>
        <w:fldChar w:fldCharType="end"/>
      </w:r>
      <w:r w:rsidR="00816CF2" w:rsidRPr="0097679B">
        <w:rPr>
          <w:rFonts w:ascii="Arial" w:hAnsi="Arial" w:cs="Arial"/>
          <w:sz w:val="20"/>
          <w:szCs w:val="20"/>
        </w:rPr>
        <w:t>.</w:t>
      </w:r>
      <w:r w:rsidR="00D404DF" w:rsidRPr="0097679B">
        <w:rPr>
          <w:rFonts w:ascii="Arial" w:hAnsi="Arial" w:cs="Arial"/>
          <w:sz w:val="20"/>
          <w:szCs w:val="20"/>
        </w:rPr>
        <w:t xml:space="preserve"> Fo</w:t>
      </w:r>
      <w:r w:rsidR="00536850" w:rsidRPr="0097679B">
        <w:rPr>
          <w:rFonts w:ascii="Arial" w:hAnsi="Arial" w:cs="Arial"/>
          <w:sz w:val="20"/>
          <w:szCs w:val="20"/>
        </w:rPr>
        <w:t xml:space="preserve">r illustrative purposes [ACTH] and </w:t>
      </w:r>
      <w:r w:rsidR="00D404DF" w:rsidRPr="0097679B">
        <w:rPr>
          <w:rFonts w:ascii="Arial" w:hAnsi="Arial" w:cs="Arial"/>
          <w:sz w:val="20"/>
          <w:szCs w:val="20"/>
        </w:rPr>
        <w:t>[insulin]</w:t>
      </w:r>
      <w:r w:rsidR="00A7591F" w:rsidRPr="0097679B">
        <w:rPr>
          <w:rFonts w:ascii="Arial" w:hAnsi="Arial" w:cs="Arial"/>
          <w:sz w:val="20"/>
          <w:szCs w:val="20"/>
        </w:rPr>
        <w:t>T60</w:t>
      </w:r>
      <w:r w:rsidR="00D404DF" w:rsidRPr="0097679B">
        <w:rPr>
          <w:rFonts w:ascii="Arial" w:hAnsi="Arial" w:cs="Arial"/>
          <w:sz w:val="20"/>
          <w:szCs w:val="20"/>
        </w:rPr>
        <w:t xml:space="preserve"> were rescaled (divided by 10) for parts of the analysis</w:t>
      </w:r>
      <w:r w:rsidR="00116811">
        <w:rPr>
          <w:rFonts w:ascii="Arial" w:hAnsi="Arial" w:cs="Arial"/>
          <w:sz w:val="20"/>
          <w:szCs w:val="20"/>
        </w:rPr>
        <w:t xml:space="preserve"> ([ACTH]</w:t>
      </w:r>
      <w:r w:rsidR="00116811">
        <w:rPr>
          <w:rFonts w:ascii="Arial" w:hAnsi="Arial" w:cs="Arial"/>
          <w:sz w:val="20"/>
          <w:szCs w:val="20"/>
          <w:vertAlign w:val="subscript"/>
        </w:rPr>
        <w:t>10</w:t>
      </w:r>
      <w:r w:rsidR="00116811">
        <w:rPr>
          <w:rFonts w:ascii="Arial" w:hAnsi="Arial" w:cs="Arial"/>
          <w:sz w:val="20"/>
          <w:szCs w:val="20"/>
        </w:rPr>
        <w:t xml:space="preserve"> and [insulin]T60</w:t>
      </w:r>
      <w:r w:rsidR="00116811">
        <w:rPr>
          <w:rFonts w:ascii="Arial" w:hAnsi="Arial" w:cs="Arial"/>
          <w:sz w:val="20"/>
          <w:szCs w:val="20"/>
          <w:vertAlign w:val="subscript"/>
        </w:rPr>
        <w:t>10</w:t>
      </w:r>
      <w:r w:rsidR="00D404DF" w:rsidRPr="0097679B">
        <w:rPr>
          <w:rFonts w:ascii="Arial" w:hAnsi="Arial" w:cs="Arial"/>
          <w:sz w:val="20"/>
          <w:szCs w:val="20"/>
        </w:rPr>
        <w:t>.</w:t>
      </w:r>
      <w:r w:rsidR="00536850" w:rsidRPr="0097679B">
        <w:rPr>
          <w:rFonts w:ascii="Arial" w:hAnsi="Arial" w:cs="Arial"/>
          <w:sz w:val="20"/>
          <w:szCs w:val="20"/>
        </w:rPr>
        <w:t xml:space="preserve"> A list of variables considered for analysis and th</w:t>
      </w:r>
      <w:r w:rsidR="00E84607">
        <w:rPr>
          <w:rFonts w:ascii="Arial" w:hAnsi="Arial" w:cs="Arial"/>
          <w:sz w:val="20"/>
          <w:szCs w:val="20"/>
        </w:rPr>
        <w:t>eir definitions is included in S</w:t>
      </w:r>
      <w:r w:rsidR="00536850" w:rsidRPr="0097679B">
        <w:rPr>
          <w:rFonts w:ascii="Arial" w:hAnsi="Arial" w:cs="Arial"/>
          <w:sz w:val="20"/>
          <w:szCs w:val="20"/>
        </w:rPr>
        <w:t xml:space="preserve">upplementary item 2. </w:t>
      </w:r>
    </w:p>
    <w:p w14:paraId="05808065" w14:textId="45F28936" w:rsidR="0077683E" w:rsidRPr="0097679B" w:rsidRDefault="0077683E" w:rsidP="00C57AFD">
      <w:pPr>
        <w:spacing w:line="480" w:lineRule="auto"/>
        <w:rPr>
          <w:rFonts w:ascii="Arial" w:hAnsi="Arial" w:cs="Arial"/>
          <w:i/>
          <w:sz w:val="20"/>
          <w:szCs w:val="20"/>
        </w:rPr>
      </w:pPr>
      <w:r w:rsidRPr="0097679B">
        <w:rPr>
          <w:rFonts w:ascii="Arial" w:hAnsi="Arial" w:cs="Arial"/>
          <w:i/>
          <w:sz w:val="20"/>
          <w:szCs w:val="20"/>
        </w:rPr>
        <w:t xml:space="preserve">2.4.2 Data Analysis </w:t>
      </w:r>
    </w:p>
    <w:p w14:paraId="0486C06D" w14:textId="7A6A4572" w:rsidR="0077683E" w:rsidRPr="0097679B" w:rsidRDefault="00CA3644" w:rsidP="00C57AFD">
      <w:pPr>
        <w:spacing w:line="480" w:lineRule="auto"/>
        <w:rPr>
          <w:rFonts w:ascii="Arial" w:hAnsi="Arial" w:cs="Arial"/>
          <w:sz w:val="20"/>
          <w:szCs w:val="20"/>
        </w:rPr>
      </w:pPr>
      <w:r w:rsidRPr="0097679B">
        <w:rPr>
          <w:rFonts w:ascii="Arial" w:hAnsi="Arial" w:cs="Arial"/>
          <w:sz w:val="20"/>
          <w:szCs w:val="20"/>
        </w:rPr>
        <w:t>Data were analysed using statistical software</w:t>
      </w:r>
      <w:r w:rsidR="00135A40">
        <w:rPr>
          <w:rFonts w:ascii="Arial" w:hAnsi="Arial" w:cs="Arial"/>
          <w:sz w:val="20"/>
          <w:szCs w:val="20"/>
        </w:rPr>
        <w:t xml:space="preserve"> (R 4.0.3</w:t>
      </w:r>
      <w:r w:rsidR="00135A40">
        <w:rPr>
          <w:rFonts w:ascii="Arial" w:hAnsi="Arial" w:cs="Arial"/>
          <w:sz w:val="20"/>
          <w:szCs w:val="20"/>
          <w:vertAlign w:val="superscript"/>
        </w:rPr>
        <w:t>vi</w:t>
      </w:r>
      <w:r w:rsidR="00135A40">
        <w:rPr>
          <w:rFonts w:ascii="Arial" w:hAnsi="Arial" w:cs="Arial"/>
          <w:sz w:val="20"/>
          <w:szCs w:val="20"/>
        </w:rPr>
        <w:t>)</w:t>
      </w:r>
      <w:r w:rsidR="00A7591F" w:rsidRPr="0097679B">
        <w:rPr>
          <w:rFonts w:ascii="Arial" w:hAnsi="Arial" w:cs="Arial"/>
          <w:sz w:val="20"/>
          <w:szCs w:val="20"/>
        </w:rPr>
        <w:t xml:space="preserve">. </w:t>
      </w:r>
      <w:r w:rsidR="00765202" w:rsidRPr="0097679B">
        <w:rPr>
          <w:rFonts w:ascii="Arial" w:hAnsi="Arial" w:cs="Arial"/>
          <w:sz w:val="20"/>
          <w:szCs w:val="20"/>
        </w:rPr>
        <w:t xml:space="preserve">The main analysis assessed a four-year period at risk (1/10/2015-30/9/19). </w:t>
      </w:r>
      <w:r w:rsidR="00A7591F" w:rsidRPr="0097679B">
        <w:rPr>
          <w:rFonts w:ascii="Arial" w:hAnsi="Arial" w:cs="Arial"/>
          <w:sz w:val="20"/>
          <w:szCs w:val="20"/>
        </w:rPr>
        <w:t>The incidence</w:t>
      </w:r>
      <w:r w:rsidR="00536850" w:rsidRPr="0097679B">
        <w:rPr>
          <w:rFonts w:ascii="Arial" w:hAnsi="Arial" w:cs="Arial"/>
          <w:sz w:val="20"/>
          <w:szCs w:val="20"/>
        </w:rPr>
        <w:t xml:space="preserve"> </w:t>
      </w:r>
      <w:r w:rsidR="00EF3157" w:rsidRPr="0097679B">
        <w:rPr>
          <w:rFonts w:ascii="Arial" w:hAnsi="Arial" w:cs="Arial"/>
          <w:sz w:val="20"/>
          <w:szCs w:val="20"/>
        </w:rPr>
        <w:t>of</w:t>
      </w:r>
      <w:r w:rsidR="00A7591F" w:rsidRPr="0097679B">
        <w:rPr>
          <w:rFonts w:ascii="Arial" w:hAnsi="Arial" w:cs="Arial"/>
          <w:sz w:val="20"/>
          <w:szCs w:val="20"/>
        </w:rPr>
        <w:t xml:space="preserve"> laminitis</w:t>
      </w:r>
      <w:r w:rsidRPr="0097679B">
        <w:rPr>
          <w:rFonts w:ascii="Arial" w:hAnsi="Arial" w:cs="Arial"/>
          <w:sz w:val="20"/>
          <w:szCs w:val="20"/>
        </w:rPr>
        <w:t xml:space="preserve"> was calculated by dividing the number of episodes of laminitis by</w:t>
      </w:r>
      <w:r w:rsidR="00765202" w:rsidRPr="0097679B">
        <w:rPr>
          <w:rFonts w:ascii="Arial" w:hAnsi="Arial" w:cs="Arial"/>
          <w:sz w:val="20"/>
          <w:szCs w:val="20"/>
        </w:rPr>
        <w:t xml:space="preserve"> the total</w:t>
      </w:r>
      <w:r w:rsidRPr="0097679B">
        <w:rPr>
          <w:rFonts w:ascii="Arial" w:hAnsi="Arial" w:cs="Arial"/>
          <w:sz w:val="20"/>
          <w:szCs w:val="20"/>
        </w:rPr>
        <w:t xml:space="preserve"> time at risk. Rates were compared for the summer (spring to autumn) and winter (autumn to spring) using a rate ratio test and assuming a Poisson distribution. </w:t>
      </w:r>
    </w:p>
    <w:p w14:paraId="6CCFFF81" w14:textId="1CD71CBF" w:rsidR="00CA3644" w:rsidRPr="0097679B" w:rsidRDefault="003D7242" w:rsidP="00C57AFD">
      <w:pPr>
        <w:spacing w:line="480" w:lineRule="auto"/>
        <w:rPr>
          <w:rFonts w:ascii="Arial" w:hAnsi="Arial" w:cs="Arial"/>
          <w:sz w:val="20"/>
          <w:szCs w:val="20"/>
        </w:rPr>
      </w:pPr>
      <w:r>
        <w:rPr>
          <w:rFonts w:ascii="Arial" w:hAnsi="Arial" w:cs="Arial"/>
          <w:sz w:val="20"/>
          <w:szCs w:val="20"/>
        </w:rPr>
        <w:t>To analyse the</w:t>
      </w:r>
      <w:r w:rsidR="00EF3157" w:rsidRPr="0097679B">
        <w:rPr>
          <w:rFonts w:ascii="Arial" w:hAnsi="Arial" w:cs="Arial"/>
          <w:sz w:val="20"/>
          <w:szCs w:val="20"/>
        </w:rPr>
        <w:t xml:space="preserve"> risk factors for laminitis</w:t>
      </w:r>
      <w:r w:rsidR="00704532">
        <w:rPr>
          <w:rFonts w:ascii="Arial" w:hAnsi="Arial" w:cs="Arial"/>
          <w:sz w:val="20"/>
          <w:szCs w:val="20"/>
        </w:rPr>
        <w:t xml:space="preserve"> development</w:t>
      </w:r>
      <w:r w:rsidR="006A2B58" w:rsidRPr="0097679B">
        <w:rPr>
          <w:rFonts w:ascii="Arial" w:hAnsi="Arial" w:cs="Arial"/>
          <w:sz w:val="20"/>
          <w:szCs w:val="20"/>
        </w:rPr>
        <w:t>,</w:t>
      </w:r>
      <w:r w:rsidR="00EF3157" w:rsidRPr="0097679B">
        <w:rPr>
          <w:rFonts w:ascii="Arial" w:hAnsi="Arial" w:cs="Arial"/>
          <w:sz w:val="20"/>
          <w:szCs w:val="20"/>
        </w:rPr>
        <w:t xml:space="preserve"> </w:t>
      </w:r>
      <w:r w:rsidR="00BF2679" w:rsidRPr="0097679B">
        <w:rPr>
          <w:rFonts w:ascii="Arial" w:hAnsi="Arial" w:cs="Arial"/>
          <w:sz w:val="20"/>
          <w:szCs w:val="20"/>
        </w:rPr>
        <w:t xml:space="preserve">total time at risk was divided into non-overlapping </w:t>
      </w:r>
      <w:r w:rsidR="00300EC0">
        <w:rPr>
          <w:rFonts w:ascii="Arial" w:hAnsi="Arial" w:cs="Arial"/>
          <w:sz w:val="20"/>
          <w:szCs w:val="20"/>
        </w:rPr>
        <w:t xml:space="preserve">six-month </w:t>
      </w:r>
      <w:r w:rsidR="00453775">
        <w:rPr>
          <w:rFonts w:ascii="Arial" w:hAnsi="Arial" w:cs="Arial"/>
          <w:sz w:val="20"/>
          <w:szCs w:val="20"/>
        </w:rPr>
        <w:t>period</w:t>
      </w:r>
      <w:r w:rsidR="00300EC0">
        <w:rPr>
          <w:rFonts w:ascii="Arial" w:hAnsi="Arial" w:cs="Arial"/>
          <w:sz w:val="20"/>
          <w:szCs w:val="20"/>
        </w:rPr>
        <w:t>s</w:t>
      </w:r>
      <w:r w:rsidR="00300EC0" w:rsidRPr="0097679B">
        <w:rPr>
          <w:rFonts w:ascii="Arial" w:hAnsi="Arial" w:cs="Arial"/>
          <w:sz w:val="20"/>
          <w:szCs w:val="20"/>
        </w:rPr>
        <w:t xml:space="preserve"> </w:t>
      </w:r>
      <w:r w:rsidR="00EF3157" w:rsidRPr="0097679B">
        <w:rPr>
          <w:rFonts w:ascii="Arial" w:hAnsi="Arial" w:cs="Arial"/>
          <w:sz w:val="20"/>
          <w:szCs w:val="20"/>
        </w:rPr>
        <w:t>account</w:t>
      </w:r>
      <w:r w:rsidR="00704532">
        <w:rPr>
          <w:rFonts w:ascii="Arial" w:hAnsi="Arial" w:cs="Arial"/>
          <w:sz w:val="20"/>
          <w:szCs w:val="20"/>
        </w:rPr>
        <w:t>ing</w:t>
      </w:r>
      <w:r w:rsidR="00EF3157" w:rsidRPr="0097679B">
        <w:rPr>
          <w:rFonts w:ascii="Arial" w:hAnsi="Arial" w:cs="Arial"/>
          <w:sz w:val="20"/>
          <w:szCs w:val="20"/>
        </w:rPr>
        <w:t xml:space="preserve"> for changes in the predictor variables during the period at risk (time-dependent covariates) </w:t>
      </w:r>
      <w:r w:rsidR="00EF3157" w:rsidRPr="0097679B">
        <w:rPr>
          <w:rFonts w:ascii="Arial" w:hAnsi="Arial" w:cs="Arial"/>
          <w:sz w:val="20"/>
          <w:szCs w:val="20"/>
        </w:rPr>
        <w:fldChar w:fldCharType="begin" w:fldLock="1"/>
      </w:r>
      <w:r w:rsidR="00EF3157" w:rsidRPr="0097679B">
        <w:rPr>
          <w:rFonts w:ascii="Arial" w:hAnsi="Arial" w:cs="Arial"/>
          <w:sz w:val="20"/>
          <w:szCs w:val="20"/>
        </w:rPr>
        <w:instrText>ADDIN CSL_CITATION {"citationItems":[{"id":"ITEM-1","itemData":{"author":[{"dropping-particle":"","family":"Moore, D","given":"F.","non-dropping-particle":"","parse-names":false,"suffix":""}],"chapter-number":"8","container-title":"Applied Survival Analysis Using R","id":"ITEM-1","issued":{"date-parts":[["2016"]]},"page":"101-112","publisher":"Springer Nature","publisher-place":"Cham, Switzerland","title":"Time Dependent Covariates","type":"chapter"},"uris":["http://www.mendeley.com/documents/?uuid=7e67be73-2581-4cb1-9849-78404215579f"]}],"mendeley":{"formattedCitation":"[12]","plainTextFormattedCitation":"[12]","previouslyFormattedCitation":"[12]"},"properties":{"noteIndex":0},"schema":"https://github.com/citation-style-language/schema/raw/master/csl-citation.json"}</w:instrText>
      </w:r>
      <w:r w:rsidR="00EF3157" w:rsidRPr="0097679B">
        <w:rPr>
          <w:rFonts w:ascii="Arial" w:hAnsi="Arial" w:cs="Arial"/>
          <w:sz w:val="20"/>
          <w:szCs w:val="20"/>
        </w:rPr>
        <w:fldChar w:fldCharType="separate"/>
      </w:r>
      <w:r w:rsidR="00EF3157" w:rsidRPr="0097679B">
        <w:rPr>
          <w:rFonts w:ascii="Arial" w:hAnsi="Arial" w:cs="Arial"/>
          <w:noProof/>
          <w:sz w:val="20"/>
          <w:szCs w:val="20"/>
        </w:rPr>
        <w:t>[12]</w:t>
      </w:r>
      <w:r w:rsidR="00EF3157" w:rsidRPr="0097679B">
        <w:rPr>
          <w:rFonts w:ascii="Arial" w:hAnsi="Arial" w:cs="Arial"/>
          <w:sz w:val="20"/>
          <w:szCs w:val="20"/>
        </w:rPr>
        <w:fldChar w:fldCharType="end"/>
      </w:r>
      <w:r w:rsidR="00EF3157" w:rsidRPr="0097679B">
        <w:rPr>
          <w:rFonts w:ascii="Arial" w:hAnsi="Arial" w:cs="Arial"/>
          <w:sz w:val="20"/>
          <w:szCs w:val="20"/>
        </w:rPr>
        <w:t>. E</w:t>
      </w:r>
      <w:r w:rsidR="00BF2679" w:rsidRPr="0097679B">
        <w:rPr>
          <w:rFonts w:ascii="Arial" w:hAnsi="Arial" w:cs="Arial"/>
          <w:sz w:val="20"/>
          <w:szCs w:val="20"/>
        </w:rPr>
        <w:t>ight six-month periods</w:t>
      </w:r>
      <w:r w:rsidR="00EF3157" w:rsidRPr="0097679B">
        <w:rPr>
          <w:rFonts w:ascii="Arial" w:hAnsi="Arial" w:cs="Arial"/>
          <w:sz w:val="20"/>
          <w:szCs w:val="20"/>
        </w:rPr>
        <w:t xml:space="preserve"> were used</w:t>
      </w:r>
      <w:r w:rsidR="00BF2679" w:rsidRPr="0097679B">
        <w:rPr>
          <w:rFonts w:ascii="Arial" w:hAnsi="Arial" w:cs="Arial"/>
          <w:sz w:val="20"/>
          <w:szCs w:val="20"/>
        </w:rPr>
        <w:t xml:space="preserve">, each beginning with a data collection visit. </w:t>
      </w:r>
      <w:r w:rsidR="00F5425B" w:rsidRPr="0097679B">
        <w:rPr>
          <w:rFonts w:ascii="Arial" w:hAnsi="Arial" w:cs="Arial"/>
          <w:sz w:val="20"/>
          <w:szCs w:val="20"/>
        </w:rPr>
        <w:t>A</w:t>
      </w:r>
      <w:r w:rsidR="00BF2679" w:rsidRPr="0097679B">
        <w:rPr>
          <w:rFonts w:ascii="Arial" w:hAnsi="Arial" w:cs="Arial"/>
          <w:sz w:val="20"/>
          <w:szCs w:val="20"/>
        </w:rPr>
        <w:t xml:space="preserve"> limite</w:t>
      </w:r>
      <w:r>
        <w:rPr>
          <w:rFonts w:ascii="Arial" w:hAnsi="Arial" w:cs="Arial"/>
          <w:sz w:val="20"/>
          <w:szCs w:val="20"/>
        </w:rPr>
        <w:t>d number</w:t>
      </w:r>
      <w:r w:rsidR="00BF2679" w:rsidRPr="0097679B">
        <w:rPr>
          <w:rFonts w:ascii="Arial" w:hAnsi="Arial" w:cs="Arial"/>
          <w:sz w:val="20"/>
          <w:szCs w:val="20"/>
        </w:rPr>
        <w:t xml:space="preserve"> of variables were sel</w:t>
      </w:r>
      <w:r w:rsidR="00AA5A48" w:rsidRPr="0097679B">
        <w:rPr>
          <w:rFonts w:ascii="Arial" w:hAnsi="Arial" w:cs="Arial"/>
          <w:sz w:val="20"/>
          <w:szCs w:val="20"/>
        </w:rPr>
        <w:t xml:space="preserve">ected from the possible list of predictors to </w:t>
      </w:r>
      <w:r w:rsidR="00AA5A48" w:rsidRPr="0097679B">
        <w:rPr>
          <w:rFonts w:ascii="Arial" w:hAnsi="Arial" w:cs="Arial"/>
          <w:sz w:val="20"/>
          <w:szCs w:val="20"/>
        </w:rPr>
        <w:lastRenderedPageBreak/>
        <w:t>create four pre-specified initial multivariable</w:t>
      </w:r>
      <w:r w:rsidR="003D5E67" w:rsidRPr="0097679B">
        <w:rPr>
          <w:rFonts w:ascii="Arial" w:hAnsi="Arial" w:cs="Arial"/>
          <w:sz w:val="20"/>
          <w:szCs w:val="20"/>
        </w:rPr>
        <w:t xml:space="preserve"> time</w:t>
      </w:r>
      <w:r w:rsidR="00695B01" w:rsidRPr="0097679B">
        <w:rPr>
          <w:rFonts w:ascii="Arial" w:hAnsi="Arial" w:cs="Arial"/>
          <w:sz w:val="20"/>
          <w:szCs w:val="20"/>
        </w:rPr>
        <w:t>-</w:t>
      </w:r>
      <w:r w:rsidR="003D5E67" w:rsidRPr="0097679B">
        <w:rPr>
          <w:rFonts w:ascii="Arial" w:hAnsi="Arial" w:cs="Arial"/>
          <w:sz w:val="20"/>
          <w:szCs w:val="20"/>
        </w:rPr>
        <w:t>dependent</w:t>
      </w:r>
      <w:r w:rsidR="00AA5A48" w:rsidRPr="0097679B">
        <w:rPr>
          <w:rFonts w:ascii="Arial" w:hAnsi="Arial" w:cs="Arial"/>
          <w:sz w:val="20"/>
          <w:szCs w:val="20"/>
        </w:rPr>
        <w:t xml:space="preserve"> Cox </w:t>
      </w:r>
      <w:r w:rsidR="007F056D" w:rsidRPr="0097679B">
        <w:rPr>
          <w:rFonts w:ascii="Arial" w:hAnsi="Arial" w:cs="Arial"/>
          <w:sz w:val="20"/>
          <w:szCs w:val="20"/>
        </w:rPr>
        <w:t>proportional-hazards</w:t>
      </w:r>
      <w:r w:rsidR="00AA5A48" w:rsidRPr="0097679B">
        <w:rPr>
          <w:rFonts w:ascii="Arial" w:hAnsi="Arial" w:cs="Arial"/>
          <w:sz w:val="20"/>
          <w:szCs w:val="20"/>
        </w:rPr>
        <w:t xml:space="preserve"> models to investigate associations between </w:t>
      </w:r>
      <w:r w:rsidR="00F5425B" w:rsidRPr="0097679B">
        <w:rPr>
          <w:rFonts w:ascii="Arial" w:hAnsi="Arial" w:cs="Arial"/>
          <w:sz w:val="20"/>
          <w:szCs w:val="20"/>
        </w:rPr>
        <w:t xml:space="preserve">different </w:t>
      </w:r>
      <w:r w:rsidR="00704532">
        <w:rPr>
          <w:rFonts w:ascii="Arial" w:hAnsi="Arial" w:cs="Arial"/>
          <w:sz w:val="20"/>
          <w:szCs w:val="20"/>
        </w:rPr>
        <w:t xml:space="preserve">predictor </w:t>
      </w:r>
      <w:r w:rsidR="00F5425B" w:rsidRPr="0097679B">
        <w:rPr>
          <w:rFonts w:ascii="Arial" w:hAnsi="Arial" w:cs="Arial"/>
          <w:sz w:val="20"/>
          <w:szCs w:val="20"/>
        </w:rPr>
        <w:t xml:space="preserve">types </w:t>
      </w:r>
      <w:r w:rsidR="00AA5A48" w:rsidRPr="0097679B">
        <w:rPr>
          <w:rFonts w:ascii="Arial" w:hAnsi="Arial" w:cs="Arial"/>
          <w:sz w:val="20"/>
          <w:szCs w:val="20"/>
        </w:rPr>
        <w:t>and laminitis</w:t>
      </w:r>
      <w:r>
        <w:rPr>
          <w:rFonts w:ascii="Arial" w:hAnsi="Arial" w:cs="Arial"/>
          <w:sz w:val="20"/>
          <w:szCs w:val="20"/>
        </w:rPr>
        <w:t xml:space="preserve"> development</w:t>
      </w:r>
      <w:r w:rsidR="00704532">
        <w:rPr>
          <w:rFonts w:ascii="Arial" w:hAnsi="Arial" w:cs="Arial"/>
          <w:sz w:val="20"/>
          <w:szCs w:val="20"/>
        </w:rPr>
        <w:t xml:space="preserve"> hazard</w:t>
      </w:r>
      <w:r w:rsidR="00AA5A48" w:rsidRPr="0097679B">
        <w:rPr>
          <w:rFonts w:ascii="Arial" w:hAnsi="Arial" w:cs="Arial"/>
          <w:sz w:val="20"/>
          <w:szCs w:val="20"/>
        </w:rPr>
        <w:t xml:space="preserve">. </w:t>
      </w:r>
      <w:r w:rsidR="00DB16B8" w:rsidRPr="0097679B">
        <w:rPr>
          <w:rFonts w:ascii="Arial" w:hAnsi="Arial" w:cs="Arial"/>
          <w:sz w:val="20"/>
          <w:szCs w:val="20"/>
        </w:rPr>
        <w:t xml:space="preserve">The variable types used to create the four initial models were: i) morphometric and clinical examination variables, ii) owner questionnaire and signalment variables, iiia) basal blood analytes and iiib) blood analytes </w:t>
      </w:r>
      <w:r w:rsidR="00D11B49" w:rsidRPr="0097679B">
        <w:rPr>
          <w:rFonts w:ascii="Arial" w:hAnsi="Arial" w:cs="Arial"/>
          <w:sz w:val="20"/>
          <w:szCs w:val="20"/>
        </w:rPr>
        <w:t xml:space="preserve">including </w:t>
      </w:r>
      <w:r w:rsidR="00D9114A" w:rsidRPr="0097679B">
        <w:rPr>
          <w:rFonts w:ascii="Arial" w:hAnsi="Arial" w:cs="Arial"/>
          <w:sz w:val="20"/>
          <w:szCs w:val="20"/>
        </w:rPr>
        <w:t>[insulin]</w:t>
      </w:r>
      <w:r w:rsidR="00116811">
        <w:rPr>
          <w:rFonts w:ascii="Arial" w:hAnsi="Arial" w:cs="Arial"/>
          <w:sz w:val="20"/>
          <w:szCs w:val="20"/>
        </w:rPr>
        <w:t>T60</w:t>
      </w:r>
      <w:r w:rsidR="00116811">
        <w:rPr>
          <w:rFonts w:ascii="Arial" w:hAnsi="Arial" w:cs="Arial"/>
          <w:sz w:val="20"/>
          <w:szCs w:val="20"/>
          <w:vertAlign w:val="subscript"/>
        </w:rPr>
        <w:t>10</w:t>
      </w:r>
      <w:r w:rsidR="00D11B49" w:rsidRPr="0097679B">
        <w:rPr>
          <w:rFonts w:ascii="Arial" w:hAnsi="Arial" w:cs="Arial"/>
          <w:sz w:val="20"/>
          <w:szCs w:val="20"/>
        </w:rPr>
        <w:t xml:space="preserve"> rather than</w:t>
      </w:r>
      <w:r w:rsidR="00D9114A" w:rsidRPr="0097679B">
        <w:rPr>
          <w:rFonts w:ascii="Arial" w:hAnsi="Arial" w:cs="Arial"/>
          <w:sz w:val="20"/>
          <w:szCs w:val="20"/>
        </w:rPr>
        <w:t xml:space="preserve"> [insulin]</w:t>
      </w:r>
      <w:r w:rsidR="00D11B49" w:rsidRPr="0097679B">
        <w:rPr>
          <w:rFonts w:ascii="Arial" w:hAnsi="Arial" w:cs="Arial"/>
          <w:sz w:val="20"/>
          <w:szCs w:val="20"/>
        </w:rPr>
        <w:t>T0.</w:t>
      </w:r>
      <w:r w:rsidR="006A2B58" w:rsidRPr="0097679B">
        <w:rPr>
          <w:rFonts w:ascii="Arial" w:hAnsi="Arial" w:cs="Arial"/>
          <w:sz w:val="20"/>
          <w:szCs w:val="20"/>
        </w:rPr>
        <w:t xml:space="preserve"> </w:t>
      </w:r>
    </w:p>
    <w:p w14:paraId="207F65E9" w14:textId="057B05B8" w:rsidR="00674856" w:rsidRPr="0097679B" w:rsidRDefault="00D9114A" w:rsidP="00C57AFD">
      <w:pPr>
        <w:spacing w:line="480" w:lineRule="auto"/>
        <w:rPr>
          <w:rFonts w:ascii="Arial" w:hAnsi="Arial" w:cs="Arial"/>
          <w:sz w:val="20"/>
          <w:szCs w:val="20"/>
        </w:rPr>
      </w:pPr>
      <w:r w:rsidRPr="0097679B">
        <w:rPr>
          <w:rFonts w:ascii="Arial" w:hAnsi="Arial" w:cs="Arial"/>
          <w:sz w:val="20"/>
          <w:szCs w:val="20"/>
        </w:rPr>
        <w:t xml:space="preserve">The variables for inclusion in each </w:t>
      </w:r>
      <w:r w:rsidR="00C00271" w:rsidRPr="0097679B">
        <w:rPr>
          <w:rFonts w:ascii="Arial" w:hAnsi="Arial" w:cs="Arial"/>
          <w:sz w:val="20"/>
          <w:szCs w:val="20"/>
        </w:rPr>
        <w:t>initial model</w:t>
      </w:r>
      <w:r w:rsidRPr="0097679B">
        <w:rPr>
          <w:rFonts w:ascii="Arial" w:hAnsi="Arial" w:cs="Arial"/>
          <w:sz w:val="20"/>
          <w:szCs w:val="20"/>
        </w:rPr>
        <w:t xml:space="preserve"> were selected </w:t>
      </w:r>
      <w:r w:rsidR="00704532">
        <w:rPr>
          <w:rFonts w:ascii="Arial" w:hAnsi="Arial" w:cs="Arial"/>
          <w:sz w:val="20"/>
          <w:szCs w:val="20"/>
        </w:rPr>
        <w:t xml:space="preserve">based </w:t>
      </w:r>
      <w:r w:rsidRPr="0097679B">
        <w:rPr>
          <w:rFonts w:ascii="Arial" w:hAnsi="Arial" w:cs="Arial"/>
          <w:sz w:val="20"/>
          <w:szCs w:val="20"/>
        </w:rPr>
        <w:t>on biological plausibility, practical</w:t>
      </w:r>
      <w:r w:rsidR="00704532">
        <w:rPr>
          <w:rFonts w:ascii="Arial" w:hAnsi="Arial" w:cs="Arial"/>
          <w:sz w:val="20"/>
          <w:szCs w:val="20"/>
        </w:rPr>
        <w:t>ity</w:t>
      </w:r>
      <w:r w:rsidRPr="0097679B">
        <w:rPr>
          <w:rFonts w:ascii="Arial" w:hAnsi="Arial" w:cs="Arial"/>
          <w:sz w:val="20"/>
          <w:szCs w:val="20"/>
        </w:rPr>
        <w:t xml:space="preserve"> of data collection (to facilit</w:t>
      </w:r>
      <w:r w:rsidR="00C00271" w:rsidRPr="0097679B">
        <w:rPr>
          <w:rFonts w:ascii="Arial" w:hAnsi="Arial" w:cs="Arial"/>
          <w:sz w:val="20"/>
          <w:szCs w:val="20"/>
        </w:rPr>
        <w:t xml:space="preserve">ate </w:t>
      </w:r>
      <w:r w:rsidR="00704532">
        <w:rPr>
          <w:rFonts w:ascii="Arial" w:hAnsi="Arial" w:cs="Arial"/>
          <w:sz w:val="20"/>
          <w:szCs w:val="20"/>
        </w:rPr>
        <w:t xml:space="preserve">model </w:t>
      </w:r>
      <w:r w:rsidR="00C00271" w:rsidRPr="0097679B">
        <w:rPr>
          <w:rFonts w:ascii="Arial" w:hAnsi="Arial" w:cs="Arial"/>
          <w:sz w:val="20"/>
          <w:szCs w:val="20"/>
        </w:rPr>
        <w:t xml:space="preserve">application) </w:t>
      </w:r>
      <w:r w:rsidR="00674856" w:rsidRPr="0097679B">
        <w:rPr>
          <w:rFonts w:ascii="Arial" w:hAnsi="Arial" w:cs="Arial"/>
          <w:sz w:val="20"/>
          <w:szCs w:val="20"/>
        </w:rPr>
        <w:t xml:space="preserve">and with the aim of </w:t>
      </w:r>
      <w:r w:rsidR="00C00271" w:rsidRPr="0097679B">
        <w:rPr>
          <w:rFonts w:ascii="Arial" w:hAnsi="Arial" w:cs="Arial"/>
          <w:sz w:val="20"/>
          <w:szCs w:val="20"/>
        </w:rPr>
        <w:t>reducing</w:t>
      </w:r>
      <w:r w:rsidR="00674856" w:rsidRPr="0097679B">
        <w:rPr>
          <w:rFonts w:ascii="Arial" w:hAnsi="Arial" w:cs="Arial"/>
          <w:sz w:val="20"/>
          <w:szCs w:val="20"/>
        </w:rPr>
        <w:t xml:space="preserve"> the numbers of correlated predictor</w:t>
      </w:r>
      <w:r w:rsidR="00BA51A1">
        <w:rPr>
          <w:rFonts w:ascii="Arial" w:hAnsi="Arial" w:cs="Arial"/>
          <w:sz w:val="20"/>
          <w:szCs w:val="20"/>
        </w:rPr>
        <w:t>s</w:t>
      </w:r>
      <w:r w:rsidR="00674856" w:rsidRPr="0097679B">
        <w:rPr>
          <w:rFonts w:ascii="Arial" w:hAnsi="Arial" w:cs="Arial"/>
          <w:sz w:val="20"/>
          <w:szCs w:val="20"/>
        </w:rPr>
        <w:t xml:space="preserve"> in each model. </w:t>
      </w:r>
      <w:r w:rsidR="00702320">
        <w:rPr>
          <w:rFonts w:ascii="Arial" w:hAnsi="Arial" w:cs="Arial"/>
          <w:sz w:val="20"/>
          <w:szCs w:val="20"/>
        </w:rPr>
        <w:t>T</w:t>
      </w:r>
      <w:r w:rsidR="00702320" w:rsidRPr="0097679B">
        <w:rPr>
          <w:rFonts w:ascii="Arial" w:hAnsi="Arial" w:cs="Arial"/>
          <w:sz w:val="20"/>
          <w:szCs w:val="20"/>
        </w:rPr>
        <w:t>o ensure a minimum of 5 events per variable</w:t>
      </w:r>
      <w:r w:rsidR="00702320">
        <w:rPr>
          <w:rFonts w:ascii="Arial" w:hAnsi="Arial" w:cs="Arial"/>
          <w:sz w:val="20"/>
          <w:szCs w:val="20"/>
        </w:rPr>
        <w:t>, initially each model was restricted to 6 variables</w:t>
      </w:r>
      <w:r w:rsidR="00702320" w:rsidRPr="0097679B">
        <w:rPr>
          <w:rFonts w:ascii="Arial" w:hAnsi="Arial" w:cs="Arial"/>
          <w:sz w:val="20"/>
          <w:szCs w:val="20"/>
        </w:rPr>
        <w:t xml:space="preserve"> </w:t>
      </w:r>
      <w:r w:rsidR="00674856"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{"citationItems":[{"id":"ITEM-1","itemData":{"DOI":"10.1093/aje/kwk052","ISBN":"0002-9262 (Print)\\n0002-9262 (Linking)","ISSN":"00029262","PMID":"17182981","abstract":"The rule of thumb that logistic and Cox models should be used with a minimum of 10 outcome events per predictor variable (EPV), based on two simulation studies, may be too conservative. The authors conducted a large simulation study of other influences on confidence interval coverage, type I error, relative bias, and other model performance measures. They found a range of circumstances in which coverage and bias were within acceptable levels despite less than 10 EPV, as well as other factors that were as influential as or more influential than EPV. They conclude that this rule can be relaxed, in particular for sensitivity analyses undertaken to demonstrate adequate control of confounding.","author":[{"dropping-particle":"","family":"Vittinghoff","given":"Eric","non-dropping-particle":"","parse-names":false,"suffix":""},{"dropping-particle":"","family":"McCulloch","given":"Charles E.","non-dropping-particle":"","parse-names":false,"suffix":""}],"container-title":"American Journal of Epidemiology","id":"ITEM-1","issue":"6","issued":{"date-parts":[["2007"]]},"page":"710-718","title":"Relaxing the rule of ten events per variable in logistic and cox regression","type":"article-journal","volume":"165"},"uris":["http://www.mendeley.com/documents/?uuid=8f0ac401-b652-41ae-8110-c179def2984d"]}],"mendeley":{"formattedCitation":"[13]","plainTextFormattedCitation":"[13]","previouslyFormattedCitation":"[13]"},"properties":{"noteIndex":0},"schema":"https://github.com/citation-style-language/schema/raw/master/csl-citation.json"}</w:instrText>
      </w:r>
      <w:r w:rsidR="00674856" w:rsidRPr="0097679B">
        <w:rPr>
          <w:rFonts w:ascii="Arial" w:hAnsi="Arial" w:cs="Arial"/>
          <w:sz w:val="20"/>
          <w:szCs w:val="20"/>
        </w:rPr>
        <w:fldChar w:fldCharType="separate"/>
      </w:r>
      <w:r w:rsidR="00EB565D" w:rsidRPr="0097679B">
        <w:rPr>
          <w:rFonts w:ascii="Arial" w:hAnsi="Arial" w:cs="Arial"/>
          <w:noProof/>
          <w:sz w:val="20"/>
          <w:szCs w:val="20"/>
        </w:rPr>
        <w:t>[13]</w:t>
      </w:r>
      <w:r w:rsidR="00674856" w:rsidRPr="0097679B">
        <w:rPr>
          <w:rFonts w:ascii="Arial" w:hAnsi="Arial" w:cs="Arial"/>
          <w:sz w:val="20"/>
          <w:szCs w:val="20"/>
        </w:rPr>
        <w:fldChar w:fldCharType="end"/>
      </w:r>
      <w:r w:rsidR="00674856" w:rsidRPr="0097679B">
        <w:rPr>
          <w:rFonts w:ascii="Arial" w:hAnsi="Arial" w:cs="Arial"/>
          <w:sz w:val="20"/>
          <w:szCs w:val="20"/>
        </w:rPr>
        <w:t xml:space="preserve">. Blood analyte models were created with and without the </w:t>
      </w:r>
      <w:r w:rsidR="007F056D" w:rsidRPr="0097679B">
        <w:rPr>
          <w:rFonts w:ascii="Arial" w:hAnsi="Arial" w:cs="Arial"/>
          <w:sz w:val="20"/>
          <w:szCs w:val="20"/>
        </w:rPr>
        <w:t>OST</w:t>
      </w:r>
      <w:r w:rsidR="008500D5">
        <w:rPr>
          <w:rFonts w:ascii="Arial" w:hAnsi="Arial" w:cs="Arial"/>
          <w:sz w:val="20"/>
          <w:szCs w:val="20"/>
        </w:rPr>
        <w:t xml:space="preserve"> to indicate any benefit of the OST compared with basal samples. </w:t>
      </w:r>
      <w:r w:rsidR="007F056D" w:rsidRPr="0097679B">
        <w:rPr>
          <w:rFonts w:ascii="Arial" w:hAnsi="Arial" w:cs="Arial"/>
          <w:sz w:val="20"/>
          <w:szCs w:val="20"/>
        </w:rPr>
        <w:t>In order to reduce</w:t>
      </w:r>
      <w:r w:rsidR="00674856" w:rsidRPr="0097679B">
        <w:rPr>
          <w:rFonts w:ascii="Arial" w:hAnsi="Arial" w:cs="Arial"/>
          <w:sz w:val="20"/>
          <w:szCs w:val="20"/>
        </w:rPr>
        <w:t xml:space="preserve"> overfitting associated with</w:t>
      </w:r>
      <w:r w:rsidR="00B05321" w:rsidRPr="0097679B">
        <w:rPr>
          <w:rFonts w:ascii="Arial" w:hAnsi="Arial" w:cs="Arial"/>
          <w:sz w:val="20"/>
          <w:szCs w:val="20"/>
        </w:rPr>
        <w:t xml:space="preserve"> excessive</w:t>
      </w:r>
      <w:r w:rsidR="00674856" w:rsidRPr="0097679B">
        <w:rPr>
          <w:rFonts w:ascii="Arial" w:hAnsi="Arial" w:cs="Arial"/>
          <w:sz w:val="20"/>
          <w:szCs w:val="20"/>
        </w:rPr>
        <w:t xml:space="preserve"> iterative modelling </w:t>
      </w:r>
      <w:r w:rsidR="00674856"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{"citationItems":[{"id":"ITEM-1","itemData":{"author":[{"dropping-particle":"","family":"Steyerberg","given":"E.W.","non-dropping-particle":"","parse-names":false,"suffix":""}],"chapter-number":"5","container-title":"Clinical Prediction Models","edition":"2nd","id":"ITEM-1","issued":{"date-parts":[["2019"]]},"page":"95-111","publisher-place":"Cham","title":"Overfitting and Optimism in Prediction Models","type":"chapter"},"uris":["http://www.mendeley.com/documents/?uuid=e07346e6-872d-466d-a665-d874efc38a83"]}],"mendeley":{"formattedCitation":"[14]","plainTextFormattedCitation":"[14]","previouslyFormattedCitation":"[14]"},"properties":{"noteIndex":0},"schema":"https://github.com/citation-style-language/schema/raw/master/csl-citation.json"}</w:instrText>
      </w:r>
      <w:r w:rsidR="00674856" w:rsidRPr="0097679B">
        <w:rPr>
          <w:rFonts w:ascii="Arial" w:hAnsi="Arial" w:cs="Arial"/>
          <w:sz w:val="20"/>
          <w:szCs w:val="20"/>
        </w:rPr>
        <w:fldChar w:fldCharType="separate"/>
      </w:r>
      <w:r w:rsidR="00EB565D" w:rsidRPr="0097679B">
        <w:rPr>
          <w:rFonts w:ascii="Arial" w:hAnsi="Arial" w:cs="Arial"/>
          <w:noProof/>
          <w:sz w:val="20"/>
          <w:szCs w:val="20"/>
        </w:rPr>
        <w:t>[14]</w:t>
      </w:r>
      <w:r w:rsidR="00674856" w:rsidRPr="0097679B">
        <w:rPr>
          <w:rFonts w:ascii="Arial" w:hAnsi="Arial" w:cs="Arial"/>
          <w:sz w:val="20"/>
          <w:szCs w:val="20"/>
        </w:rPr>
        <w:fldChar w:fldCharType="end"/>
      </w:r>
      <w:r w:rsidR="007F056D" w:rsidRPr="0097679B">
        <w:rPr>
          <w:rFonts w:ascii="Arial" w:hAnsi="Arial" w:cs="Arial"/>
          <w:sz w:val="20"/>
          <w:szCs w:val="20"/>
        </w:rPr>
        <w:t>, all selected</w:t>
      </w:r>
      <w:r w:rsidR="00674856" w:rsidRPr="0097679B">
        <w:rPr>
          <w:rFonts w:ascii="Arial" w:hAnsi="Arial" w:cs="Arial"/>
          <w:sz w:val="20"/>
          <w:szCs w:val="20"/>
        </w:rPr>
        <w:t xml:space="preserve"> variabl</w:t>
      </w:r>
      <w:r w:rsidR="003D7242">
        <w:rPr>
          <w:rFonts w:ascii="Arial" w:hAnsi="Arial" w:cs="Arial"/>
          <w:sz w:val="20"/>
          <w:szCs w:val="20"/>
        </w:rPr>
        <w:t>es were entered into each</w:t>
      </w:r>
      <w:r w:rsidR="00674856" w:rsidRPr="0097679B">
        <w:rPr>
          <w:rFonts w:ascii="Arial" w:hAnsi="Arial" w:cs="Arial"/>
          <w:sz w:val="20"/>
          <w:szCs w:val="20"/>
        </w:rPr>
        <w:t xml:space="preserve"> initial model and no variables were eliminated. </w:t>
      </w:r>
    </w:p>
    <w:p w14:paraId="3C02ACDC" w14:textId="702C8E06" w:rsidR="003D5E67" w:rsidRPr="0097679B" w:rsidRDefault="007F056D" w:rsidP="00C57AFD">
      <w:pPr>
        <w:spacing w:line="480" w:lineRule="auto"/>
        <w:rPr>
          <w:rFonts w:ascii="Arial" w:hAnsi="Arial" w:cs="Arial"/>
          <w:sz w:val="20"/>
          <w:szCs w:val="20"/>
        </w:rPr>
      </w:pPr>
      <w:r w:rsidRPr="0097679B">
        <w:rPr>
          <w:rFonts w:ascii="Arial" w:hAnsi="Arial" w:cs="Arial"/>
          <w:sz w:val="20"/>
          <w:szCs w:val="20"/>
        </w:rPr>
        <w:t>After creating</w:t>
      </w:r>
      <w:r w:rsidR="003D7242">
        <w:rPr>
          <w:rFonts w:ascii="Arial" w:hAnsi="Arial" w:cs="Arial"/>
          <w:sz w:val="20"/>
          <w:szCs w:val="20"/>
        </w:rPr>
        <w:t xml:space="preserve"> the</w:t>
      </w:r>
      <w:r w:rsidR="00B05321" w:rsidRPr="0097679B">
        <w:rPr>
          <w:rFonts w:ascii="Arial" w:hAnsi="Arial" w:cs="Arial"/>
          <w:sz w:val="20"/>
          <w:szCs w:val="20"/>
        </w:rPr>
        <w:t xml:space="preserve"> initial models, two combined models were made</w:t>
      </w:r>
      <w:r w:rsidR="00702320">
        <w:rPr>
          <w:rFonts w:ascii="Arial" w:hAnsi="Arial" w:cs="Arial"/>
          <w:sz w:val="20"/>
          <w:szCs w:val="20"/>
        </w:rPr>
        <w:t>,</w:t>
      </w:r>
      <w:r w:rsidR="00B05321" w:rsidRPr="0097679B">
        <w:rPr>
          <w:rFonts w:ascii="Arial" w:hAnsi="Arial" w:cs="Arial"/>
          <w:sz w:val="20"/>
          <w:szCs w:val="20"/>
        </w:rPr>
        <w:t xml:space="preserve"> using predictor variables from each initial model. One combined model included only basal blood values, the other included [insulin]T60</w:t>
      </w:r>
      <w:r w:rsidR="008500D5">
        <w:rPr>
          <w:rFonts w:ascii="Arial" w:hAnsi="Arial" w:cs="Arial"/>
          <w:sz w:val="20"/>
          <w:szCs w:val="20"/>
          <w:vertAlign w:val="subscript"/>
        </w:rPr>
        <w:t>10</w:t>
      </w:r>
      <w:r w:rsidR="008500D5">
        <w:rPr>
          <w:rFonts w:ascii="Arial" w:hAnsi="Arial" w:cs="Arial"/>
          <w:sz w:val="20"/>
          <w:szCs w:val="20"/>
        </w:rPr>
        <w:t xml:space="preserve"> r</w:t>
      </w:r>
      <w:r w:rsidRPr="0097679B">
        <w:rPr>
          <w:rFonts w:ascii="Arial" w:hAnsi="Arial" w:cs="Arial"/>
          <w:sz w:val="20"/>
          <w:szCs w:val="20"/>
        </w:rPr>
        <w:t xml:space="preserve">ather than </w:t>
      </w:r>
      <w:r w:rsidR="00B05321" w:rsidRPr="0097679B">
        <w:rPr>
          <w:rFonts w:ascii="Arial" w:hAnsi="Arial" w:cs="Arial"/>
          <w:sz w:val="20"/>
          <w:szCs w:val="20"/>
        </w:rPr>
        <w:t>[insulin]</w:t>
      </w:r>
      <w:r w:rsidRPr="0097679B">
        <w:rPr>
          <w:rFonts w:ascii="Arial" w:hAnsi="Arial" w:cs="Arial"/>
          <w:sz w:val="20"/>
          <w:szCs w:val="20"/>
        </w:rPr>
        <w:t>T0</w:t>
      </w:r>
      <w:r w:rsidR="00B05321" w:rsidRPr="0097679B">
        <w:rPr>
          <w:rFonts w:ascii="Arial" w:hAnsi="Arial" w:cs="Arial"/>
          <w:sz w:val="20"/>
          <w:szCs w:val="20"/>
        </w:rPr>
        <w:t xml:space="preserve">. Variables were eligible for inclusion if </w:t>
      </w:r>
      <w:r w:rsidR="00430788" w:rsidRPr="0097679B">
        <w:rPr>
          <w:rFonts w:ascii="Arial" w:hAnsi="Arial" w:cs="Arial"/>
          <w:sz w:val="20"/>
          <w:szCs w:val="20"/>
        </w:rPr>
        <w:t>they were associated with a p value of &lt;0</w:t>
      </w:r>
      <w:r w:rsidR="000052F6">
        <w:rPr>
          <w:rFonts w:ascii="Arial" w:hAnsi="Arial" w:cs="Arial"/>
          <w:sz w:val="20"/>
          <w:szCs w:val="20"/>
        </w:rPr>
        <w:t>.1 in the initial (pre-specified)</w:t>
      </w:r>
      <w:r w:rsidR="00EB4E9E" w:rsidRPr="0097679B">
        <w:rPr>
          <w:rFonts w:ascii="Arial" w:hAnsi="Arial" w:cs="Arial"/>
          <w:sz w:val="20"/>
          <w:szCs w:val="20"/>
        </w:rPr>
        <w:t xml:space="preserve"> multivariable</w:t>
      </w:r>
      <w:r w:rsidR="00430788" w:rsidRPr="0097679B">
        <w:rPr>
          <w:rFonts w:ascii="Arial" w:hAnsi="Arial" w:cs="Arial"/>
          <w:sz w:val="20"/>
          <w:szCs w:val="20"/>
        </w:rPr>
        <w:t xml:space="preserve"> models (for blood analytes</w:t>
      </w:r>
      <w:r w:rsidR="00FF2C4B" w:rsidRPr="0097679B">
        <w:rPr>
          <w:rFonts w:ascii="Arial" w:hAnsi="Arial" w:cs="Arial"/>
          <w:sz w:val="20"/>
          <w:szCs w:val="20"/>
        </w:rPr>
        <w:t xml:space="preserve"> a p &lt; 0.1 was required in both</w:t>
      </w:r>
      <w:r w:rsidRPr="0097679B">
        <w:rPr>
          <w:rFonts w:ascii="Arial" w:hAnsi="Arial" w:cs="Arial"/>
          <w:sz w:val="20"/>
          <w:szCs w:val="20"/>
        </w:rPr>
        <w:t xml:space="preserve"> </w:t>
      </w:r>
      <w:r w:rsidR="00430788" w:rsidRPr="0097679B">
        <w:rPr>
          <w:rFonts w:ascii="Arial" w:hAnsi="Arial" w:cs="Arial"/>
          <w:sz w:val="20"/>
          <w:szCs w:val="20"/>
        </w:rPr>
        <w:t>initial models). Variab</w:t>
      </w:r>
      <w:r w:rsidRPr="0097679B">
        <w:rPr>
          <w:rFonts w:ascii="Arial" w:hAnsi="Arial" w:cs="Arial"/>
          <w:sz w:val="20"/>
          <w:szCs w:val="20"/>
        </w:rPr>
        <w:t>les were</w:t>
      </w:r>
      <w:r w:rsidR="00430788" w:rsidRPr="0097679B">
        <w:rPr>
          <w:rFonts w:ascii="Arial" w:hAnsi="Arial" w:cs="Arial"/>
          <w:sz w:val="20"/>
          <w:szCs w:val="20"/>
        </w:rPr>
        <w:t xml:space="preserve"> removed by backward e</w:t>
      </w:r>
      <w:r w:rsidRPr="0097679B">
        <w:rPr>
          <w:rFonts w:ascii="Arial" w:hAnsi="Arial" w:cs="Arial"/>
          <w:sz w:val="20"/>
          <w:szCs w:val="20"/>
        </w:rPr>
        <w:t xml:space="preserve">limination until only those associated with </w:t>
      </w:r>
      <w:r w:rsidR="00430788" w:rsidRPr="0097679B">
        <w:rPr>
          <w:rFonts w:ascii="Arial" w:hAnsi="Arial" w:cs="Arial"/>
          <w:sz w:val="20"/>
          <w:szCs w:val="20"/>
        </w:rPr>
        <w:t>p&lt;0.157 (based on the Akaike information criteria)</w:t>
      </w:r>
      <w:r w:rsidR="00430788"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{"citationItems":[{"id":"ITEM-1","itemData":{"DOI":"10.1111/tri.12895","ISSN":"14322277","PMID":"27896874","abstract":"Multivariable regression models are often used in transplantation research to identify or to confirm baseline variables which have an independent association, causally or only evidenced by statistical correlation, with transplantation outcome. Although sound theory is lacking, variable selection is a popular statistical method which seemingly reduces the complexity of such models. However, in fact, variable selection often complicates analysis as it invalidates common tools of statistical inference such as P-values and confidence intervals. This is a particular problem in transplantation research where sample sizes are often only small to moderate. Furthermore, variable selection requires computer-intensive stability investigations and a particularly cautious interpretation of results. We discuss how five common misconceptions often lead to inappropriate application of variable selection. We emphasize that variable selection and all problems related with it can often be avoided by the use of expert knowledge.","author":[{"dropping-particle":"","family":"Heinze","given":"Georg","non-dropping-particle":"","parse-names":false,"suffix":""},{"dropping-particle":"","family":"Dunkler","given":"Daniela","non-dropping-particle":"","parse-names":false,"suffix":""}],"container-title":"Transplant International","id":"ITEM-1","issue":"1","issued":{"date-parts":[["2017"]]},"page":"6-10","title":"Five myths about variable selection","type":"article-journal","volume":"30"},"uris":["http://www.mendeley.com/documents/?uuid=39d58452-ac1e-48b2-9d71-b47c5a392173"]}],"mendeley":{"formattedCitation":"[15]","plainTextFormattedCitation":"[15]","previouslyFormattedCitation":"[15]"},"properties":{"noteIndex":0},"schema":"https://github.com/citation-style-language/schema/raw/master/csl-citation.json"}</w:instrText>
      </w:r>
      <w:r w:rsidR="00430788" w:rsidRPr="0097679B">
        <w:rPr>
          <w:rFonts w:ascii="Arial" w:hAnsi="Arial" w:cs="Arial"/>
          <w:sz w:val="20"/>
          <w:szCs w:val="20"/>
        </w:rPr>
        <w:fldChar w:fldCharType="separate"/>
      </w:r>
      <w:r w:rsidR="00EB565D" w:rsidRPr="0097679B">
        <w:rPr>
          <w:rFonts w:ascii="Arial" w:hAnsi="Arial" w:cs="Arial"/>
          <w:noProof/>
          <w:sz w:val="20"/>
          <w:szCs w:val="20"/>
        </w:rPr>
        <w:t>[15]</w:t>
      </w:r>
      <w:r w:rsidR="00430788" w:rsidRPr="0097679B">
        <w:rPr>
          <w:rFonts w:ascii="Arial" w:hAnsi="Arial" w:cs="Arial"/>
          <w:sz w:val="20"/>
          <w:szCs w:val="20"/>
        </w:rPr>
        <w:fldChar w:fldCharType="end"/>
      </w:r>
      <w:r w:rsidR="00430788" w:rsidRPr="0097679B">
        <w:rPr>
          <w:rFonts w:ascii="Arial" w:hAnsi="Arial" w:cs="Arial"/>
          <w:sz w:val="20"/>
          <w:szCs w:val="20"/>
        </w:rPr>
        <w:t xml:space="preserve"> were included in the final model</w:t>
      </w:r>
      <w:r w:rsidR="00430788"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{"citationItems":[{"id":"ITEM-1","itemData":{"DOI":"10.1093/ejcts/ezy403","ISSN":"1873734X","PMID":"30596979","abstract":"Multivariable regression models are used to establish the relationship between a dependent variable (i.e. an outcome of interest) and more than 1 independent variable. Multivariable regression can be used for a variety of different purposes in research studies. The 3 most common types of multivariable regression are linear regression, logistic regression and Cox proportional hazards regression. A detailed understanding of multivariable regression is essential for correct interpretation of studies that utilize these statistical tools. This statistical primer discusses some common considerations and pitfalls for researchers to be aware of when undertaking multivariable regression.","author":[{"dropping-particle":"","family":"Grant","given":"Stuart W.","non-dropping-particle":"","parse-names":false,"suffix":""},{"dropping-particle":"","family":"Hickey","given":"Graeme L.","non-dropping-particle":"","parse-names":false,"suffix":""},{"dropping-particle":"","family":"Head","given":"Stuart J.","non-dropping-particle":"","parse-names":false,"suffix":""}],"container-title":"European Journal of Cardio-thoracic Surgery","id":"ITEM-1","issue":"2","issued":{"date-parts":[["2019"]]},"page":"179-185","title":"Statistical primer: Multivariable regression considerations and pitfalls","type":"article-journal","volume":"55"},"uris":["http://www.mendeley.com/documents/?uuid=3bb97561-1bc5-43d7-a6be-06cdf061e0e7"]}],"mendeley":{"formattedCitation":"[16]","plainTextFormattedCitation":"[16]","previouslyFormattedCitation":"[16]"},"properties":{"noteIndex":0},"schema":"https://github.com/citation-style-language/schema/raw/master/csl-citation.json"}</w:instrText>
      </w:r>
      <w:r w:rsidR="00430788" w:rsidRPr="0097679B">
        <w:rPr>
          <w:rFonts w:ascii="Arial" w:hAnsi="Arial" w:cs="Arial"/>
          <w:sz w:val="20"/>
          <w:szCs w:val="20"/>
        </w:rPr>
        <w:fldChar w:fldCharType="separate"/>
      </w:r>
      <w:r w:rsidR="00EB565D" w:rsidRPr="0097679B">
        <w:rPr>
          <w:rFonts w:ascii="Arial" w:hAnsi="Arial" w:cs="Arial"/>
          <w:noProof/>
          <w:sz w:val="20"/>
          <w:szCs w:val="20"/>
        </w:rPr>
        <w:t>[16]</w:t>
      </w:r>
      <w:r w:rsidR="00430788" w:rsidRPr="0097679B">
        <w:rPr>
          <w:rFonts w:ascii="Arial" w:hAnsi="Arial" w:cs="Arial"/>
          <w:sz w:val="20"/>
          <w:szCs w:val="20"/>
        </w:rPr>
        <w:fldChar w:fldCharType="end"/>
      </w:r>
      <w:r w:rsidR="002A777D">
        <w:rPr>
          <w:rFonts w:ascii="Arial" w:hAnsi="Arial" w:cs="Arial"/>
          <w:sz w:val="20"/>
          <w:szCs w:val="20"/>
        </w:rPr>
        <w:t xml:space="preserve">. Comparison of goodness of fit between multivariable models and selected single predictor models was evaluated </w:t>
      </w:r>
      <w:r w:rsidR="006B2F65">
        <w:rPr>
          <w:rFonts w:ascii="Arial" w:hAnsi="Arial" w:cs="Arial"/>
          <w:sz w:val="20"/>
          <w:szCs w:val="20"/>
        </w:rPr>
        <w:t>descriptively using</w:t>
      </w:r>
      <w:r w:rsidR="002A777D">
        <w:rPr>
          <w:rFonts w:ascii="Arial" w:hAnsi="Arial" w:cs="Arial"/>
          <w:sz w:val="20"/>
          <w:szCs w:val="20"/>
        </w:rPr>
        <w:t xml:space="preserve"> </w:t>
      </w:r>
      <w:r w:rsidR="00264511" w:rsidRPr="0097679B">
        <w:rPr>
          <w:rFonts w:ascii="Arial" w:hAnsi="Arial" w:cs="Arial"/>
          <w:sz w:val="20"/>
          <w:szCs w:val="20"/>
        </w:rPr>
        <w:t>concordance</w:t>
      </w:r>
      <w:r w:rsidR="002A777D">
        <w:rPr>
          <w:rFonts w:ascii="Arial" w:hAnsi="Arial" w:cs="Arial"/>
          <w:sz w:val="20"/>
          <w:szCs w:val="20"/>
        </w:rPr>
        <w:t xml:space="preserve"> measures</w:t>
      </w:r>
      <w:r w:rsidR="006B2F65">
        <w:rPr>
          <w:rFonts w:ascii="Arial" w:hAnsi="Arial" w:cs="Arial"/>
          <w:sz w:val="20"/>
          <w:szCs w:val="20"/>
        </w:rPr>
        <w:t>, formal concordance comparisons were not performed due to small differences in the data available for each model</w:t>
      </w:r>
      <w:r w:rsidR="002A777D">
        <w:rPr>
          <w:rFonts w:ascii="Arial" w:hAnsi="Arial" w:cs="Arial"/>
          <w:sz w:val="20"/>
          <w:szCs w:val="20"/>
        </w:rPr>
        <w:t xml:space="preserve">. </w:t>
      </w:r>
      <w:r w:rsidR="00264511" w:rsidRPr="0097679B">
        <w:rPr>
          <w:rFonts w:ascii="Arial" w:hAnsi="Arial" w:cs="Arial"/>
          <w:sz w:val="20"/>
          <w:szCs w:val="20"/>
        </w:rPr>
        <w:t xml:space="preserve">Concordance </w:t>
      </w:r>
      <w:r w:rsidR="00396C71">
        <w:rPr>
          <w:rFonts w:ascii="Arial" w:hAnsi="Arial" w:cs="Arial"/>
          <w:sz w:val="20"/>
          <w:szCs w:val="20"/>
        </w:rPr>
        <w:t>indicates the proportion of</w:t>
      </w:r>
      <w:r w:rsidR="00264511" w:rsidRPr="0097679B">
        <w:rPr>
          <w:rFonts w:ascii="Arial" w:hAnsi="Arial" w:cs="Arial"/>
          <w:sz w:val="20"/>
          <w:szCs w:val="20"/>
        </w:rPr>
        <w:t xml:space="preserve"> patient/po</w:t>
      </w:r>
      <w:r w:rsidR="00396C71">
        <w:rPr>
          <w:rFonts w:ascii="Arial" w:hAnsi="Arial" w:cs="Arial"/>
          <w:sz w:val="20"/>
          <w:szCs w:val="20"/>
        </w:rPr>
        <w:t>ny pairs</w:t>
      </w:r>
      <w:r w:rsidR="006B2F65">
        <w:rPr>
          <w:rFonts w:ascii="Arial" w:hAnsi="Arial" w:cs="Arial"/>
          <w:sz w:val="20"/>
          <w:szCs w:val="20"/>
        </w:rPr>
        <w:t xml:space="preserve"> (within each 6 month time period)</w:t>
      </w:r>
      <w:r w:rsidR="00264511" w:rsidRPr="0097679B">
        <w:rPr>
          <w:rFonts w:ascii="Arial" w:hAnsi="Arial" w:cs="Arial"/>
          <w:sz w:val="20"/>
          <w:szCs w:val="20"/>
        </w:rPr>
        <w:t xml:space="preserve"> in which the model predictions and observed outcomes agree</w:t>
      </w:r>
      <w:r w:rsidR="000052F6">
        <w:rPr>
          <w:rFonts w:ascii="Arial" w:hAnsi="Arial" w:cs="Arial"/>
          <w:sz w:val="20"/>
          <w:szCs w:val="20"/>
        </w:rPr>
        <w:t xml:space="preserve"> and is </w:t>
      </w:r>
      <w:r w:rsidR="00CC01C5" w:rsidRPr="0097679B">
        <w:rPr>
          <w:rFonts w:ascii="Arial" w:hAnsi="Arial" w:cs="Arial"/>
          <w:sz w:val="20"/>
          <w:szCs w:val="20"/>
        </w:rPr>
        <w:t>equivalent to the area under the ROC curve</w:t>
      </w:r>
      <w:r w:rsidR="000052F6">
        <w:rPr>
          <w:rFonts w:ascii="Arial" w:hAnsi="Arial" w:cs="Arial"/>
          <w:sz w:val="20"/>
          <w:szCs w:val="20"/>
        </w:rPr>
        <w:t xml:space="preserve"> for binary outcomes</w:t>
      </w:r>
      <w:r w:rsidR="00264511" w:rsidRPr="0097679B">
        <w:rPr>
          <w:rFonts w:ascii="Arial" w:hAnsi="Arial" w:cs="Arial"/>
          <w:sz w:val="20"/>
          <w:szCs w:val="20"/>
        </w:rPr>
        <w:t xml:space="preserve"> </w:t>
      </w:r>
      <w:r w:rsidR="00264511"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{"citationItems":[{"id":"ITEM-1","itemData":{"author":[{"dropping-particle":"","family":"Harrell, Frank","given":"E","non-dropping-particle":"","parse-names":false,"suffix":""},{"dropping-particle":"","family":"Lee","given":"Kerry L","non-dropping-particle":"","parse-names":false,"suffix":""},{"dropping-particle":"","family":"Mark","given":"Daniel B","non-dropping-particle":"","parse-names":false,"suffix":""}],"id":"ITEM-1","issued":{"date-parts":[["1996"]]},"page":"361-387","title":"Tutorial in Biostatistics Multivariable Prognositc Models : Issues in Developing Models , Evaluating Assumotions and Adequacy, and Measuring and Reducing Errors","type":"article-journal","volume":"15"},"uris":["http://www.mendeley.com/documents/?uuid=9e005f6e-76a7-4776-bb9b-3a3e63a76408"]}],"mendeley":{"formattedCitation":"[17]","plainTextFormattedCitation":"[17]","previouslyFormattedCitation":"[17]"},"properties":{"noteIndex":0},"schema":"https://github.com/citation-style-language/schema/raw/master/csl-citation.json"}</w:instrText>
      </w:r>
      <w:r w:rsidR="00264511" w:rsidRPr="0097679B">
        <w:rPr>
          <w:rFonts w:ascii="Arial" w:hAnsi="Arial" w:cs="Arial"/>
          <w:sz w:val="20"/>
          <w:szCs w:val="20"/>
        </w:rPr>
        <w:fldChar w:fldCharType="separate"/>
      </w:r>
      <w:r w:rsidR="00501B35" w:rsidRPr="00501B35">
        <w:rPr>
          <w:rFonts w:ascii="Arial" w:hAnsi="Arial" w:cs="Arial"/>
          <w:noProof/>
          <w:sz w:val="20"/>
          <w:szCs w:val="20"/>
        </w:rPr>
        <w:t>[17]</w:t>
      </w:r>
      <w:r w:rsidR="00264511" w:rsidRPr="0097679B">
        <w:rPr>
          <w:rFonts w:ascii="Arial" w:hAnsi="Arial" w:cs="Arial"/>
          <w:sz w:val="20"/>
          <w:szCs w:val="20"/>
        </w:rPr>
        <w:fldChar w:fldCharType="end"/>
      </w:r>
      <w:r w:rsidR="003D5E67" w:rsidRPr="0097679B">
        <w:rPr>
          <w:rFonts w:ascii="Arial" w:hAnsi="Arial" w:cs="Arial"/>
          <w:sz w:val="20"/>
          <w:szCs w:val="20"/>
        </w:rPr>
        <w:t xml:space="preserve">. For </w:t>
      </w:r>
      <w:r w:rsidR="00EB4E9E" w:rsidRPr="0097679B">
        <w:rPr>
          <w:rFonts w:ascii="Arial" w:hAnsi="Arial" w:cs="Arial"/>
          <w:sz w:val="20"/>
          <w:szCs w:val="20"/>
        </w:rPr>
        <w:t>all multivariable C</w:t>
      </w:r>
      <w:r w:rsidR="003D5E67" w:rsidRPr="0097679B">
        <w:rPr>
          <w:rFonts w:ascii="Arial" w:hAnsi="Arial" w:cs="Arial"/>
          <w:sz w:val="20"/>
          <w:szCs w:val="20"/>
        </w:rPr>
        <w:t>ox proportional</w:t>
      </w:r>
      <w:r w:rsidRPr="0097679B">
        <w:rPr>
          <w:rFonts w:ascii="Arial" w:hAnsi="Arial" w:cs="Arial"/>
          <w:sz w:val="20"/>
          <w:szCs w:val="20"/>
        </w:rPr>
        <w:t>-</w:t>
      </w:r>
      <w:r w:rsidR="003D5E67" w:rsidRPr="0097679B">
        <w:rPr>
          <w:rFonts w:ascii="Arial" w:hAnsi="Arial" w:cs="Arial"/>
          <w:sz w:val="20"/>
          <w:szCs w:val="20"/>
        </w:rPr>
        <w:t>hazards models</w:t>
      </w:r>
      <w:r w:rsidR="00287DBA">
        <w:rPr>
          <w:rFonts w:ascii="Arial" w:hAnsi="Arial" w:cs="Arial"/>
          <w:sz w:val="20"/>
          <w:szCs w:val="20"/>
        </w:rPr>
        <w:t>,</w:t>
      </w:r>
      <w:r w:rsidR="003D5E67" w:rsidRPr="0097679B">
        <w:rPr>
          <w:rFonts w:ascii="Arial" w:hAnsi="Arial" w:cs="Arial"/>
          <w:sz w:val="20"/>
          <w:szCs w:val="20"/>
        </w:rPr>
        <w:t xml:space="preserve"> the </w:t>
      </w:r>
      <w:r w:rsidRPr="0097679B">
        <w:rPr>
          <w:rFonts w:ascii="Arial" w:hAnsi="Arial" w:cs="Arial"/>
          <w:sz w:val="20"/>
          <w:szCs w:val="20"/>
        </w:rPr>
        <w:t>proportional-hazards</w:t>
      </w:r>
      <w:r w:rsidR="000052F6">
        <w:rPr>
          <w:rFonts w:ascii="Arial" w:hAnsi="Arial" w:cs="Arial"/>
          <w:sz w:val="20"/>
          <w:szCs w:val="20"/>
        </w:rPr>
        <w:t xml:space="preserve"> assumption</w:t>
      </w:r>
      <w:r w:rsidR="003D5E67" w:rsidRPr="0097679B">
        <w:rPr>
          <w:rFonts w:ascii="Arial" w:hAnsi="Arial" w:cs="Arial"/>
          <w:sz w:val="20"/>
          <w:szCs w:val="20"/>
        </w:rPr>
        <w:t xml:space="preserve"> was assessed by analysis of the Sch</w:t>
      </w:r>
      <w:r w:rsidR="00041718" w:rsidRPr="0097679B">
        <w:rPr>
          <w:rFonts w:ascii="Arial" w:hAnsi="Arial" w:cs="Arial"/>
          <w:sz w:val="20"/>
          <w:szCs w:val="20"/>
        </w:rPr>
        <w:t>oenfeld residuals</w:t>
      </w:r>
      <w:r w:rsidR="003D5E67" w:rsidRPr="0097679B">
        <w:rPr>
          <w:rFonts w:ascii="Arial" w:hAnsi="Arial" w:cs="Arial"/>
          <w:sz w:val="20"/>
          <w:szCs w:val="20"/>
        </w:rPr>
        <w:t xml:space="preserve">. Due to limited laminitis cases, interactions between the main effects were not tested, nor was the effect of clustering of the covariates. </w:t>
      </w:r>
      <w:r w:rsidR="006A2B58" w:rsidRPr="0097679B">
        <w:rPr>
          <w:rFonts w:ascii="Arial" w:hAnsi="Arial" w:cs="Arial"/>
          <w:sz w:val="20"/>
          <w:szCs w:val="20"/>
        </w:rPr>
        <w:t>For illustration, univariable, time-dependent Cox proportional-hazards models were also created for all plausible variables (without correction of p values).</w:t>
      </w:r>
    </w:p>
    <w:p w14:paraId="7B83D20E" w14:textId="4AA36A0C" w:rsidR="00FF2C4B" w:rsidRPr="0097679B" w:rsidRDefault="00287DBA" w:rsidP="00C57AFD">
      <w:pPr>
        <w:spacing w:line="480" w:lineRule="auto"/>
        <w:rPr>
          <w:rFonts w:ascii="Arial" w:hAnsi="Arial" w:cs="Arial"/>
          <w:sz w:val="20"/>
          <w:szCs w:val="20"/>
        </w:rPr>
      </w:pPr>
      <w:r>
        <w:rPr>
          <w:rFonts w:ascii="Arial" w:hAnsi="Arial" w:cs="Arial"/>
          <w:sz w:val="20"/>
          <w:szCs w:val="20"/>
        </w:rPr>
        <w:lastRenderedPageBreak/>
        <w:t>T</w:t>
      </w:r>
      <w:r w:rsidR="00EB7A29" w:rsidRPr="0097679B">
        <w:rPr>
          <w:rFonts w:ascii="Arial" w:hAnsi="Arial" w:cs="Arial"/>
          <w:sz w:val="20"/>
          <w:szCs w:val="20"/>
        </w:rPr>
        <w:t xml:space="preserve">he main predictor variables were divided into categories and </w:t>
      </w:r>
      <w:r w:rsidR="00046862">
        <w:rPr>
          <w:rFonts w:ascii="Arial" w:hAnsi="Arial" w:cs="Arial"/>
          <w:sz w:val="20"/>
          <w:szCs w:val="20"/>
        </w:rPr>
        <w:t>survival curves for time-dependent covariates</w:t>
      </w:r>
      <w:r w:rsidR="00EB7A29" w:rsidRPr="0097679B">
        <w:rPr>
          <w:rFonts w:ascii="Arial" w:hAnsi="Arial" w:cs="Arial"/>
          <w:sz w:val="20"/>
          <w:szCs w:val="20"/>
        </w:rPr>
        <w:t xml:space="preserve"> </w:t>
      </w:r>
      <w:r w:rsidR="00EB4E9E" w:rsidRPr="0097679B">
        <w:rPr>
          <w:rFonts w:ascii="Arial" w:hAnsi="Arial" w:cs="Arial"/>
          <w:sz w:val="20"/>
          <w:szCs w:val="20"/>
        </w:rPr>
        <w:t>were plotted</w:t>
      </w:r>
      <w:r w:rsidR="00FF2C4B" w:rsidRPr="0097679B">
        <w:rPr>
          <w:rFonts w:ascii="Arial" w:hAnsi="Arial" w:cs="Arial"/>
          <w:sz w:val="20"/>
          <w:szCs w:val="20"/>
        </w:rPr>
        <w:t xml:space="preserve"> </w:t>
      </w:r>
      <w:r w:rsidR="00FF2C4B"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{"citationItems":[{"id":"ITEM-1","itemData":{"DOI":"10.1002/sim.4780030106","PMID":"6729287","author":[{"dropping-particle":"","family":"Simon","given":"R","non-dropping-particle":"","parse-names":false,"suffix":""},{"dropping-particle":"","family":"Makuch","given":"R N","non-dropping-particle":"","parse-names":false,"suffix":""}],"container-title":"Stat Med.","id":"ITEM-1","issue":"1","issued":{"date-parts":[["1984"]]},"page":"35-44","title":"A non-parametric graphical representation of the relationship between survival and the occurrence of an event: application to responder versus non-responder bias.","type":"article-journal","volume":"3"},"uris":["http://www.mendeley.com/documents/?uuid=ddf52e8c-7ec9-4db3-b567-fd7bc84f6108"]}],"mendeley":{"formattedCitation":"[18]","plainTextFormattedCitation":"[18]","previouslyFormattedCitation":"[18]"},"properties":{"noteIndex":0},"schema":"https://github.com/citation-style-language/schema/raw/master/csl-citation.json"}</w:instrText>
      </w:r>
      <w:r w:rsidR="00FF2C4B" w:rsidRPr="0097679B">
        <w:rPr>
          <w:rFonts w:ascii="Arial" w:hAnsi="Arial" w:cs="Arial"/>
          <w:sz w:val="20"/>
          <w:szCs w:val="20"/>
        </w:rPr>
        <w:fldChar w:fldCharType="separate"/>
      </w:r>
      <w:r w:rsidR="00501B35" w:rsidRPr="00501B35">
        <w:rPr>
          <w:rFonts w:ascii="Arial" w:hAnsi="Arial" w:cs="Arial"/>
          <w:noProof/>
          <w:sz w:val="20"/>
          <w:szCs w:val="20"/>
        </w:rPr>
        <w:t>[18]</w:t>
      </w:r>
      <w:r w:rsidR="00FF2C4B" w:rsidRPr="0097679B">
        <w:rPr>
          <w:rFonts w:ascii="Arial" w:hAnsi="Arial" w:cs="Arial"/>
          <w:sz w:val="20"/>
          <w:szCs w:val="20"/>
        </w:rPr>
        <w:fldChar w:fldCharType="end"/>
      </w:r>
      <w:r w:rsidR="00FF2C4B" w:rsidRPr="0097679B">
        <w:rPr>
          <w:rFonts w:ascii="Arial" w:hAnsi="Arial" w:cs="Arial"/>
          <w:sz w:val="20"/>
          <w:szCs w:val="20"/>
        </w:rPr>
        <w:t xml:space="preserve">. Non-parametric estimates </w:t>
      </w:r>
      <w:r w:rsidR="00041718" w:rsidRPr="0097679B">
        <w:rPr>
          <w:rFonts w:ascii="Arial" w:hAnsi="Arial" w:cs="Arial"/>
          <w:sz w:val="20"/>
          <w:szCs w:val="20"/>
        </w:rPr>
        <w:t xml:space="preserve">of </w:t>
      </w:r>
      <w:r w:rsidR="00FF2C4B" w:rsidRPr="0097679B">
        <w:rPr>
          <w:rFonts w:ascii="Arial" w:hAnsi="Arial" w:cs="Arial"/>
          <w:sz w:val="20"/>
          <w:szCs w:val="20"/>
        </w:rPr>
        <w:t xml:space="preserve">the </w:t>
      </w:r>
      <w:r w:rsidR="00041718" w:rsidRPr="0097679B">
        <w:rPr>
          <w:rFonts w:ascii="Arial" w:hAnsi="Arial" w:cs="Arial"/>
          <w:sz w:val="20"/>
          <w:szCs w:val="20"/>
        </w:rPr>
        <w:t>cumulative laminitis incidence</w:t>
      </w:r>
      <w:r w:rsidR="00B026D4">
        <w:rPr>
          <w:rFonts w:ascii="Arial" w:hAnsi="Arial" w:cs="Arial"/>
          <w:sz w:val="20"/>
          <w:szCs w:val="20"/>
        </w:rPr>
        <w:t xml:space="preserve"> were calculated </w:t>
      </w:r>
      <w:r w:rsidR="00FF2C4B"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{"citationItems":[{"id":"ITEM-1","itemData":{"DOI":"10.1002/sim.4780030106","PMID":"6729287","author":[{"dropping-particle":"","family":"Simon","given":"R","non-dropping-particle":"","parse-names":false,"suffix":""},{"dropping-particle":"","family":"Makuch","given":"R N","non-dropping-particle":"","parse-names":false,"suffix":""}],"container-title":"Stat Med.","id":"ITEM-1","issue":"1","issued":{"date-parts":[["1984"]]},"page":"35-44","title":"A non-parametric graphical representation of the relationship between survival and the occurrence of an event: application to responder versus non-responder bias.","type":"article-journal","volume":"3"},"uris":["http://www.mendeley.com/documents/?uuid=ddf52e8c-7ec9-4db3-b567-fd7bc84f6108"]}],"mendeley":{"formattedCitation":"[18]","plainTextFormattedCitation":"[18]","previouslyFormattedCitation":"[18]"},"properties":{"noteIndex":0},"schema":"https://github.com/citation-style-language/schema/raw/master/csl-citation.json"}</w:instrText>
      </w:r>
      <w:r w:rsidR="00FF2C4B" w:rsidRPr="0097679B">
        <w:rPr>
          <w:rFonts w:ascii="Arial" w:hAnsi="Arial" w:cs="Arial"/>
          <w:sz w:val="20"/>
          <w:szCs w:val="20"/>
        </w:rPr>
        <w:fldChar w:fldCharType="separate"/>
      </w:r>
      <w:r w:rsidR="00501B35" w:rsidRPr="00501B35">
        <w:rPr>
          <w:rFonts w:ascii="Arial" w:hAnsi="Arial" w:cs="Arial"/>
          <w:noProof/>
          <w:sz w:val="20"/>
          <w:szCs w:val="20"/>
        </w:rPr>
        <w:t>[18]</w:t>
      </w:r>
      <w:r w:rsidR="00FF2C4B" w:rsidRPr="0097679B">
        <w:rPr>
          <w:rFonts w:ascii="Arial" w:hAnsi="Arial" w:cs="Arial"/>
          <w:sz w:val="20"/>
          <w:szCs w:val="20"/>
        </w:rPr>
        <w:fldChar w:fldCharType="end"/>
      </w:r>
      <w:r w:rsidR="00041718" w:rsidRPr="0097679B">
        <w:rPr>
          <w:rFonts w:ascii="Arial" w:hAnsi="Arial" w:cs="Arial"/>
          <w:sz w:val="20"/>
          <w:szCs w:val="20"/>
        </w:rPr>
        <w:t xml:space="preserve"> together with t</w:t>
      </w:r>
      <w:r w:rsidR="00FF2C4B" w:rsidRPr="0097679B">
        <w:rPr>
          <w:rFonts w:ascii="Arial" w:hAnsi="Arial" w:cs="Arial"/>
          <w:sz w:val="20"/>
          <w:szCs w:val="20"/>
        </w:rPr>
        <w:t>ime-dependent Cox proportional</w:t>
      </w:r>
      <w:r w:rsidR="00B026D4">
        <w:rPr>
          <w:rFonts w:ascii="Arial" w:hAnsi="Arial" w:cs="Arial"/>
          <w:sz w:val="20"/>
          <w:szCs w:val="20"/>
        </w:rPr>
        <w:t>-</w:t>
      </w:r>
      <w:r w:rsidR="00FF2C4B" w:rsidRPr="0097679B">
        <w:rPr>
          <w:rFonts w:ascii="Arial" w:hAnsi="Arial" w:cs="Arial"/>
          <w:sz w:val="20"/>
          <w:szCs w:val="20"/>
        </w:rPr>
        <w:t xml:space="preserve">hazard models </w:t>
      </w:r>
      <w:r w:rsidR="00041718" w:rsidRPr="0097679B">
        <w:rPr>
          <w:rFonts w:ascii="Arial" w:hAnsi="Arial" w:cs="Arial"/>
          <w:sz w:val="20"/>
          <w:szCs w:val="20"/>
        </w:rPr>
        <w:t xml:space="preserve">with </w:t>
      </w:r>
      <w:r w:rsidR="00FF2C4B" w:rsidRPr="0097679B">
        <w:rPr>
          <w:rFonts w:ascii="Arial" w:hAnsi="Arial" w:cs="Arial"/>
          <w:sz w:val="20"/>
          <w:szCs w:val="20"/>
        </w:rPr>
        <w:t>each var</w:t>
      </w:r>
      <w:r w:rsidR="00B026D4">
        <w:rPr>
          <w:rFonts w:ascii="Arial" w:hAnsi="Arial" w:cs="Arial"/>
          <w:sz w:val="20"/>
          <w:szCs w:val="20"/>
        </w:rPr>
        <w:t>iable analysed as a factor</w:t>
      </w:r>
      <w:r w:rsidR="00FF2C4B" w:rsidRPr="0097679B">
        <w:rPr>
          <w:rFonts w:ascii="Arial" w:hAnsi="Arial" w:cs="Arial"/>
          <w:sz w:val="20"/>
          <w:szCs w:val="20"/>
        </w:rPr>
        <w:t>. A subjective approach was taken to determine the risk categories based on the stratification of risk across the deciles of each variable</w:t>
      </w:r>
      <w:r>
        <w:rPr>
          <w:rFonts w:ascii="Arial" w:hAnsi="Arial" w:cs="Arial"/>
          <w:sz w:val="20"/>
          <w:szCs w:val="20"/>
        </w:rPr>
        <w:t xml:space="preserve"> for illustrative purposes</w:t>
      </w:r>
      <w:r w:rsidR="00FF2C4B" w:rsidRPr="0097679B">
        <w:rPr>
          <w:rFonts w:ascii="Arial" w:hAnsi="Arial" w:cs="Arial"/>
          <w:sz w:val="20"/>
          <w:szCs w:val="20"/>
        </w:rPr>
        <w:t xml:space="preserve">. </w:t>
      </w:r>
    </w:p>
    <w:p w14:paraId="53A1E07A" w14:textId="30CDE087" w:rsidR="00FF2C4B" w:rsidRPr="0097679B" w:rsidRDefault="00C66C6B" w:rsidP="00C57AFD">
      <w:pPr>
        <w:spacing w:line="480" w:lineRule="auto"/>
        <w:rPr>
          <w:rFonts w:ascii="Arial" w:hAnsi="Arial" w:cs="Arial"/>
          <w:sz w:val="20"/>
          <w:szCs w:val="20"/>
        </w:rPr>
      </w:pPr>
      <w:r w:rsidRPr="0097679B">
        <w:rPr>
          <w:rFonts w:ascii="Arial" w:hAnsi="Arial" w:cs="Arial"/>
          <w:sz w:val="20"/>
          <w:szCs w:val="20"/>
        </w:rPr>
        <w:t xml:space="preserve">A </w:t>
      </w:r>
      <w:r w:rsidR="00D6437C" w:rsidRPr="0097679B">
        <w:rPr>
          <w:rFonts w:ascii="Arial" w:hAnsi="Arial" w:cs="Arial"/>
          <w:sz w:val="20"/>
          <w:szCs w:val="20"/>
        </w:rPr>
        <w:t xml:space="preserve">different approach was required for </w:t>
      </w:r>
      <w:r w:rsidR="00287DBA">
        <w:rPr>
          <w:rFonts w:ascii="Arial" w:hAnsi="Arial" w:cs="Arial"/>
          <w:sz w:val="20"/>
          <w:szCs w:val="20"/>
        </w:rPr>
        <w:t xml:space="preserve">[ACTH] </w:t>
      </w:r>
      <w:r w:rsidR="00D6437C" w:rsidRPr="0097679B">
        <w:rPr>
          <w:rFonts w:ascii="Arial" w:hAnsi="Arial" w:cs="Arial"/>
          <w:sz w:val="20"/>
          <w:szCs w:val="20"/>
        </w:rPr>
        <w:t xml:space="preserve">analysis </w:t>
      </w:r>
      <w:r w:rsidR="0069047F" w:rsidRPr="0097679B">
        <w:rPr>
          <w:rFonts w:ascii="Arial" w:hAnsi="Arial" w:cs="Arial"/>
          <w:sz w:val="20"/>
          <w:szCs w:val="20"/>
        </w:rPr>
        <w:t xml:space="preserve">as a continuous variable. </w:t>
      </w:r>
      <w:r w:rsidR="00287DBA">
        <w:rPr>
          <w:rFonts w:ascii="Arial" w:hAnsi="Arial" w:cs="Arial"/>
          <w:sz w:val="20"/>
          <w:szCs w:val="20"/>
        </w:rPr>
        <w:t>Separate t</w:t>
      </w:r>
      <w:r w:rsidR="00287DBA" w:rsidRPr="0097679B">
        <w:rPr>
          <w:rFonts w:ascii="Arial" w:hAnsi="Arial" w:cs="Arial"/>
          <w:sz w:val="20"/>
          <w:szCs w:val="20"/>
        </w:rPr>
        <w:t>ime</w:t>
      </w:r>
      <w:r w:rsidR="0069047F" w:rsidRPr="0097679B">
        <w:rPr>
          <w:rFonts w:ascii="Arial" w:hAnsi="Arial" w:cs="Arial"/>
          <w:sz w:val="20"/>
          <w:szCs w:val="20"/>
        </w:rPr>
        <w:t>-dependent Cox-</w:t>
      </w:r>
      <w:r w:rsidR="007F056D" w:rsidRPr="0097679B">
        <w:rPr>
          <w:rFonts w:ascii="Arial" w:hAnsi="Arial" w:cs="Arial"/>
          <w:sz w:val="20"/>
          <w:szCs w:val="20"/>
        </w:rPr>
        <w:t>proportional-hazards</w:t>
      </w:r>
      <w:r w:rsidR="0069047F" w:rsidRPr="0097679B">
        <w:rPr>
          <w:rFonts w:ascii="Arial" w:hAnsi="Arial" w:cs="Arial"/>
          <w:sz w:val="20"/>
          <w:szCs w:val="20"/>
        </w:rPr>
        <w:t xml:space="preserve"> models were created for </w:t>
      </w:r>
      <w:r w:rsidR="00287DBA">
        <w:rPr>
          <w:rFonts w:ascii="Arial" w:hAnsi="Arial" w:cs="Arial"/>
          <w:sz w:val="20"/>
          <w:szCs w:val="20"/>
        </w:rPr>
        <w:t xml:space="preserve">spring and autumn </w:t>
      </w:r>
      <w:r w:rsidR="0069047F" w:rsidRPr="0097679B">
        <w:rPr>
          <w:rFonts w:ascii="Arial" w:hAnsi="Arial" w:cs="Arial"/>
          <w:sz w:val="20"/>
          <w:szCs w:val="20"/>
        </w:rPr>
        <w:t>samples</w:t>
      </w:r>
      <w:r w:rsidR="00D6437C" w:rsidRPr="0097679B">
        <w:rPr>
          <w:rFonts w:ascii="Arial" w:hAnsi="Arial" w:cs="Arial"/>
          <w:sz w:val="20"/>
          <w:szCs w:val="20"/>
        </w:rPr>
        <w:t xml:space="preserve">. This analysis </w:t>
      </w:r>
      <w:r w:rsidR="00B026D4">
        <w:rPr>
          <w:rFonts w:ascii="Arial" w:hAnsi="Arial" w:cs="Arial"/>
          <w:sz w:val="20"/>
          <w:szCs w:val="20"/>
        </w:rPr>
        <w:t>required</w:t>
      </w:r>
      <w:r w:rsidR="00D6437C" w:rsidRPr="0097679B">
        <w:rPr>
          <w:rFonts w:ascii="Arial" w:hAnsi="Arial" w:cs="Arial"/>
          <w:sz w:val="20"/>
          <w:szCs w:val="20"/>
        </w:rPr>
        <w:t xml:space="preserve"> an additional six months of follow-up such that </w:t>
      </w:r>
      <w:r w:rsidR="009C7E86" w:rsidRPr="0097679B">
        <w:rPr>
          <w:rFonts w:ascii="Arial" w:hAnsi="Arial" w:cs="Arial"/>
          <w:sz w:val="20"/>
          <w:szCs w:val="20"/>
        </w:rPr>
        <w:t xml:space="preserve">four, twelve-month, </w:t>
      </w:r>
      <w:r w:rsidR="00300EC0">
        <w:rPr>
          <w:rFonts w:ascii="Arial" w:hAnsi="Arial" w:cs="Arial"/>
          <w:sz w:val="20"/>
          <w:szCs w:val="20"/>
        </w:rPr>
        <w:t>periods</w:t>
      </w:r>
      <w:r w:rsidR="00300EC0" w:rsidRPr="0097679B">
        <w:rPr>
          <w:rFonts w:ascii="Arial" w:hAnsi="Arial" w:cs="Arial"/>
          <w:sz w:val="20"/>
          <w:szCs w:val="20"/>
        </w:rPr>
        <w:t xml:space="preserve"> </w:t>
      </w:r>
      <w:r w:rsidR="00D6437C" w:rsidRPr="0097679B">
        <w:rPr>
          <w:rFonts w:ascii="Arial" w:hAnsi="Arial" w:cs="Arial"/>
          <w:sz w:val="20"/>
          <w:szCs w:val="20"/>
        </w:rPr>
        <w:t>could be analysed for the autumn and spring separately</w:t>
      </w:r>
      <w:r w:rsidR="009C7E86" w:rsidRPr="0097679B">
        <w:rPr>
          <w:rFonts w:ascii="Arial" w:hAnsi="Arial" w:cs="Arial"/>
          <w:sz w:val="20"/>
          <w:szCs w:val="20"/>
        </w:rPr>
        <w:t xml:space="preserve"> (</w:t>
      </w:r>
      <w:r w:rsidR="00D6437C" w:rsidRPr="0097679B">
        <w:rPr>
          <w:rFonts w:ascii="Arial" w:hAnsi="Arial" w:cs="Arial"/>
          <w:sz w:val="20"/>
          <w:szCs w:val="20"/>
        </w:rPr>
        <w:t>1/10/2015-30/9/2019</w:t>
      </w:r>
      <w:r w:rsidR="009C7E86" w:rsidRPr="0097679B">
        <w:rPr>
          <w:rFonts w:ascii="Arial" w:hAnsi="Arial" w:cs="Arial"/>
          <w:sz w:val="20"/>
          <w:szCs w:val="20"/>
        </w:rPr>
        <w:t xml:space="preserve"> and</w:t>
      </w:r>
      <w:r w:rsidR="00D6437C" w:rsidRPr="0097679B">
        <w:rPr>
          <w:rFonts w:ascii="Arial" w:hAnsi="Arial" w:cs="Arial"/>
          <w:sz w:val="20"/>
          <w:szCs w:val="20"/>
        </w:rPr>
        <w:t xml:space="preserve"> 1/4/2016</w:t>
      </w:r>
      <w:r w:rsidR="009C7E86" w:rsidRPr="0097679B">
        <w:rPr>
          <w:rFonts w:ascii="Arial" w:hAnsi="Arial" w:cs="Arial"/>
          <w:sz w:val="20"/>
          <w:szCs w:val="20"/>
        </w:rPr>
        <w:t>-</w:t>
      </w:r>
      <w:r w:rsidR="00D6437C" w:rsidRPr="0097679B">
        <w:rPr>
          <w:rFonts w:ascii="Arial" w:hAnsi="Arial" w:cs="Arial"/>
          <w:sz w:val="20"/>
          <w:szCs w:val="20"/>
        </w:rPr>
        <w:t xml:space="preserve"> 31/3/2020). </w:t>
      </w:r>
      <w:r w:rsidR="0019040A" w:rsidRPr="0097679B">
        <w:rPr>
          <w:rFonts w:ascii="Arial" w:hAnsi="Arial" w:cs="Arial"/>
          <w:sz w:val="20"/>
          <w:szCs w:val="20"/>
        </w:rPr>
        <w:t>U</w:t>
      </w:r>
      <w:r w:rsidR="009C7E86" w:rsidRPr="0097679B">
        <w:rPr>
          <w:rFonts w:ascii="Arial" w:hAnsi="Arial" w:cs="Arial"/>
          <w:sz w:val="20"/>
          <w:szCs w:val="20"/>
        </w:rPr>
        <w:t>nivariable associations</w:t>
      </w:r>
      <w:r w:rsidRPr="0097679B">
        <w:rPr>
          <w:rFonts w:ascii="Arial" w:hAnsi="Arial" w:cs="Arial"/>
          <w:sz w:val="20"/>
          <w:szCs w:val="20"/>
        </w:rPr>
        <w:t xml:space="preserve"> were initially assessed</w:t>
      </w:r>
      <w:r w:rsidR="009C7E86" w:rsidRPr="0097679B">
        <w:rPr>
          <w:rFonts w:ascii="Arial" w:hAnsi="Arial" w:cs="Arial"/>
          <w:sz w:val="20"/>
          <w:szCs w:val="20"/>
        </w:rPr>
        <w:t xml:space="preserve"> between [ACTH] and </w:t>
      </w:r>
      <w:r w:rsidR="00287DBA">
        <w:rPr>
          <w:rFonts w:ascii="Arial" w:hAnsi="Arial" w:cs="Arial"/>
          <w:sz w:val="20"/>
          <w:szCs w:val="20"/>
        </w:rPr>
        <w:t>laminitis</w:t>
      </w:r>
      <w:r w:rsidR="00287DBA" w:rsidRPr="0097679B">
        <w:rPr>
          <w:rFonts w:ascii="Arial" w:hAnsi="Arial" w:cs="Arial"/>
          <w:sz w:val="20"/>
          <w:szCs w:val="20"/>
        </w:rPr>
        <w:t xml:space="preserve"> </w:t>
      </w:r>
      <w:r w:rsidR="00DE0DA7" w:rsidRPr="0097679B">
        <w:rPr>
          <w:rFonts w:ascii="Arial" w:hAnsi="Arial" w:cs="Arial"/>
          <w:sz w:val="20"/>
          <w:szCs w:val="20"/>
        </w:rPr>
        <w:t>hazard</w:t>
      </w:r>
      <w:r w:rsidR="009C7E86" w:rsidRPr="0097679B">
        <w:rPr>
          <w:rFonts w:ascii="Arial" w:hAnsi="Arial" w:cs="Arial"/>
          <w:sz w:val="20"/>
          <w:szCs w:val="20"/>
        </w:rPr>
        <w:t xml:space="preserve">. </w:t>
      </w:r>
      <w:r w:rsidR="00DE0DA7" w:rsidRPr="0097679B">
        <w:rPr>
          <w:rFonts w:ascii="Arial" w:hAnsi="Arial" w:cs="Arial"/>
          <w:sz w:val="20"/>
          <w:szCs w:val="20"/>
        </w:rPr>
        <w:t>To</w:t>
      </w:r>
      <w:r w:rsidR="009C7E86" w:rsidRPr="0097679B">
        <w:rPr>
          <w:rFonts w:ascii="Arial" w:hAnsi="Arial" w:cs="Arial"/>
          <w:sz w:val="20"/>
          <w:szCs w:val="20"/>
        </w:rPr>
        <w:t xml:space="preserve"> determine whether any association between [ACTH] and laminitis </w:t>
      </w:r>
      <w:r w:rsidR="00DE0DA7" w:rsidRPr="0097679B">
        <w:rPr>
          <w:rFonts w:ascii="Arial" w:hAnsi="Arial" w:cs="Arial"/>
          <w:sz w:val="20"/>
          <w:szCs w:val="20"/>
        </w:rPr>
        <w:t xml:space="preserve">was a proxy for </w:t>
      </w:r>
      <w:r w:rsidR="009C7E86" w:rsidRPr="0097679B">
        <w:rPr>
          <w:rFonts w:ascii="Arial" w:hAnsi="Arial" w:cs="Arial"/>
          <w:sz w:val="20"/>
          <w:szCs w:val="20"/>
        </w:rPr>
        <w:t>insulin dysregulation, [insulin]</w:t>
      </w:r>
      <w:r w:rsidR="00DE0DA7" w:rsidRPr="0097679B">
        <w:rPr>
          <w:rFonts w:ascii="Arial" w:hAnsi="Arial" w:cs="Arial"/>
          <w:sz w:val="20"/>
          <w:szCs w:val="20"/>
        </w:rPr>
        <w:t>T0 or [insulin]T60</w:t>
      </w:r>
      <w:r w:rsidR="009C7E86" w:rsidRPr="0097679B">
        <w:rPr>
          <w:rFonts w:ascii="Arial" w:hAnsi="Arial" w:cs="Arial"/>
          <w:sz w:val="20"/>
          <w:szCs w:val="20"/>
        </w:rPr>
        <w:t xml:space="preserve"> were added to the spring and autumn [ACTH] models.</w:t>
      </w:r>
    </w:p>
    <w:p w14:paraId="229EC11A" w14:textId="77777777" w:rsidR="000C7684" w:rsidRPr="0097679B" w:rsidRDefault="000C7684" w:rsidP="00C57AFD">
      <w:pPr>
        <w:spacing w:line="480" w:lineRule="auto"/>
        <w:rPr>
          <w:rFonts w:ascii="Arial" w:hAnsi="Arial" w:cs="Arial"/>
          <w:sz w:val="20"/>
          <w:szCs w:val="20"/>
        </w:rPr>
      </w:pPr>
    </w:p>
    <w:p w14:paraId="37BE61CB" w14:textId="464D6815" w:rsidR="0040589E" w:rsidRPr="0097679B" w:rsidRDefault="0040589E" w:rsidP="00C57AFD">
      <w:pPr>
        <w:spacing w:line="480" w:lineRule="auto"/>
        <w:rPr>
          <w:rFonts w:ascii="Arial" w:hAnsi="Arial" w:cs="Arial"/>
          <w:sz w:val="20"/>
          <w:szCs w:val="20"/>
        </w:rPr>
      </w:pPr>
      <w:r w:rsidRPr="0097679B">
        <w:rPr>
          <w:rFonts w:ascii="Arial" w:hAnsi="Arial" w:cs="Arial"/>
          <w:sz w:val="20"/>
          <w:szCs w:val="20"/>
        </w:rPr>
        <w:t xml:space="preserve">3 </w:t>
      </w:r>
      <w:r w:rsidRPr="00927652">
        <w:rPr>
          <w:rFonts w:ascii="Arial" w:hAnsi="Arial" w:cs="Arial"/>
          <w:i/>
          <w:sz w:val="20"/>
          <w:szCs w:val="20"/>
        </w:rPr>
        <w:t xml:space="preserve">Results </w:t>
      </w:r>
    </w:p>
    <w:p w14:paraId="3B68E9E3" w14:textId="5188D023" w:rsidR="000C7684" w:rsidRPr="0097679B" w:rsidRDefault="00361C6B" w:rsidP="00C57AFD">
      <w:pPr>
        <w:spacing w:line="480" w:lineRule="auto"/>
        <w:rPr>
          <w:rFonts w:ascii="Arial" w:hAnsi="Arial" w:cs="Arial"/>
          <w:sz w:val="20"/>
          <w:szCs w:val="20"/>
        </w:rPr>
      </w:pPr>
      <w:r w:rsidRPr="0097679B">
        <w:rPr>
          <w:rFonts w:ascii="Arial" w:hAnsi="Arial" w:cs="Arial"/>
          <w:sz w:val="20"/>
          <w:szCs w:val="20"/>
        </w:rPr>
        <w:t>The study included</w:t>
      </w:r>
      <w:r w:rsidR="00036F5D" w:rsidRPr="0097679B">
        <w:rPr>
          <w:rFonts w:ascii="Arial" w:hAnsi="Arial" w:cs="Arial"/>
          <w:sz w:val="20"/>
          <w:szCs w:val="20"/>
        </w:rPr>
        <w:t xml:space="preserve"> 24 premises and</w:t>
      </w:r>
      <w:r w:rsidR="00B026D4">
        <w:rPr>
          <w:rFonts w:ascii="Arial" w:hAnsi="Arial" w:cs="Arial"/>
          <w:sz w:val="20"/>
          <w:szCs w:val="20"/>
        </w:rPr>
        <w:t xml:space="preserve"> 374 ponies </w:t>
      </w:r>
      <w:r w:rsidR="00822EB3">
        <w:rPr>
          <w:rFonts w:ascii="Arial" w:hAnsi="Arial" w:cs="Arial"/>
          <w:sz w:val="20"/>
          <w:szCs w:val="20"/>
        </w:rPr>
        <w:t>of which</w:t>
      </w:r>
      <w:r w:rsidR="00822EB3" w:rsidRPr="0097679B">
        <w:rPr>
          <w:rFonts w:ascii="Arial" w:hAnsi="Arial" w:cs="Arial"/>
          <w:sz w:val="20"/>
          <w:szCs w:val="20"/>
        </w:rPr>
        <w:t xml:space="preserve"> </w:t>
      </w:r>
      <w:r w:rsidR="000C7684" w:rsidRPr="0097679B">
        <w:rPr>
          <w:rFonts w:ascii="Arial" w:hAnsi="Arial" w:cs="Arial"/>
          <w:sz w:val="20"/>
          <w:szCs w:val="20"/>
        </w:rPr>
        <w:t xml:space="preserve">216 </w:t>
      </w:r>
      <w:r w:rsidR="00822EB3">
        <w:rPr>
          <w:rFonts w:ascii="Arial" w:hAnsi="Arial" w:cs="Arial"/>
          <w:sz w:val="20"/>
          <w:szCs w:val="20"/>
        </w:rPr>
        <w:t xml:space="preserve">were </w:t>
      </w:r>
      <w:r w:rsidR="000C7684" w:rsidRPr="0097679B">
        <w:rPr>
          <w:rFonts w:ascii="Arial" w:hAnsi="Arial" w:cs="Arial"/>
          <w:sz w:val="20"/>
          <w:szCs w:val="20"/>
        </w:rPr>
        <w:t>geldings, 147 mares and two stallions (</w:t>
      </w:r>
      <w:r w:rsidR="00BA15FE">
        <w:rPr>
          <w:rFonts w:ascii="Arial" w:hAnsi="Arial" w:cs="Arial"/>
          <w:sz w:val="20"/>
          <w:szCs w:val="20"/>
        </w:rPr>
        <w:t xml:space="preserve">sex </w:t>
      </w:r>
      <w:r w:rsidR="000C7684" w:rsidRPr="0097679B">
        <w:rPr>
          <w:rFonts w:ascii="Arial" w:hAnsi="Arial" w:cs="Arial"/>
          <w:sz w:val="20"/>
          <w:szCs w:val="20"/>
        </w:rPr>
        <w:t>data were missing for nine ponies). The mean age (</w:t>
      </w:r>
      <w:r w:rsidR="00584C79">
        <w:rPr>
          <w:rFonts w:ascii="Arial" w:hAnsi="Arial" w:cs="Arial"/>
          <w:sz w:val="20"/>
          <w:szCs w:val="20"/>
        </w:rPr>
        <w:t>±</w:t>
      </w:r>
      <w:r w:rsidR="000C7684" w:rsidRPr="0097679B">
        <w:rPr>
          <w:rFonts w:ascii="Arial" w:hAnsi="Arial" w:cs="Arial"/>
          <w:sz w:val="20"/>
          <w:szCs w:val="20"/>
        </w:rPr>
        <w:t>standard deviation (SD)) during the time at risk was 14 (</w:t>
      </w:r>
      <w:r w:rsidR="00584C79">
        <w:rPr>
          <w:rFonts w:ascii="Arial" w:hAnsi="Arial" w:cs="Arial"/>
          <w:sz w:val="20"/>
          <w:szCs w:val="20"/>
        </w:rPr>
        <w:t>±</w:t>
      </w:r>
      <w:r w:rsidR="000C7684" w:rsidRPr="0097679B">
        <w:rPr>
          <w:rFonts w:ascii="Arial" w:hAnsi="Arial" w:cs="Arial"/>
          <w:sz w:val="20"/>
          <w:szCs w:val="20"/>
        </w:rPr>
        <w:t xml:space="preserve">6.3) years. Breed data were available for 291 ponies </w:t>
      </w:r>
      <w:r w:rsidR="00287DBA">
        <w:rPr>
          <w:rFonts w:ascii="Arial" w:hAnsi="Arial" w:cs="Arial"/>
          <w:sz w:val="20"/>
          <w:szCs w:val="20"/>
        </w:rPr>
        <w:t>(</w:t>
      </w:r>
      <w:r w:rsidR="000C7684" w:rsidRPr="0097679B">
        <w:rPr>
          <w:rFonts w:ascii="Arial" w:hAnsi="Arial" w:cs="Arial"/>
          <w:sz w:val="20"/>
          <w:szCs w:val="20"/>
        </w:rPr>
        <w:t xml:space="preserve">105 Welsh or Welsh crosses, 48 Shetlands or Shetland crosses, 58 Cobs or Cob crosses and </w:t>
      </w:r>
      <w:r w:rsidR="00036F5D" w:rsidRPr="0097679B">
        <w:rPr>
          <w:rFonts w:ascii="Arial" w:hAnsi="Arial" w:cs="Arial"/>
          <w:sz w:val="20"/>
          <w:szCs w:val="20"/>
        </w:rPr>
        <w:t xml:space="preserve">80 </w:t>
      </w:r>
      <w:r w:rsidR="00287DBA">
        <w:rPr>
          <w:rFonts w:ascii="Arial" w:hAnsi="Arial" w:cs="Arial"/>
          <w:sz w:val="20"/>
          <w:szCs w:val="20"/>
        </w:rPr>
        <w:t>‘</w:t>
      </w:r>
      <w:r w:rsidR="00036F5D" w:rsidRPr="0097679B">
        <w:rPr>
          <w:rFonts w:ascii="Arial" w:hAnsi="Arial" w:cs="Arial"/>
          <w:sz w:val="20"/>
          <w:szCs w:val="20"/>
        </w:rPr>
        <w:t>other breeds</w:t>
      </w:r>
      <w:r w:rsidR="00287DBA">
        <w:rPr>
          <w:rFonts w:ascii="Arial" w:hAnsi="Arial" w:cs="Arial"/>
          <w:sz w:val="20"/>
          <w:szCs w:val="20"/>
        </w:rPr>
        <w:t>’)</w:t>
      </w:r>
      <w:r w:rsidR="00822EB3">
        <w:rPr>
          <w:rFonts w:ascii="Arial" w:hAnsi="Arial" w:cs="Arial"/>
          <w:sz w:val="20"/>
          <w:szCs w:val="20"/>
        </w:rPr>
        <w:t>.</w:t>
      </w:r>
      <w:r w:rsidR="00501B35">
        <w:rPr>
          <w:rFonts w:ascii="Arial" w:hAnsi="Arial" w:cs="Arial"/>
          <w:sz w:val="20"/>
          <w:szCs w:val="20"/>
        </w:rPr>
        <w:t xml:space="preserve"> </w:t>
      </w:r>
      <w:r w:rsidR="00822EB3">
        <w:rPr>
          <w:rFonts w:ascii="Arial" w:hAnsi="Arial" w:cs="Arial"/>
          <w:sz w:val="20"/>
          <w:szCs w:val="20"/>
        </w:rPr>
        <w:t xml:space="preserve">In total, </w:t>
      </w:r>
      <w:r w:rsidR="000C7684" w:rsidRPr="0097679B">
        <w:rPr>
          <w:rFonts w:ascii="Arial" w:hAnsi="Arial" w:cs="Arial"/>
          <w:sz w:val="20"/>
          <w:szCs w:val="20"/>
        </w:rPr>
        <w:t xml:space="preserve">252 </w:t>
      </w:r>
      <w:r w:rsidR="00501B35">
        <w:rPr>
          <w:rFonts w:ascii="Arial" w:hAnsi="Arial" w:cs="Arial"/>
          <w:sz w:val="20"/>
          <w:szCs w:val="20"/>
        </w:rPr>
        <w:t xml:space="preserve">ponies were used for </w:t>
      </w:r>
      <w:r w:rsidR="000C7684" w:rsidRPr="0097679B">
        <w:rPr>
          <w:rFonts w:ascii="Arial" w:hAnsi="Arial" w:cs="Arial"/>
          <w:sz w:val="20"/>
          <w:szCs w:val="20"/>
        </w:rPr>
        <w:t>general riding, 75</w:t>
      </w:r>
      <w:r w:rsidR="00B026D4">
        <w:rPr>
          <w:rFonts w:ascii="Arial" w:hAnsi="Arial" w:cs="Arial"/>
          <w:sz w:val="20"/>
          <w:szCs w:val="20"/>
        </w:rPr>
        <w:t xml:space="preserve"> </w:t>
      </w:r>
      <w:r w:rsidR="00501B35">
        <w:rPr>
          <w:rFonts w:ascii="Arial" w:hAnsi="Arial" w:cs="Arial"/>
          <w:sz w:val="20"/>
          <w:szCs w:val="20"/>
        </w:rPr>
        <w:t xml:space="preserve">as </w:t>
      </w:r>
      <w:r w:rsidR="00B026D4">
        <w:rPr>
          <w:rFonts w:ascii="Arial" w:hAnsi="Arial" w:cs="Arial"/>
          <w:sz w:val="20"/>
          <w:szCs w:val="20"/>
        </w:rPr>
        <w:t>pets/</w:t>
      </w:r>
      <w:r w:rsidR="000C7684" w:rsidRPr="0097679B">
        <w:rPr>
          <w:rFonts w:ascii="Arial" w:hAnsi="Arial" w:cs="Arial"/>
          <w:sz w:val="20"/>
          <w:szCs w:val="20"/>
        </w:rPr>
        <w:t xml:space="preserve">retired, 10 </w:t>
      </w:r>
      <w:r w:rsidR="00501B35">
        <w:rPr>
          <w:rFonts w:ascii="Arial" w:hAnsi="Arial" w:cs="Arial"/>
          <w:sz w:val="20"/>
          <w:szCs w:val="20"/>
        </w:rPr>
        <w:t xml:space="preserve">for </w:t>
      </w:r>
      <w:r w:rsidR="000C7684" w:rsidRPr="0097679B">
        <w:rPr>
          <w:rFonts w:ascii="Arial" w:hAnsi="Arial" w:cs="Arial"/>
          <w:sz w:val="20"/>
          <w:szCs w:val="20"/>
        </w:rPr>
        <w:t xml:space="preserve">competition, 5 for breeding, 11 for </w:t>
      </w:r>
      <w:r w:rsidR="00501B35">
        <w:rPr>
          <w:rFonts w:ascii="Arial" w:hAnsi="Arial" w:cs="Arial"/>
          <w:sz w:val="20"/>
          <w:szCs w:val="20"/>
        </w:rPr>
        <w:t>driving and 31</w:t>
      </w:r>
      <w:r w:rsidR="000C7684" w:rsidRPr="0097679B">
        <w:rPr>
          <w:rFonts w:ascii="Arial" w:hAnsi="Arial" w:cs="Arial"/>
          <w:sz w:val="20"/>
          <w:szCs w:val="20"/>
        </w:rPr>
        <w:t xml:space="preserve"> fo</w:t>
      </w:r>
      <w:r w:rsidR="00B026D4">
        <w:rPr>
          <w:rFonts w:ascii="Arial" w:hAnsi="Arial" w:cs="Arial"/>
          <w:sz w:val="20"/>
          <w:szCs w:val="20"/>
        </w:rPr>
        <w:t>r other or unspecified purposes</w:t>
      </w:r>
      <w:r w:rsidR="000C7684" w:rsidRPr="0097679B">
        <w:rPr>
          <w:rFonts w:ascii="Arial" w:hAnsi="Arial" w:cs="Arial"/>
          <w:sz w:val="20"/>
          <w:szCs w:val="20"/>
        </w:rPr>
        <w:t xml:space="preserve">. </w:t>
      </w:r>
    </w:p>
    <w:p w14:paraId="232CDF7F" w14:textId="076A296B" w:rsidR="00927652" w:rsidRDefault="00927652" w:rsidP="00927652">
      <w:pPr>
        <w:spacing w:line="480" w:lineRule="auto"/>
        <w:rPr>
          <w:rFonts w:ascii="Arial" w:hAnsi="Arial" w:cs="Arial"/>
          <w:i/>
          <w:sz w:val="20"/>
          <w:szCs w:val="20"/>
        </w:rPr>
      </w:pPr>
      <w:r>
        <w:rPr>
          <w:rFonts w:ascii="Arial" w:hAnsi="Arial" w:cs="Arial"/>
          <w:i/>
          <w:sz w:val="20"/>
          <w:szCs w:val="20"/>
        </w:rPr>
        <w:t xml:space="preserve">3.1 </w:t>
      </w:r>
      <w:r w:rsidR="000C7684" w:rsidRPr="0097679B">
        <w:rPr>
          <w:rFonts w:ascii="Arial" w:hAnsi="Arial" w:cs="Arial"/>
          <w:i/>
          <w:sz w:val="20"/>
          <w:szCs w:val="20"/>
        </w:rPr>
        <w:t>Laminitis incidence</w:t>
      </w:r>
    </w:p>
    <w:p w14:paraId="0D7CCD20" w14:textId="25C95BB3" w:rsidR="00956EB7" w:rsidRPr="00927652" w:rsidRDefault="000C7684" w:rsidP="00927652">
      <w:pPr>
        <w:spacing w:line="480" w:lineRule="auto"/>
        <w:rPr>
          <w:rFonts w:ascii="Arial" w:hAnsi="Arial" w:cs="Arial"/>
          <w:i/>
          <w:sz w:val="20"/>
          <w:szCs w:val="20"/>
        </w:rPr>
      </w:pPr>
      <w:r w:rsidRPr="0097679B">
        <w:rPr>
          <w:rFonts w:ascii="Arial" w:hAnsi="Arial" w:cs="Arial"/>
          <w:sz w:val="20"/>
          <w:szCs w:val="20"/>
        </w:rPr>
        <w:t>The main follow-up period (1/10/2015-30/9/2019) included 891 pony-yea</w:t>
      </w:r>
      <w:r w:rsidR="00C66C6B" w:rsidRPr="0097679B">
        <w:rPr>
          <w:rFonts w:ascii="Arial" w:hAnsi="Arial" w:cs="Arial"/>
          <w:sz w:val="20"/>
          <w:szCs w:val="20"/>
        </w:rPr>
        <w:t>rs at risk</w:t>
      </w:r>
      <w:r w:rsidR="00125707">
        <w:rPr>
          <w:rFonts w:ascii="Arial" w:hAnsi="Arial" w:cs="Arial"/>
          <w:sz w:val="20"/>
          <w:szCs w:val="20"/>
        </w:rPr>
        <w:t xml:space="preserve"> during which</w:t>
      </w:r>
      <w:r w:rsidR="00C66C6B" w:rsidRPr="0097679B">
        <w:rPr>
          <w:rFonts w:ascii="Arial" w:hAnsi="Arial" w:cs="Arial"/>
          <w:sz w:val="20"/>
          <w:szCs w:val="20"/>
        </w:rPr>
        <w:t xml:space="preserve"> </w:t>
      </w:r>
      <w:r w:rsidR="00361C6B" w:rsidRPr="0097679B">
        <w:rPr>
          <w:rFonts w:ascii="Arial" w:hAnsi="Arial" w:cs="Arial"/>
          <w:sz w:val="20"/>
          <w:szCs w:val="20"/>
        </w:rPr>
        <w:t>43 cases of laminitis</w:t>
      </w:r>
      <w:r w:rsidR="00B026D4">
        <w:rPr>
          <w:rFonts w:ascii="Arial" w:hAnsi="Arial" w:cs="Arial"/>
          <w:sz w:val="20"/>
          <w:szCs w:val="20"/>
        </w:rPr>
        <w:t xml:space="preserve"> were reported</w:t>
      </w:r>
      <w:r w:rsidR="00771C82">
        <w:rPr>
          <w:rFonts w:ascii="Arial" w:hAnsi="Arial" w:cs="Arial"/>
          <w:sz w:val="20"/>
          <w:szCs w:val="20"/>
        </w:rPr>
        <w:t>,</w:t>
      </w:r>
      <w:r w:rsidRPr="0097679B">
        <w:rPr>
          <w:rFonts w:ascii="Arial" w:hAnsi="Arial" w:cs="Arial"/>
          <w:sz w:val="20"/>
          <w:szCs w:val="20"/>
        </w:rPr>
        <w:t xml:space="preserve"> of which 32 were </w:t>
      </w:r>
      <w:r w:rsidR="00584C79">
        <w:rPr>
          <w:rFonts w:ascii="Arial" w:hAnsi="Arial" w:cs="Arial"/>
          <w:sz w:val="20"/>
          <w:szCs w:val="20"/>
        </w:rPr>
        <w:t>veterinary-</w:t>
      </w:r>
      <w:r w:rsidRPr="0097679B">
        <w:rPr>
          <w:rFonts w:ascii="Arial" w:hAnsi="Arial" w:cs="Arial"/>
          <w:sz w:val="20"/>
          <w:szCs w:val="20"/>
        </w:rPr>
        <w:t>confirmed</w:t>
      </w:r>
      <w:r w:rsidR="00125707">
        <w:rPr>
          <w:rFonts w:ascii="Arial" w:hAnsi="Arial" w:cs="Arial"/>
          <w:sz w:val="20"/>
          <w:szCs w:val="20"/>
        </w:rPr>
        <w:t xml:space="preserve">. Of the </w:t>
      </w:r>
      <w:r w:rsidR="00C558F4">
        <w:rPr>
          <w:rFonts w:ascii="Arial" w:hAnsi="Arial" w:cs="Arial"/>
          <w:sz w:val="20"/>
          <w:szCs w:val="20"/>
        </w:rPr>
        <w:t xml:space="preserve">remaining </w:t>
      </w:r>
      <w:r w:rsidR="00584C79">
        <w:rPr>
          <w:rFonts w:ascii="Arial" w:hAnsi="Arial" w:cs="Arial"/>
          <w:sz w:val="20"/>
          <w:szCs w:val="20"/>
        </w:rPr>
        <w:t>11</w:t>
      </w:r>
      <w:r w:rsidR="00822EB3">
        <w:rPr>
          <w:rFonts w:ascii="Arial" w:hAnsi="Arial" w:cs="Arial"/>
          <w:sz w:val="20"/>
          <w:szCs w:val="20"/>
        </w:rPr>
        <w:t xml:space="preserve"> cases</w:t>
      </w:r>
      <w:r w:rsidR="00584C79">
        <w:rPr>
          <w:rFonts w:ascii="Arial" w:hAnsi="Arial" w:cs="Arial"/>
          <w:sz w:val="20"/>
          <w:szCs w:val="20"/>
        </w:rPr>
        <w:t>,</w:t>
      </w:r>
      <w:r w:rsidR="00E525DF" w:rsidRPr="0097679B">
        <w:rPr>
          <w:rFonts w:ascii="Arial" w:hAnsi="Arial" w:cs="Arial"/>
          <w:sz w:val="20"/>
          <w:szCs w:val="20"/>
        </w:rPr>
        <w:t xml:space="preserve"> </w:t>
      </w:r>
      <w:r w:rsidR="00822EB3">
        <w:rPr>
          <w:rFonts w:ascii="Arial" w:hAnsi="Arial" w:cs="Arial"/>
          <w:sz w:val="20"/>
          <w:szCs w:val="20"/>
        </w:rPr>
        <w:t xml:space="preserve">the </w:t>
      </w:r>
      <w:r w:rsidR="00E525DF" w:rsidRPr="0097679B">
        <w:rPr>
          <w:rFonts w:ascii="Arial" w:hAnsi="Arial" w:cs="Arial"/>
          <w:sz w:val="20"/>
          <w:szCs w:val="20"/>
        </w:rPr>
        <w:t>laminitis was diagnosed by</w:t>
      </w:r>
      <w:r w:rsidR="00322339" w:rsidRPr="0097679B">
        <w:rPr>
          <w:rFonts w:ascii="Arial" w:hAnsi="Arial" w:cs="Arial"/>
          <w:sz w:val="20"/>
          <w:szCs w:val="20"/>
        </w:rPr>
        <w:t xml:space="preserve"> a</w:t>
      </w:r>
      <w:r w:rsidR="00125707">
        <w:rPr>
          <w:rFonts w:ascii="Arial" w:hAnsi="Arial" w:cs="Arial"/>
          <w:sz w:val="20"/>
          <w:szCs w:val="20"/>
        </w:rPr>
        <w:t xml:space="preserve"> farrier in eight</w:t>
      </w:r>
      <w:r w:rsidR="00E525DF" w:rsidRPr="0097679B">
        <w:rPr>
          <w:rFonts w:ascii="Arial" w:hAnsi="Arial" w:cs="Arial"/>
          <w:sz w:val="20"/>
          <w:szCs w:val="20"/>
        </w:rPr>
        <w:t xml:space="preserve"> and by the owner/carer</w:t>
      </w:r>
      <w:r w:rsidR="00C558F4">
        <w:rPr>
          <w:rFonts w:ascii="Arial" w:hAnsi="Arial" w:cs="Arial"/>
          <w:sz w:val="20"/>
          <w:szCs w:val="20"/>
        </w:rPr>
        <w:t xml:space="preserve"> (all </w:t>
      </w:r>
      <w:r w:rsidR="00C558F4" w:rsidRPr="0097679B">
        <w:rPr>
          <w:rFonts w:ascii="Arial" w:hAnsi="Arial" w:cs="Arial"/>
          <w:sz w:val="20"/>
          <w:szCs w:val="20"/>
        </w:rPr>
        <w:t xml:space="preserve">experienced </w:t>
      </w:r>
      <w:r w:rsidR="00C558F4">
        <w:rPr>
          <w:rFonts w:ascii="Arial" w:hAnsi="Arial" w:cs="Arial"/>
          <w:sz w:val="20"/>
          <w:szCs w:val="20"/>
        </w:rPr>
        <w:t xml:space="preserve">riding school </w:t>
      </w:r>
      <w:r w:rsidR="00C558F4" w:rsidRPr="0097679B">
        <w:rPr>
          <w:rFonts w:ascii="Arial" w:hAnsi="Arial" w:cs="Arial"/>
          <w:sz w:val="20"/>
          <w:szCs w:val="20"/>
        </w:rPr>
        <w:t>owners/managers)</w:t>
      </w:r>
      <w:r w:rsidR="00E525DF" w:rsidRPr="0097679B">
        <w:rPr>
          <w:rFonts w:ascii="Arial" w:hAnsi="Arial" w:cs="Arial"/>
          <w:sz w:val="20"/>
          <w:szCs w:val="20"/>
        </w:rPr>
        <w:t xml:space="preserve"> in three</w:t>
      </w:r>
      <w:r w:rsidR="00B64213" w:rsidRPr="0097679B">
        <w:rPr>
          <w:rFonts w:ascii="Arial" w:hAnsi="Arial" w:cs="Arial"/>
          <w:sz w:val="20"/>
          <w:szCs w:val="20"/>
        </w:rPr>
        <w:t xml:space="preserve">. </w:t>
      </w:r>
      <w:r w:rsidR="00322339" w:rsidRPr="0097679B">
        <w:rPr>
          <w:rFonts w:ascii="Arial" w:hAnsi="Arial" w:cs="Arial"/>
          <w:sz w:val="20"/>
          <w:szCs w:val="20"/>
        </w:rPr>
        <w:t>One hundred and twenty</w:t>
      </w:r>
      <w:r w:rsidR="00BA39FF">
        <w:rPr>
          <w:rFonts w:ascii="Arial" w:hAnsi="Arial" w:cs="Arial"/>
          <w:sz w:val="20"/>
          <w:szCs w:val="20"/>
        </w:rPr>
        <w:t>-</w:t>
      </w:r>
      <w:r w:rsidR="00322339" w:rsidRPr="0097679B">
        <w:rPr>
          <w:rFonts w:ascii="Arial" w:hAnsi="Arial" w:cs="Arial"/>
          <w:sz w:val="20"/>
          <w:szCs w:val="20"/>
        </w:rPr>
        <w:t>five ponies left the cohort for reasons other than laminitis</w:t>
      </w:r>
      <w:r w:rsidR="00822EB3">
        <w:rPr>
          <w:rFonts w:ascii="Arial" w:hAnsi="Arial" w:cs="Arial"/>
          <w:sz w:val="20"/>
          <w:szCs w:val="20"/>
        </w:rPr>
        <w:t>,</w:t>
      </w:r>
      <w:r w:rsidR="00322339" w:rsidRPr="0097679B">
        <w:rPr>
          <w:rFonts w:ascii="Arial" w:hAnsi="Arial" w:cs="Arial"/>
          <w:sz w:val="20"/>
          <w:szCs w:val="20"/>
        </w:rPr>
        <w:t xml:space="preserve"> of which 34 died or were </w:t>
      </w:r>
      <w:r w:rsidR="00BA39FF">
        <w:rPr>
          <w:rFonts w:ascii="Arial" w:hAnsi="Arial" w:cs="Arial"/>
          <w:sz w:val="20"/>
          <w:szCs w:val="20"/>
        </w:rPr>
        <w:t>euthanised</w:t>
      </w:r>
      <w:r w:rsidR="00322339" w:rsidRPr="0097679B">
        <w:rPr>
          <w:rFonts w:ascii="Arial" w:hAnsi="Arial" w:cs="Arial"/>
          <w:sz w:val="20"/>
          <w:szCs w:val="20"/>
        </w:rPr>
        <w:t xml:space="preserve"> </w:t>
      </w:r>
      <w:r w:rsidR="00956EB7" w:rsidRPr="0097679B">
        <w:rPr>
          <w:rFonts w:ascii="Arial" w:hAnsi="Arial" w:cs="Arial"/>
          <w:sz w:val="20"/>
          <w:szCs w:val="20"/>
        </w:rPr>
        <w:t xml:space="preserve">and 70 </w:t>
      </w:r>
      <w:r w:rsidR="00322339" w:rsidRPr="0097679B">
        <w:rPr>
          <w:rFonts w:ascii="Arial" w:hAnsi="Arial" w:cs="Arial"/>
          <w:sz w:val="20"/>
          <w:szCs w:val="20"/>
        </w:rPr>
        <w:t>were moved or sold</w:t>
      </w:r>
      <w:r w:rsidR="00125707">
        <w:rPr>
          <w:rFonts w:ascii="Arial" w:hAnsi="Arial" w:cs="Arial"/>
          <w:sz w:val="20"/>
          <w:szCs w:val="20"/>
        </w:rPr>
        <w:t>. O</w:t>
      </w:r>
      <w:r w:rsidR="00956EB7" w:rsidRPr="0097679B">
        <w:rPr>
          <w:rFonts w:ascii="Arial" w:hAnsi="Arial" w:cs="Arial"/>
          <w:sz w:val="20"/>
          <w:szCs w:val="20"/>
        </w:rPr>
        <w:t>ther reasons for leaving the st</w:t>
      </w:r>
      <w:r w:rsidR="00125707">
        <w:rPr>
          <w:rFonts w:ascii="Arial" w:hAnsi="Arial" w:cs="Arial"/>
          <w:sz w:val="20"/>
          <w:szCs w:val="20"/>
        </w:rPr>
        <w:t>udy included exclusion</w:t>
      </w:r>
      <w:r w:rsidR="00956EB7" w:rsidRPr="0097679B">
        <w:rPr>
          <w:rFonts w:ascii="Arial" w:hAnsi="Arial" w:cs="Arial"/>
          <w:sz w:val="20"/>
          <w:szCs w:val="20"/>
        </w:rPr>
        <w:t xml:space="preserve"> for behavioural reasons</w:t>
      </w:r>
      <w:r w:rsidR="000211A3">
        <w:rPr>
          <w:rFonts w:ascii="Arial" w:hAnsi="Arial" w:cs="Arial"/>
          <w:sz w:val="20"/>
          <w:szCs w:val="20"/>
        </w:rPr>
        <w:t xml:space="preserve"> (n=9), becoming pregnant (n=5) </w:t>
      </w:r>
      <w:r w:rsidR="00956EB7" w:rsidRPr="0097679B">
        <w:rPr>
          <w:rFonts w:ascii="Arial" w:hAnsi="Arial" w:cs="Arial"/>
          <w:sz w:val="20"/>
          <w:szCs w:val="20"/>
        </w:rPr>
        <w:t xml:space="preserve">or </w:t>
      </w:r>
      <w:r w:rsidR="00C558F4">
        <w:rPr>
          <w:rFonts w:ascii="Arial" w:hAnsi="Arial" w:cs="Arial"/>
          <w:sz w:val="20"/>
          <w:szCs w:val="20"/>
        </w:rPr>
        <w:t>starting</w:t>
      </w:r>
      <w:r w:rsidR="00C558F4" w:rsidRPr="0097679B">
        <w:rPr>
          <w:rFonts w:ascii="Arial" w:hAnsi="Arial" w:cs="Arial"/>
          <w:sz w:val="20"/>
          <w:szCs w:val="20"/>
        </w:rPr>
        <w:t xml:space="preserve"> </w:t>
      </w:r>
      <w:r w:rsidR="00956EB7" w:rsidRPr="0097679B">
        <w:rPr>
          <w:rFonts w:ascii="Arial" w:hAnsi="Arial" w:cs="Arial"/>
          <w:sz w:val="20"/>
          <w:szCs w:val="20"/>
        </w:rPr>
        <w:t>pergolide treatment</w:t>
      </w:r>
      <w:r w:rsidR="000211A3">
        <w:rPr>
          <w:rFonts w:ascii="Arial" w:hAnsi="Arial" w:cs="Arial"/>
          <w:sz w:val="20"/>
          <w:szCs w:val="20"/>
        </w:rPr>
        <w:t xml:space="preserve"> (n=4)</w:t>
      </w:r>
      <w:r w:rsidR="00956EB7" w:rsidRPr="0097679B">
        <w:rPr>
          <w:rFonts w:ascii="Arial" w:hAnsi="Arial" w:cs="Arial"/>
          <w:sz w:val="20"/>
          <w:szCs w:val="20"/>
        </w:rPr>
        <w:t>. The number of ponies</w:t>
      </w:r>
      <w:r w:rsidR="00C66C6B" w:rsidRPr="0097679B">
        <w:rPr>
          <w:rFonts w:ascii="Arial" w:hAnsi="Arial" w:cs="Arial"/>
          <w:sz w:val="20"/>
          <w:szCs w:val="20"/>
        </w:rPr>
        <w:t xml:space="preserve"> included at each </w:t>
      </w:r>
      <w:r w:rsidR="000B5AB6">
        <w:rPr>
          <w:rFonts w:ascii="Arial" w:hAnsi="Arial" w:cs="Arial"/>
          <w:sz w:val="20"/>
          <w:szCs w:val="20"/>
        </w:rPr>
        <w:t>time period</w:t>
      </w:r>
      <w:r w:rsidR="00C66C6B" w:rsidRPr="0097679B">
        <w:rPr>
          <w:rFonts w:ascii="Arial" w:hAnsi="Arial" w:cs="Arial"/>
          <w:sz w:val="20"/>
          <w:szCs w:val="20"/>
        </w:rPr>
        <w:t>,</w:t>
      </w:r>
      <w:r w:rsidR="00956EB7" w:rsidRPr="0097679B">
        <w:rPr>
          <w:rFonts w:ascii="Arial" w:hAnsi="Arial" w:cs="Arial"/>
          <w:sz w:val="20"/>
          <w:szCs w:val="20"/>
        </w:rPr>
        <w:t xml:space="preserve"> the number of ca</w:t>
      </w:r>
      <w:r w:rsidR="00435C22" w:rsidRPr="0097679B">
        <w:rPr>
          <w:rFonts w:ascii="Arial" w:hAnsi="Arial" w:cs="Arial"/>
          <w:sz w:val="20"/>
          <w:szCs w:val="20"/>
        </w:rPr>
        <w:t xml:space="preserve">ses </w:t>
      </w:r>
      <w:r w:rsidR="00435C22" w:rsidRPr="0097679B">
        <w:rPr>
          <w:rFonts w:ascii="Arial" w:hAnsi="Arial" w:cs="Arial"/>
          <w:sz w:val="20"/>
          <w:szCs w:val="20"/>
        </w:rPr>
        <w:lastRenderedPageBreak/>
        <w:t>that developed</w:t>
      </w:r>
      <w:r w:rsidR="00C66C6B" w:rsidRPr="0097679B">
        <w:rPr>
          <w:rFonts w:ascii="Arial" w:hAnsi="Arial" w:cs="Arial"/>
          <w:sz w:val="20"/>
          <w:szCs w:val="20"/>
        </w:rPr>
        <w:t xml:space="preserve"> laminitis and t</w:t>
      </w:r>
      <w:r w:rsidR="00956EB7" w:rsidRPr="0097679B">
        <w:rPr>
          <w:rFonts w:ascii="Arial" w:hAnsi="Arial" w:cs="Arial"/>
          <w:sz w:val="20"/>
          <w:szCs w:val="20"/>
        </w:rPr>
        <w:t>he incid</w:t>
      </w:r>
      <w:r w:rsidR="009523B1" w:rsidRPr="0097679B">
        <w:rPr>
          <w:rFonts w:ascii="Arial" w:hAnsi="Arial" w:cs="Arial"/>
          <w:sz w:val="20"/>
          <w:szCs w:val="20"/>
        </w:rPr>
        <w:t>ence of laminitis are shown in T</w:t>
      </w:r>
      <w:r w:rsidR="00956EB7" w:rsidRPr="0097679B">
        <w:rPr>
          <w:rFonts w:ascii="Arial" w:hAnsi="Arial" w:cs="Arial"/>
          <w:sz w:val="20"/>
          <w:szCs w:val="20"/>
        </w:rPr>
        <w:t>able 1.</w:t>
      </w:r>
      <w:r w:rsidR="00DE48F4" w:rsidRPr="0097679B">
        <w:rPr>
          <w:rFonts w:ascii="Arial" w:hAnsi="Arial" w:cs="Arial"/>
          <w:sz w:val="20"/>
          <w:szCs w:val="20"/>
        </w:rPr>
        <w:t xml:space="preserve"> </w:t>
      </w:r>
      <w:r w:rsidR="00956EB7" w:rsidRPr="0097679B">
        <w:rPr>
          <w:rFonts w:ascii="Arial" w:hAnsi="Arial" w:cs="Arial"/>
          <w:sz w:val="20"/>
          <w:szCs w:val="20"/>
        </w:rPr>
        <w:t xml:space="preserve">The incidence of laminitis was </w:t>
      </w:r>
      <w:r w:rsidR="00C558F4">
        <w:rPr>
          <w:rFonts w:ascii="Arial" w:hAnsi="Arial" w:cs="Arial"/>
          <w:sz w:val="20"/>
          <w:szCs w:val="20"/>
        </w:rPr>
        <w:t>3.23 (1.64-7.14</w:t>
      </w:r>
      <w:r w:rsidR="00736272">
        <w:rPr>
          <w:rFonts w:ascii="Arial" w:hAnsi="Arial" w:cs="Arial"/>
          <w:sz w:val="20"/>
          <w:szCs w:val="20"/>
        </w:rPr>
        <w:t xml:space="preserve"> (95% C.I)</w:t>
      </w:r>
      <w:r w:rsidR="00C558F4">
        <w:rPr>
          <w:rFonts w:ascii="Arial" w:hAnsi="Arial" w:cs="Arial"/>
          <w:sz w:val="20"/>
          <w:szCs w:val="20"/>
        </w:rPr>
        <w:t xml:space="preserve">) times </w:t>
      </w:r>
      <w:r w:rsidR="00956EB7" w:rsidRPr="0097679B">
        <w:rPr>
          <w:rFonts w:ascii="Arial" w:hAnsi="Arial" w:cs="Arial"/>
          <w:sz w:val="20"/>
          <w:szCs w:val="20"/>
        </w:rPr>
        <w:t>lower i</w:t>
      </w:r>
      <w:r w:rsidR="00125707">
        <w:rPr>
          <w:rFonts w:ascii="Arial" w:hAnsi="Arial" w:cs="Arial"/>
          <w:sz w:val="20"/>
          <w:szCs w:val="20"/>
        </w:rPr>
        <w:t xml:space="preserve">n winter than summer </w:t>
      </w:r>
      <w:r w:rsidR="00697D44">
        <w:rPr>
          <w:rFonts w:ascii="Arial" w:hAnsi="Arial" w:cs="Arial"/>
          <w:sz w:val="20"/>
          <w:szCs w:val="20"/>
        </w:rPr>
        <w:t>(</w:t>
      </w:r>
      <w:r w:rsidR="00B420E0">
        <w:rPr>
          <w:rFonts w:ascii="Arial" w:hAnsi="Arial" w:cs="Arial"/>
          <w:sz w:val="20"/>
          <w:szCs w:val="20"/>
        </w:rPr>
        <w:t>p&lt;0.001</w:t>
      </w:r>
      <w:r w:rsidR="00697D44">
        <w:rPr>
          <w:rFonts w:ascii="Arial" w:hAnsi="Arial" w:cs="Arial"/>
          <w:sz w:val="20"/>
          <w:szCs w:val="20"/>
        </w:rPr>
        <w:t>)</w:t>
      </w:r>
      <w:r w:rsidR="00C66C6B" w:rsidRPr="0097679B">
        <w:rPr>
          <w:rFonts w:ascii="Arial" w:hAnsi="Arial" w:cs="Arial"/>
          <w:sz w:val="20"/>
          <w:szCs w:val="20"/>
        </w:rPr>
        <w:t xml:space="preserve">. </w:t>
      </w:r>
    </w:p>
    <w:p w14:paraId="5C7C49F8" w14:textId="12F0F6AC" w:rsidR="006D4655" w:rsidRPr="0097679B" w:rsidRDefault="00927652" w:rsidP="00322339">
      <w:pPr>
        <w:pStyle w:val="Thesisparagraph"/>
        <w:spacing w:line="480" w:lineRule="auto"/>
        <w:rPr>
          <w:rFonts w:ascii="Arial" w:hAnsi="Arial" w:cs="Arial"/>
          <w:sz w:val="20"/>
          <w:szCs w:val="20"/>
        </w:rPr>
      </w:pPr>
      <w:r>
        <w:rPr>
          <w:rFonts w:ascii="Arial" w:hAnsi="Arial" w:cs="Arial"/>
          <w:i/>
          <w:sz w:val="20"/>
          <w:szCs w:val="20"/>
        </w:rPr>
        <w:t xml:space="preserve">3.2 </w:t>
      </w:r>
      <w:r w:rsidR="006D4655">
        <w:rPr>
          <w:rFonts w:ascii="Arial" w:hAnsi="Arial" w:cs="Arial"/>
          <w:i/>
          <w:sz w:val="20"/>
          <w:szCs w:val="20"/>
        </w:rPr>
        <w:t>Risk factors for lam</w:t>
      </w:r>
      <w:r w:rsidR="00EA6A3D">
        <w:rPr>
          <w:rFonts w:ascii="Arial" w:hAnsi="Arial" w:cs="Arial"/>
          <w:i/>
          <w:sz w:val="20"/>
          <w:szCs w:val="20"/>
        </w:rPr>
        <w:t>initis (main analysis)</w:t>
      </w:r>
    </w:p>
    <w:p w14:paraId="0E8BB7A4" w14:textId="6FEC94F8" w:rsidR="00E874D7" w:rsidRPr="0097679B" w:rsidRDefault="00125707" w:rsidP="00C57AFD">
      <w:pPr>
        <w:spacing w:line="480" w:lineRule="auto"/>
        <w:rPr>
          <w:rFonts w:ascii="Arial" w:hAnsi="Arial" w:cs="Arial"/>
          <w:sz w:val="20"/>
          <w:szCs w:val="20"/>
        </w:rPr>
      </w:pPr>
      <w:r>
        <w:rPr>
          <w:rFonts w:ascii="Arial" w:hAnsi="Arial" w:cs="Arial"/>
          <w:sz w:val="20"/>
          <w:szCs w:val="20"/>
        </w:rPr>
        <w:t xml:space="preserve">The complete rate, data </w:t>
      </w:r>
      <w:r w:rsidR="00B03F80" w:rsidRPr="0097679B">
        <w:rPr>
          <w:rFonts w:ascii="Arial" w:hAnsi="Arial" w:cs="Arial"/>
          <w:sz w:val="20"/>
          <w:szCs w:val="20"/>
        </w:rPr>
        <w:t xml:space="preserve">distribution </w:t>
      </w:r>
      <w:r w:rsidR="00705D41" w:rsidRPr="0097679B">
        <w:rPr>
          <w:rFonts w:ascii="Arial" w:hAnsi="Arial" w:cs="Arial"/>
          <w:sz w:val="20"/>
          <w:szCs w:val="20"/>
        </w:rPr>
        <w:t>(</w:t>
      </w:r>
      <w:r w:rsidR="00027D83" w:rsidRPr="0097679B">
        <w:rPr>
          <w:rFonts w:ascii="Arial" w:hAnsi="Arial" w:cs="Arial"/>
          <w:sz w:val="20"/>
          <w:szCs w:val="20"/>
        </w:rPr>
        <w:t>and central tendency for con</w:t>
      </w:r>
      <w:r w:rsidR="00B03F80" w:rsidRPr="0097679B">
        <w:rPr>
          <w:rFonts w:ascii="Arial" w:hAnsi="Arial" w:cs="Arial"/>
          <w:sz w:val="20"/>
          <w:szCs w:val="20"/>
        </w:rPr>
        <w:t>tinuous variables</w:t>
      </w:r>
      <w:r w:rsidR="00705D41" w:rsidRPr="0097679B">
        <w:rPr>
          <w:rFonts w:ascii="Arial" w:hAnsi="Arial" w:cs="Arial"/>
          <w:sz w:val="20"/>
          <w:szCs w:val="20"/>
        </w:rPr>
        <w:t>)</w:t>
      </w:r>
      <w:r w:rsidR="00B03F80" w:rsidRPr="0097679B">
        <w:rPr>
          <w:rFonts w:ascii="Arial" w:hAnsi="Arial" w:cs="Arial"/>
          <w:sz w:val="20"/>
          <w:szCs w:val="20"/>
        </w:rPr>
        <w:t xml:space="preserve"> are shown in Supplement</w:t>
      </w:r>
      <w:r w:rsidR="00027D83" w:rsidRPr="0097679B">
        <w:rPr>
          <w:rFonts w:ascii="Arial" w:hAnsi="Arial" w:cs="Arial"/>
          <w:sz w:val="20"/>
          <w:szCs w:val="20"/>
        </w:rPr>
        <w:t>ary material 4</w:t>
      </w:r>
      <w:r w:rsidR="00705D41" w:rsidRPr="0097679B">
        <w:rPr>
          <w:rFonts w:ascii="Arial" w:hAnsi="Arial" w:cs="Arial"/>
          <w:sz w:val="20"/>
          <w:szCs w:val="20"/>
        </w:rPr>
        <w:t xml:space="preserve"> for variables collected as potential predictors of laminitis. </w:t>
      </w:r>
      <w:r w:rsidR="00E874D7" w:rsidRPr="0097679B">
        <w:rPr>
          <w:rFonts w:ascii="Arial" w:hAnsi="Arial" w:cs="Arial"/>
          <w:sz w:val="20"/>
          <w:szCs w:val="20"/>
        </w:rPr>
        <w:t>The initial time-dependent Cox proportional-hazards model</w:t>
      </w:r>
      <w:r w:rsidR="00705D41" w:rsidRPr="0097679B">
        <w:rPr>
          <w:rFonts w:ascii="Arial" w:hAnsi="Arial" w:cs="Arial"/>
          <w:sz w:val="20"/>
          <w:szCs w:val="20"/>
        </w:rPr>
        <w:t>s are shown in Table 2</w:t>
      </w:r>
      <w:r w:rsidR="001E2D72" w:rsidRPr="0097679B">
        <w:rPr>
          <w:rFonts w:ascii="Arial" w:hAnsi="Arial" w:cs="Arial"/>
          <w:sz w:val="20"/>
          <w:szCs w:val="20"/>
        </w:rPr>
        <w:t>. For the model using the OST, [I</w:t>
      </w:r>
      <w:r w:rsidR="00E874D7" w:rsidRPr="0097679B">
        <w:rPr>
          <w:rFonts w:ascii="Arial" w:hAnsi="Arial" w:cs="Arial"/>
          <w:sz w:val="20"/>
          <w:szCs w:val="20"/>
        </w:rPr>
        <w:t>nsulin</w:t>
      </w:r>
      <w:r w:rsidR="001E2D72" w:rsidRPr="0097679B">
        <w:rPr>
          <w:rFonts w:ascii="Arial" w:hAnsi="Arial" w:cs="Arial"/>
          <w:sz w:val="20"/>
          <w:szCs w:val="20"/>
        </w:rPr>
        <w:t>]T60</w:t>
      </w:r>
      <w:r w:rsidR="00E874D7" w:rsidRPr="0097679B">
        <w:rPr>
          <w:rFonts w:ascii="Arial" w:hAnsi="Arial" w:cs="Arial"/>
          <w:sz w:val="20"/>
          <w:szCs w:val="20"/>
        </w:rPr>
        <w:t xml:space="preserve"> was selected </w:t>
      </w:r>
      <w:r w:rsidR="00F952AB">
        <w:rPr>
          <w:rFonts w:ascii="Arial" w:hAnsi="Arial" w:cs="Arial"/>
          <w:sz w:val="20"/>
          <w:szCs w:val="20"/>
        </w:rPr>
        <w:t>over</w:t>
      </w:r>
      <w:r w:rsidR="001E2D72" w:rsidRPr="0097679B">
        <w:rPr>
          <w:rFonts w:ascii="Arial" w:hAnsi="Arial" w:cs="Arial"/>
          <w:sz w:val="20"/>
          <w:szCs w:val="20"/>
        </w:rPr>
        <w:t xml:space="preserve"> [insulin]T30 as the mean response at T60 was </w:t>
      </w:r>
      <w:r w:rsidR="00F952AB">
        <w:rPr>
          <w:rFonts w:ascii="Arial" w:hAnsi="Arial" w:cs="Arial"/>
          <w:sz w:val="20"/>
          <w:szCs w:val="20"/>
        </w:rPr>
        <w:t>larger</w:t>
      </w:r>
      <w:r w:rsidR="00E874D7" w:rsidRPr="0097679B">
        <w:rPr>
          <w:rFonts w:ascii="Arial" w:hAnsi="Arial" w:cs="Arial"/>
          <w:sz w:val="20"/>
          <w:szCs w:val="20"/>
        </w:rPr>
        <w:t xml:space="preserve">. </w:t>
      </w:r>
      <w:r w:rsidR="009F3E61" w:rsidRPr="0097679B">
        <w:rPr>
          <w:rFonts w:ascii="Arial" w:hAnsi="Arial" w:cs="Arial"/>
          <w:sz w:val="20"/>
          <w:szCs w:val="20"/>
        </w:rPr>
        <w:t>The model using blood analytes with [insulin]T60</w:t>
      </w:r>
      <w:r w:rsidR="00D564E1" w:rsidRPr="0097679B">
        <w:rPr>
          <w:rFonts w:ascii="Arial" w:hAnsi="Arial" w:cs="Arial"/>
          <w:sz w:val="20"/>
          <w:szCs w:val="20"/>
        </w:rPr>
        <w:t xml:space="preserve"> </w:t>
      </w:r>
      <w:r w:rsidR="00116F72">
        <w:rPr>
          <w:rFonts w:ascii="Arial" w:hAnsi="Arial" w:cs="Arial"/>
          <w:sz w:val="20"/>
          <w:szCs w:val="20"/>
        </w:rPr>
        <w:t>had the</w:t>
      </w:r>
      <w:r w:rsidR="00D564E1" w:rsidRPr="0097679B">
        <w:rPr>
          <w:rFonts w:ascii="Arial" w:hAnsi="Arial" w:cs="Arial"/>
          <w:sz w:val="20"/>
          <w:szCs w:val="20"/>
        </w:rPr>
        <w:t xml:space="preserve"> hig</w:t>
      </w:r>
      <w:r w:rsidR="006D796D" w:rsidRPr="0097679B">
        <w:rPr>
          <w:rFonts w:ascii="Arial" w:hAnsi="Arial" w:cs="Arial"/>
          <w:sz w:val="20"/>
          <w:szCs w:val="20"/>
        </w:rPr>
        <w:t>hest concorda</w:t>
      </w:r>
      <w:r w:rsidR="001E2D72" w:rsidRPr="0097679B">
        <w:rPr>
          <w:rFonts w:ascii="Arial" w:hAnsi="Arial" w:cs="Arial"/>
          <w:sz w:val="20"/>
          <w:szCs w:val="20"/>
        </w:rPr>
        <w:t>nce</w:t>
      </w:r>
      <w:r w:rsidR="00116F72">
        <w:rPr>
          <w:rFonts w:ascii="Arial" w:hAnsi="Arial" w:cs="Arial"/>
          <w:sz w:val="20"/>
          <w:szCs w:val="20"/>
        </w:rPr>
        <w:t xml:space="preserve"> (and highest R</w:t>
      </w:r>
      <w:r w:rsidR="00116F72">
        <w:rPr>
          <w:rFonts w:ascii="Arial" w:hAnsi="Arial" w:cs="Arial"/>
          <w:sz w:val="20"/>
          <w:szCs w:val="20"/>
          <w:vertAlign w:val="superscript"/>
        </w:rPr>
        <w:t>2</w:t>
      </w:r>
      <w:r w:rsidR="00116F72">
        <w:rPr>
          <w:rFonts w:ascii="Arial" w:hAnsi="Arial" w:cs="Arial"/>
          <w:sz w:val="20"/>
          <w:szCs w:val="20"/>
        </w:rPr>
        <w:t xml:space="preserve"> of explained variation)</w:t>
      </w:r>
      <w:r w:rsidR="006D796D" w:rsidRPr="0097679B">
        <w:rPr>
          <w:rFonts w:ascii="Arial" w:hAnsi="Arial" w:cs="Arial"/>
          <w:sz w:val="20"/>
          <w:szCs w:val="20"/>
        </w:rPr>
        <w:t>. All models contained factors with statistically significant hazard ratios. Significant contributors to laminitis risk included a higher body condition score, evidence of divergent hoof growth, the presence of hypertrichosis on veterinary examination, incre</w:t>
      </w:r>
      <w:r>
        <w:rPr>
          <w:rFonts w:ascii="Arial" w:hAnsi="Arial" w:cs="Arial"/>
          <w:sz w:val="20"/>
          <w:szCs w:val="20"/>
        </w:rPr>
        <w:t xml:space="preserve">asing age, higher [insulin]T0 and </w:t>
      </w:r>
      <w:r w:rsidR="006D796D" w:rsidRPr="0097679B">
        <w:rPr>
          <w:rFonts w:ascii="Arial" w:hAnsi="Arial" w:cs="Arial"/>
          <w:sz w:val="20"/>
          <w:szCs w:val="20"/>
        </w:rPr>
        <w:t>[insulin]</w:t>
      </w:r>
      <w:r>
        <w:rPr>
          <w:rFonts w:ascii="Arial" w:hAnsi="Arial" w:cs="Arial"/>
          <w:sz w:val="20"/>
          <w:szCs w:val="20"/>
        </w:rPr>
        <w:t>T60, lower [adiponectin] and lower</w:t>
      </w:r>
      <w:r w:rsidR="006D796D" w:rsidRPr="0097679B">
        <w:rPr>
          <w:rFonts w:ascii="Arial" w:hAnsi="Arial" w:cs="Arial"/>
          <w:sz w:val="20"/>
          <w:szCs w:val="20"/>
        </w:rPr>
        <w:t xml:space="preserve"> </w:t>
      </w:r>
      <w:r w:rsidR="00F952AB">
        <w:rPr>
          <w:rFonts w:ascii="Arial" w:hAnsi="Arial" w:cs="Arial"/>
          <w:sz w:val="20"/>
          <w:szCs w:val="20"/>
        </w:rPr>
        <w:t xml:space="preserve">exercise </w:t>
      </w:r>
      <w:r w:rsidR="006D796D" w:rsidRPr="0097679B">
        <w:rPr>
          <w:rFonts w:ascii="Arial" w:hAnsi="Arial" w:cs="Arial"/>
          <w:sz w:val="20"/>
          <w:szCs w:val="20"/>
        </w:rPr>
        <w:t>levels and/or intens</w:t>
      </w:r>
      <w:r w:rsidR="00AA49D3" w:rsidRPr="0097679B">
        <w:rPr>
          <w:rFonts w:ascii="Arial" w:hAnsi="Arial" w:cs="Arial"/>
          <w:sz w:val="20"/>
          <w:szCs w:val="20"/>
        </w:rPr>
        <w:t>ity. The combined time-dependent Cox-proportional-hazards models are shown in Table 3</w:t>
      </w:r>
      <w:r w:rsidR="006D796D" w:rsidRPr="0097679B">
        <w:rPr>
          <w:rFonts w:ascii="Arial" w:hAnsi="Arial" w:cs="Arial"/>
          <w:sz w:val="20"/>
          <w:szCs w:val="20"/>
        </w:rPr>
        <w:t xml:space="preserve">. All variables </w:t>
      </w:r>
      <w:r w:rsidR="00F952AB">
        <w:rPr>
          <w:rFonts w:ascii="Arial" w:hAnsi="Arial" w:cs="Arial"/>
          <w:sz w:val="20"/>
          <w:szCs w:val="20"/>
        </w:rPr>
        <w:t>included</w:t>
      </w:r>
      <w:r w:rsidR="006D796D" w:rsidRPr="0097679B">
        <w:rPr>
          <w:rFonts w:ascii="Arial" w:hAnsi="Arial" w:cs="Arial"/>
          <w:sz w:val="20"/>
          <w:szCs w:val="20"/>
        </w:rPr>
        <w:t xml:space="preserve"> in the combined models were retained other than </w:t>
      </w:r>
      <w:r w:rsidR="002472F9" w:rsidRPr="0097679B">
        <w:rPr>
          <w:rFonts w:ascii="Arial" w:hAnsi="Arial" w:cs="Arial"/>
          <w:sz w:val="20"/>
          <w:szCs w:val="20"/>
        </w:rPr>
        <w:t>the presence of veterinary</w:t>
      </w:r>
      <w:r w:rsidR="009F0DF5" w:rsidRPr="0097679B">
        <w:rPr>
          <w:rFonts w:ascii="Arial" w:hAnsi="Arial" w:cs="Arial"/>
          <w:sz w:val="20"/>
          <w:szCs w:val="20"/>
        </w:rPr>
        <w:t>-</w:t>
      </w:r>
      <w:r w:rsidR="002472F9" w:rsidRPr="0097679B">
        <w:rPr>
          <w:rFonts w:ascii="Arial" w:hAnsi="Arial" w:cs="Arial"/>
          <w:sz w:val="20"/>
          <w:szCs w:val="20"/>
        </w:rPr>
        <w:t>assessed hypertichosis and age. There were slight differences</w:t>
      </w:r>
      <w:r w:rsidR="004D6E78">
        <w:rPr>
          <w:rFonts w:ascii="Arial" w:hAnsi="Arial" w:cs="Arial"/>
          <w:sz w:val="20"/>
          <w:szCs w:val="20"/>
        </w:rPr>
        <w:t xml:space="preserve"> in </w:t>
      </w:r>
      <w:r w:rsidR="002472F9" w:rsidRPr="0097679B">
        <w:rPr>
          <w:rFonts w:ascii="Arial" w:hAnsi="Arial" w:cs="Arial"/>
          <w:sz w:val="20"/>
          <w:szCs w:val="20"/>
        </w:rPr>
        <w:t>the fit of the two models</w:t>
      </w:r>
      <w:r w:rsidR="002E6B55">
        <w:rPr>
          <w:rFonts w:ascii="Arial" w:hAnsi="Arial" w:cs="Arial"/>
          <w:sz w:val="20"/>
          <w:szCs w:val="20"/>
        </w:rPr>
        <w:t>,</w:t>
      </w:r>
      <w:r w:rsidR="002472F9" w:rsidRPr="0097679B">
        <w:rPr>
          <w:rFonts w:ascii="Arial" w:hAnsi="Arial" w:cs="Arial"/>
          <w:sz w:val="20"/>
          <w:szCs w:val="20"/>
        </w:rPr>
        <w:t xml:space="preserve"> bu</w:t>
      </w:r>
      <w:r w:rsidR="009F0DF5" w:rsidRPr="0097679B">
        <w:rPr>
          <w:rFonts w:ascii="Arial" w:hAnsi="Arial" w:cs="Arial"/>
          <w:sz w:val="20"/>
          <w:szCs w:val="20"/>
        </w:rPr>
        <w:t>t the concordance values suggest</w:t>
      </w:r>
      <w:r w:rsidR="002472F9" w:rsidRPr="0097679B">
        <w:rPr>
          <w:rFonts w:ascii="Arial" w:hAnsi="Arial" w:cs="Arial"/>
          <w:sz w:val="20"/>
          <w:szCs w:val="20"/>
        </w:rPr>
        <w:t xml:space="preserve"> no significant difference in predictive powe</w:t>
      </w:r>
      <w:r w:rsidR="004D6E78">
        <w:rPr>
          <w:rFonts w:ascii="Arial" w:hAnsi="Arial" w:cs="Arial"/>
          <w:sz w:val="20"/>
          <w:szCs w:val="20"/>
        </w:rPr>
        <w:t>r</w:t>
      </w:r>
      <w:r w:rsidR="002472F9" w:rsidRPr="0097679B">
        <w:rPr>
          <w:rFonts w:ascii="Arial" w:hAnsi="Arial" w:cs="Arial"/>
          <w:sz w:val="20"/>
          <w:szCs w:val="20"/>
        </w:rPr>
        <w:t xml:space="preserve">. Univariable analysis of the statistically significant predictor variables from the combined models is shown in </w:t>
      </w:r>
      <w:r w:rsidR="009F0DF5" w:rsidRPr="0097679B">
        <w:rPr>
          <w:rFonts w:ascii="Arial" w:hAnsi="Arial" w:cs="Arial"/>
          <w:sz w:val="20"/>
          <w:szCs w:val="20"/>
        </w:rPr>
        <w:t>Table 4</w:t>
      </w:r>
      <w:r w:rsidR="004D6E78">
        <w:rPr>
          <w:rFonts w:ascii="Arial" w:hAnsi="Arial" w:cs="Arial"/>
          <w:sz w:val="20"/>
          <w:szCs w:val="20"/>
        </w:rPr>
        <w:t xml:space="preserve"> and suggests that</w:t>
      </w:r>
      <w:r w:rsidR="002472F9" w:rsidRPr="0097679B">
        <w:rPr>
          <w:rFonts w:ascii="Arial" w:hAnsi="Arial" w:cs="Arial"/>
          <w:sz w:val="20"/>
          <w:szCs w:val="20"/>
        </w:rPr>
        <w:t xml:space="preserve"> little additional predictive power (as indicated by model concordance) was achieved by the combined multivariable models compared with assessing only a single blood analyte (in particular [insulin]T60).</w:t>
      </w:r>
      <w:r w:rsidR="004D6E78">
        <w:rPr>
          <w:rFonts w:ascii="Arial" w:hAnsi="Arial" w:cs="Arial"/>
          <w:sz w:val="20"/>
          <w:szCs w:val="20"/>
        </w:rPr>
        <w:t xml:space="preserve"> For illustration, univariable, time-dependent Cox proportional hazard models for all variables considered for inclusion in the analysis are shown in Supplementary item 5. </w:t>
      </w:r>
      <w:r w:rsidR="002472F9" w:rsidRPr="0097679B">
        <w:rPr>
          <w:rFonts w:ascii="Arial" w:hAnsi="Arial" w:cs="Arial"/>
          <w:sz w:val="20"/>
          <w:szCs w:val="20"/>
        </w:rPr>
        <w:t xml:space="preserve"> </w:t>
      </w:r>
      <w:r w:rsidR="006D796D" w:rsidRPr="0097679B">
        <w:rPr>
          <w:rFonts w:ascii="Arial" w:hAnsi="Arial" w:cs="Arial"/>
          <w:sz w:val="20"/>
          <w:szCs w:val="20"/>
        </w:rPr>
        <w:t xml:space="preserve"> </w:t>
      </w:r>
    </w:p>
    <w:p w14:paraId="7E12CF1E" w14:textId="23FA56E3" w:rsidR="006D4655" w:rsidRDefault="00037B43" w:rsidP="00C57AFD">
      <w:pPr>
        <w:spacing w:line="480" w:lineRule="auto"/>
        <w:rPr>
          <w:rFonts w:ascii="Arial" w:hAnsi="Arial" w:cs="Arial"/>
          <w:sz w:val="20"/>
          <w:szCs w:val="20"/>
        </w:rPr>
      </w:pPr>
      <w:r w:rsidRPr="0097679B">
        <w:rPr>
          <w:rFonts w:ascii="Arial" w:hAnsi="Arial" w:cs="Arial"/>
          <w:sz w:val="20"/>
          <w:szCs w:val="20"/>
        </w:rPr>
        <w:t>Plots to</w:t>
      </w:r>
      <w:r w:rsidR="002472F9" w:rsidRPr="0097679B">
        <w:rPr>
          <w:rFonts w:ascii="Arial" w:hAnsi="Arial" w:cs="Arial"/>
          <w:sz w:val="20"/>
          <w:szCs w:val="20"/>
        </w:rPr>
        <w:t xml:space="preserve"> illustrate laminitis </w:t>
      </w:r>
      <w:r w:rsidR="00F952AB">
        <w:rPr>
          <w:rFonts w:ascii="Arial" w:hAnsi="Arial" w:cs="Arial"/>
          <w:sz w:val="20"/>
          <w:szCs w:val="20"/>
        </w:rPr>
        <w:t xml:space="preserve">risk </w:t>
      </w:r>
      <w:r w:rsidR="0097679B" w:rsidRPr="0097679B">
        <w:rPr>
          <w:rFonts w:ascii="Arial" w:hAnsi="Arial" w:cs="Arial"/>
          <w:sz w:val="20"/>
          <w:szCs w:val="20"/>
        </w:rPr>
        <w:t xml:space="preserve">in different categories (low, medium and </w:t>
      </w:r>
      <w:r w:rsidR="00946A7D" w:rsidRPr="0097679B">
        <w:rPr>
          <w:rFonts w:ascii="Arial" w:hAnsi="Arial" w:cs="Arial"/>
          <w:sz w:val="20"/>
          <w:szCs w:val="20"/>
        </w:rPr>
        <w:t>high-risk</w:t>
      </w:r>
      <w:r w:rsidR="0097679B" w:rsidRPr="0097679B">
        <w:rPr>
          <w:rFonts w:ascii="Arial" w:hAnsi="Arial" w:cs="Arial"/>
          <w:sz w:val="20"/>
          <w:szCs w:val="20"/>
        </w:rPr>
        <w:t>)</w:t>
      </w:r>
      <w:r w:rsidR="002472F9" w:rsidRPr="0097679B">
        <w:rPr>
          <w:rFonts w:ascii="Arial" w:hAnsi="Arial" w:cs="Arial"/>
          <w:sz w:val="20"/>
          <w:szCs w:val="20"/>
        </w:rPr>
        <w:t xml:space="preserve"> of the main</w:t>
      </w:r>
      <w:r w:rsidRPr="0097679B">
        <w:rPr>
          <w:rFonts w:ascii="Arial" w:hAnsi="Arial" w:cs="Arial"/>
          <w:sz w:val="20"/>
          <w:szCs w:val="20"/>
        </w:rPr>
        <w:t xml:space="preserve"> blood analyte</w:t>
      </w:r>
      <w:r w:rsidR="002472F9" w:rsidRPr="0097679B">
        <w:rPr>
          <w:rFonts w:ascii="Arial" w:hAnsi="Arial" w:cs="Arial"/>
          <w:sz w:val="20"/>
          <w:szCs w:val="20"/>
        </w:rPr>
        <w:t xml:space="preserve"> predictor variables</w:t>
      </w:r>
      <w:r w:rsidR="0097679B" w:rsidRPr="0097679B">
        <w:rPr>
          <w:rFonts w:ascii="Arial" w:hAnsi="Arial" w:cs="Arial"/>
          <w:sz w:val="20"/>
          <w:szCs w:val="20"/>
        </w:rPr>
        <w:t xml:space="preserve"> are shown in Figure 1</w:t>
      </w:r>
      <w:r w:rsidRPr="0097679B">
        <w:rPr>
          <w:rFonts w:ascii="Arial" w:hAnsi="Arial" w:cs="Arial"/>
          <w:sz w:val="20"/>
          <w:szCs w:val="20"/>
        </w:rPr>
        <w:t>.</w:t>
      </w:r>
      <w:r w:rsidR="006E5455">
        <w:rPr>
          <w:rFonts w:ascii="Arial" w:hAnsi="Arial" w:cs="Arial"/>
          <w:sz w:val="20"/>
          <w:szCs w:val="20"/>
        </w:rPr>
        <w:t xml:space="preserve"> </w:t>
      </w:r>
      <w:r w:rsidR="004D6E78">
        <w:rPr>
          <w:rFonts w:ascii="Arial" w:hAnsi="Arial" w:cs="Arial"/>
          <w:sz w:val="20"/>
          <w:szCs w:val="20"/>
        </w:rPr>
        <w:t>The</w:t>
      </w:r>
      <w:r w:rsidR="00A0478E">
        <w:rPr>
          <w:rFonts w:ascii="Arial" w:hAnsi="Arial" w:cs="Arial"/>
          <w:sz w:val="20"/>
          <w:szCs w:val="20"/>
        </w:rPr>
        <w:t xml:space="preserve"> estimated</w:t>
      </w:r>
      <w:r w:rsidR="004D6E78">
        <w:rPr>
          <w:rFonts w:ascii="Arial" w:hAnsi="Arial" w:cs="Arial"/>
          <w:sz w:val="20"/>
          <w:szCs w:val="20"/>
        </w:rPr>
        <w:t xml:space="preserve"> </w:t>
      </w:r>
      <w:r w:rsidRPr="0097679B">
        <w:rPr>
          <w:rFonts w:ascii="Arial" w:hAnsi="Arial" w:cs="Arial"/>
          <w:sz w:val="20"/>
          <w:szCs w:val="20"/>
        </w:rPr>
        <w:t>hazard ratios associated with each risk</w:t>
      </w:r>
      <w:r w:rsidR="00A0478E">
        <w:rPr>
          <w:rFonts w:ascii="Arial" w:hAnsi="Arial" w:cs="Arial"/>
          <w:sz w:val="20"/>
          <w:szCs w:val="20"/>
        </w:rPr>
        <w:t xml:space="preserve"> </w:t>
      </w:r>
      <w:r w:rsidR="002E6B55">
        <w:rPr>
          <w:rFonts w:ascii="Arial" w:hAnsi="Arial" w:cs="Arial"/>
          <w:sz w:val="20"/>
          <w:szCs w:val="20"/>
        </w:rPr>
        <w:t>category</w:t>
      </w:r>
      <w:r w:rsidR="00A0478E">
        <w:rPr>
          <w:rFonts w:ascii="Arial" w:hAnsi="Arial" w:cs="Arial"/>
          <w:sz w:val="20"/>
          <w:szCs w:val="20"/>
        </w:rPr>
        <w:t>, and four-year</w:t>
      </w:r>
      <w:r w:rsidRPr="0097679B">
        <w:rPr>
          <w:rFonts w:ascii="Arial" w:hAnsi="Arial" w:cs="Arial"/>
          <w:sz w:val="20"/>
          <w:szCs w:val="20"/>
        </w:rPr>
        <w:t xml:space="preserve"> </w:t>
      </w:r>
      <w:r w:rsidR="00A0478E">
        <w:rPr>
          <w:rFonts w:ascii="Arial" w:hAnsi="Arial" w:cs="Arial"/>
          <w:sz w:val="20"/>
          <w:szCs w:val="20"/>
        </w:rPr>
        <w:t>cumulative incidence</w:t>
      </w:r>
      <w:r w:rsidRPr="0097679B">
        <w:rPr>
          <w:rFonts w:ascii="Arial" w:hAnsi="Arial" w:cs="Arial"/>
          <w:sz w:val="20"/>
          <w:szCs w:val="20"/>
        </w:rPr>
        <w:t xml:space="preserve"> are shown in </w:t>
      </w:r>
      <w:r w:rsidR="00C91938">
        <w:rPr>
          <w:rFonts w:ascii="Arial" w:hAnsi="Arial" w:cs="Arial"/>
          <w:sz w:val="20"/>
          <w:szCs w:val="20"/>
        </w:rPr>
        <w:t xml:space="preserve">Table 5. </w:t>
      </w:r>
    </w:p>
    <w:p w14:paraId="002F6122" w14:textId="05B80EE8" w:rsidR="00EA6A3D" w:rsidRPr="00EA6A3D" w:rsidRDefault="00927652" w:rsidP="00C57AFD">
      <w:pPr>
        <w:spacing w:line="480" w:lineRule="auto"/>
        <w:rPr>
          <w:rFonts w:ascii="Arial" w:hAnsi="Arial" w:cs="Arial"/>
          <w:sz w:val="20"/>
          <w:szCs w:val="20"/>
        </w:rPr>
      </w:pPr>
      <w:r>
        <w:rPr>
          <w:rFonts w:ascii="Arial" w:hAnsi="Arial" w:cs="Arial"/>
          <w:i/>
          <w:sz w:val="20"/>
          <w:szCs w:val="20"/>
        </w:rPr>
        <w:t xml:space="preserve">3.3 </w:t>
      </w:r>
      <w:r w:rsidR="00EA6A3D">
        <w:rPr>
          <w:rFonts w:ascii="Arial" w:hAnsi="Arial" w:cs="Arial"/>
          <w:i/>
          <w:sz w:val="20"/>
          <w:szCs w:val="20"/>
        </w:rPr>
        <w:t>Risk factors for laminitis (ACTH analysis)</w:t>
      </w:r>
    </w:p>
    <w:p w14:paraId="4D34DD52" w14:textId="6E6B8258" w:rsidR="00037B43" w:rsidRPr="0097679B" w:rsidRDefault="001C2196" w:rsidP="00C57AFD">
      <w:pPr>
        <w:spacing w:line="480" w:lineRule="auto"/>
        <w:rPr>
          <w:rFonts w:ascii="Arial" w:hAnsi="Arial" w:cs="Arial"/>
          <w:sz w:val="20"/>
          <w:szCs w:val="20"/>
        </w:rPr>
      </w:pPr>
      <w:r w:rsidRPr="00EA6A3D">
        <w:rPr>
          <w:rFonts w:ascii="Arial" w:hAnsi="Arial" w:cs="Arial"/>
          <w:sz w:val="20"/>
          <w:szCs w:val="20"/>
        </w:rPr>
        <w:t xml:space="preserve">Univariable analysis </w:t>
      </w:r>
      <w:r w:rsidRPr="0097679B">
        <w:rPr>
          <w:rFonts w:ascii="Arial" w:hAnsi="Arial" w:cs="Arial"/>
          <w:sz w:val="20"/>
          <w:szCs w:val="20"/>
        </w:rPr>
        <w:t xml:space="preserve">of the </w:t>
      </w:r>
      <w:r w:rsidR="00946A7D" w:rsidRPr="0097679B">
        <w:rPr>
          <w:rFonts w:ascii="Arial" w:hAnsi="Arial" w:cs="Arial"/>
          <w:sz w:val="20"/>
          <w:szCs w:val="20"/>
        </w:rPr>
        <w:t>six-month</w:t>
      </w:r>
      <w:r w:rsidRPr="0097679B">
        <w:rPr>
          <w:rFonts w:ascii="Arial" w:hAnsi="Arial" w:cs="Arial"/>
          <w:sz w:val="20"/>
          <w:szCs w:val="20"/>
        </w:rPr>
        <w:t xml:space="preserve"> </w:t>
      </w:r>
      <w:r w:rsidR="00070C34">
        <w:rPr>
          <w:rFonts w:ascii="Arial" w:hAnsi="Arial" w:cs="Arial"/>
          <w:sz w:val="20"/>
          <w:szCs w:val="20"/>
        </w:rPr>
        <w:t>periods</w:t>
      </w:r>
      <w:r w:rsidRPr="0097679B">
        <w:rPr>
          <w:rFonts w:ascii="Arial" w:hAnsi="Arial" w:cs="Arial"/>
          <w:sz w:val="20"/>
          <w:szCs w:val="20"/>
        </w:rPr>
        <w:t xml:space="preserve"> </w:t>
      </w:r>
      <w:r w:rsidR="00A0478E">
        <w:rPr>
          <w:rFonts w:ascii="Arial" w:hAnsi="Arial" w:cs="Arial"/>
          <w:sz w:val="20"/>
          <w:szCs w:val="20"/>
        </w:rPr>
        <w:t xml:space="preserve">during the main follow-up period </w:t>
      </w:r>
      <w:r w:rsidRPr="0097679B">
        <w:rPr>
          <w:rFonts w:ascii="Arial" w:hAnsi="Arial" w:cs="Arial"/>
          <w:sz w:val="20"/>
          <w:szCs w:val="20"/>
        </w:rPr>
        <w:t>revealed no significant association between either absolute [ACTH] or dichot</w:t>
      </w:r>
      <w:r>
        <w:rPr>
          <w:rFonts w:ascii="Arial" w:hAnsi="Arial" w:cs="Arial"/>
          <w:sz w:val="20"/>
          <w:szCs w:val="20"/>
        </w:rPr>
        <w:t xml:space="preserve">omised ‘ACTH positive’ variable and laminitis. </w:t>
      </w:r>
      <w:r w:rsidR="00EA6A3D">
        <w:rPr>
          <w:rFonts w:ascii="Arial" w:hAnsi="Arial" w:cs="Arial"/>
          <w:sz w:val="20"/>
          <w:szCs w:val="20"/>
        </w:rPr>
        <w:t>During the additional six-months of follow up (1/10/19-31/3/20) re</w:t>
      </w:r>
      <w:r>
        <w:rPr>
          <w:rFonts w:ascii="Arial" w:hAnsi="Arial" w:cs="Arial"/>
          <w:sz w:val="20"/>
          <w:szCs w:val="20"/>
        </w:rPr>
        <w:t>quired for separate analysis of spring and autumn ACTH</w:t>
      </w:r>
      <w:r w:rsidR="00EA6A3D">
        <w:rPr>
          <w:rFonts w:ascii="Arial" w:hAnsi="Arial" w:cs="Arial"/>
          <w:sz w:val="20"/>
          <w:szCs w:val="20"/>
        </w:rPr>
        <w:t>, one additional case of laminitis was suspected (by an experienced owner</w:t>
      </w:r>
      <w:r>
        <w:rPr>
          <w:rFonts w:ascii="Arial" w:hAnsi="Arial" w:cs="Arial"/>
          <w:sz w:val="20"/>
          <w:szCs w:val="20"/>
        </w:rPr>
        <w:t xml:space="preserve">). </w:t>
      </w:r>
      <w:r>
        <w:rPr>
          <w:rFonts w:ascii="Arial" w:hAnsi="Arial" w:cs="Arial"/>
          <w:sz w:val="20"/>
          <w:szCs w:val="20"/>
        </w:rPr>
        <w:lastRenderedPageBreak/>
        <w:t>T</w:t>
      </w:r>
      <w:r w:rsidR="00037B43" w:rsidRPr="0097679B">
        <w:rPr>
          <w:rFonts w:ascii="Arial" w:hAnsi="Arial" w:cs="Arial"/>
          <w:sz w:val="20"/>
          <w:szCs w:val="20"/>
        </w:rPr>
        <w:t>here was no association between [ACTH] and laminitis for sam</w:t>
      </w:r>
      <w:r w:rsidR="00B420E0">
        <w:rPr>
          <w:rFonts w:ascii="Arial" w:hAnsi="Arial" w:cs="Arial"/>
          <w:sz w:val="20"/>
          <w:szCs w:val="20"/>
        </w:rPr>
        <w:t>ples taken in the spring (p=0.1</w:t>
      </w:r>
      <w:r w:rsidR="00037B43" w:rsidRPr="0097679B">
        <w:rPr>
          <w:rFonts w:ascii="Arial" w:hAnsi="Arial" w:cs="Arial"/>
          <w:sz w:val="20"/>
          <w:szCs w:val="20"/>
        </w:rPr>
        <w:t>). In the autumn</w:t>
      </w:r>
      <w:r>
        <w:rPr>
          <w:rFonts w:ascii="Arial" w:hAnsi="Arial" w:cs="Arial"/>
          <w:sz w:val="20"/>
          <w:szCs w:val="20"/>
        </w:rPr>
        <w:t>,</w:t>
      </w:r>
      <w:r w:rsidR="00037B43" w:rsidRPr="0097679B">
        <w:rPr>
          <w:rFonts w:ascii="Arial" w:hAnsi="Arial" w:cs="Arial"/>
          <w:sz w:val="20"/>
          <w:szCs w:val="20"/>
        </w:rPr>
        <w:t xml:space="preserve"> [ACTH]</w:t>
      </w:r>
      <w:r w:rsidR="00116811">
        <w:rPr>
          <w:rFonts w:ascii="Arial" w:hAnsi="Arial" w:cs="Arial"/>
          <w:sz w:val="20"/>
          <w:szCs w:val="20"/>
          <w:vertAlign w:val="subscript"/>
        </w:rPr>
        <w:t>10</w:t>
      </w:r>
      <w:r w:rsidR="00037B43" w:rsidRPr="0097679B">
        <w:rPr>
          <w:rFonts w:ascii="Arial" w:hAnsi="Arial" w:cs="Arial"/>
          <w:sz w:val="20"/>
          <w:szCs w:val="20"/>
        </w:rPr>
        <w:t xml:space="preserve"> (divided by 10 to rescale) was associated with a </w:t>
      </w:r>
      <w:r w:rsidR="00F952AB">
        <w:rPr>
          <w:rFonts w:ascii="Arial" w:hAnsi="Arial" w:cs="Arial"/>
          <w:sz w:val="20"/>
          <w:szCs w:val="20"/>
        </w:rPr>
        <w:t>small</w:t>
      </w:r>
      <w:r w:rsidR="00F952AB" w:rsidRPr="0097679B">
        <w:rPr>
          <w:rFonts w:ascii="Arial" w:hAnsi="Arial" w:cs="Arial"/>
          <w:sz w:val="20"/>
          <w:szCs w:val="20"/>
        </w:rPr>
        <w:t xml:space="preserve"> </w:t>
      </w:r>
      <w:r w:rsidR="00037B43" w:rsidRPr="0097679B">
        <w:rPr>
          <w:rFonts w:ascii="Arial" w:hAnsi="Arial" w:cs="Arial"/>
          <w:sz w:val="20"/>
          <w:szCs w:val="20"/>
        </w:rPr>
        <w:t>increase</w:t>
      </w:r>
      <w:r w:rsidR="00F952AB">
        <w:rPr>
          <w:rFonts w:ascii="Arial" w:hAnsi="Arial" w:cs="Arial"/>
          <w:sz w:val="20"/>
          <w:szCs w:val="20"/>
        </w:rPr>
        <w:t>d</w:t>
      </w:r>
      <w:r w:rsidR="00037B43" w:rsidRPr="0097679B">
        <w:rPr>
          <w:rFonts w:ascii="Arial" w:hAnsi="Arial" w:cs="Arial"/>
          <w:sz w:val="20"/>
          <w:szCs w:val="20"/>
        </w:rPr>
        <w:t xml:space="preserve"> </w:t>
      </w:r>
      <w:r w:rsidR="00F952AB">
        <w:rPr>
          <w:rFonts w:ascii="Arial" w:hAnsi="Arial" w:cs="Arial"/>
          <w:sz w:val="20"/>
          <w:szCs w:val="20"/>
        </w:rPr>
        <w:t>risk</w:t>
      </w:r>
      <w:r w:rsidR="00037B43" w:rsidRPr="0097679B">
        <w:rPr>
          <w:rFonts w:ascii="Arial" w:hAnsi="Arial" w:cs="Arial"/>
          <w:sz w:val="20"/>
          <w:szCs w:val="20"/>
        </w:rPr>
        <w:t xml:space="preserve"> of laminitis </w:t>
      </w:r>
      <w:r w:rsidR="00ED243F">
        <w:rPr>
          <w:rFonts w:ascii="Arial" w:hAnsi="Arial" w:cs="Arial"/>
          <w:sz w:val="20"/>
          <w:szCs w:val="20"/>
        </w:rPr>
        <w:t>(</w:t>
      </w:r>
      <w:r>
        <w:rPr>
          <w:rFonts w:ascii="Arial" w:hAnsi="Arial" w:cs="Arial"/>
          <w:sz w:val="20"/>
          <w:szCs w:val="20"/>
        </w:rPr>
        <w:t>estimated hazard ratio (</w:t>
      </w:r>
      <w:r w:rsidR="00C9324C" w:rsidRPr="0097679B">
        <w:rPr>
          <w:rFonts w:ascii="Arial" w:hAnsi="Arial" w:cs="Arial"/>
          <w:sz w:val="20"/>
          <w:szCs w:val="20"/>
        </w:rPr>
        <w:t>95% CI) of 1</w:t>
      </w:r>
      <w:r w:rsidR="00874FA4">
        <w:rPr>
          <w:rFonts w:ascii="Arial" w:hAnsi="Arial" w:cs="Arial"/>
          <w:sz w:val="20"/>
          <w:szCs w:val="20"/>
        </w:rPr>
        <w:t>.02 (1.00</w:t>
      </w:r>
      <w:r w:rsidR="00C9324C" w:rsidRPr="0097679B">
        <w:rPr>
          <w:rFonts w:ascii="Arial" w:hAnsi="Arial" w:cs="Arial"/>
          <w:sz w:val="20"/>
          <w:szCs w:val="20"/>
        </w:rPr>
        <w:t>-1.03) (p=0.009)</w:t>
      </w:r>
      <w:r w:rsidR="00ED243F">
        <w:rPr>
          <w:rFonts w:ascii="Arial" w:hAnsi="Arial" w:cs="Arial"/>
          <w:sz w:val="20"/>
          <w:szCs w:val="20"/>
        </w:rPr>
        <w:t>)</w:t>
      </w:r>
      <w:r w:rsidR="00C9324C" w:rsidRPr="0097679B">
        <w:rPr>
          <w:rFonts w:ascii="Arial" w:hAnsi="Arial" w:cs="Arial"/>
          <w:sz w:val="20"/>
          <w:szCs w:val="20"/>
        </w:rPr>
        <w:t xml:space="preserve">. However, </w:t>
      </w:r>
      <w:r w:rsidR="00ED243F">
        <w:rPr>
          <w:rFonts w:ascii="Arial" w:hAnsi="Arial" w:cs="Arial"/>
          <w:sz w:val="20"/>
          <w:szCs w:val="20"/>
        </w:rPr>
        <w:t>w</w:t>
      </w:r>
      <w:r w:rsidR="00ED243F" w:rsidRPr="0097679B">
        <w:rPr>
          <w:rFonts w:ascii="Arial" w:hAnsi="Arial" w:cs="Arial"/>
          <w:sz w:val="20"/>
          <w:szCs w:val="20"/>
        </w:rPr>
        <w:t xml:space="preserve">hen </w:t>
      </w:r>
      <w:r w:rsidR="00C9324C" w:rsidRPr="0097679B">
        <w:rPr>
          <w:rFonts w:ascii="Arial" w:hAnsi="Arial" w:cs="Arial"/>
          <w:sz w:val="20"/>
          <w:szCs w:val="20"/>
        </w:rPr>
        <w:t>[insulin]</w:t>
      </w:r>
      <w:r>
        <w:rPr>
          <w:rFonts w:ascii="Arial" w:hAnsi="Arial" w:cs="Arial"/>
          <w:sz w:val="20"/>
          <w:szCs w:val="20"/>
        </w:rPr>
        <w:t>T0</w:t>
      </w:r>
      <w:r w:rsidR="00C9324C" w:rsidRPr="0097679B">
        <w:rPr>
          <w:rFonts w:ascii="Arial" w:hAnsi="Arial" w:cs="Arial"/>
          <w:sz w:val="20"/>
          <w:szCs w:val="20"/>
        </w:rPr>
        <w:t xml:space="preserve"> was added to the models, an independent association between autum</w:t>
      </w:r>
      <w:r>
        <w:rPr>
          <w:rFonts w:ascii="Arial" w:hAnsi="Arial" w:cs="Arial"/>
          <w:sz w:val="20"/>
          <w:szCs w:val="20"/>
        </w:rPr>
        <w:t>n [ACTH] and laminitis risk was</w:t>
      </w:r>
      <w:r w:rsidR="00223BF4">
        <w:rPr>
          <w:rFonts w:ascii="Arial" w:hAnsi="Arial" w:cs="Arial"/>
          <w:sz w:val="20"/>
          <w:szCs w:val="20"/>
        </w:rPr>
        <w:t xml:space="preserve"> unlikely and</w:t>
      </w:r>
      <w:r w:rsidR="00C9324C" w:rsidRPr="0097679B">
        <w:rPr>
          <w:rFonts w:ascii="Arial" w:hAnsi="Arial" w:cs="Arial"/>
          <w:sz w:val="20"/>
          <w:szCs w:val="20"/>
        </w:rPr>
        <w:t xml:space="preserve"> not statistical</w:t>
      </w:r>
      <w:r w:rsidR="002A777D">
        <w:rPr>
          <w:rFonts w:ascii="Arial" w:hAnsi="Arial" w:cs="Arial"/>
          <w:sz w:val="20"/>
          <w:szCs w:val="20"/>
        </w:rPr>
        <w:t>ly significant (p=0.1 and p=</w:t>
      </w:r>
      <w:r w:rsidR="00223BF4">
        <w:rPr>
          <w:rFonts w:ascii="Arial" w:hAnsi="Arial" w:cs="Arial"/>
          <w:sz w:val="20"/>
          <w:szCs w:val="20"/>
        </w:rPr>
        <w:t>&gt;0.9</w:t>
      </w:r>
      <w:r w:rsidR="00C9324C" w:rsidRPr="0097679B">
        <w:rPr>
          <w:rFonts w:ascii="Arial" w:hAnsi="Arial" w:cs="Arial"/>
          <w:sz w:val="20"/>
          <w:szCs w:val="20"/>
        </w:rPr>
        <w:t xml:space="preserve"> for autumn and spring respectively).</w:t>
      </w:r>
      <w:r>
        <w:rPr>
          <w:rFonts w:ascii="Arial" w:hAnsi="Arial" w:cs="Arial"/>
          <w:sz w:val="20"/>
          <w:szCs w:val="20"/>
        </w:rPr>
        <w:t xml:space="preserve"> Similar results occurred if </w:t>
      </w:r>
      <w:r w:rsidR="00C9324C" w:rsidRPr="0097679B">
        <w:rPr>
          <w:rFonts w:ascii="Arial" w:hAnsi="Arial" w:cs="Arial"/>
          <w:sz w:val="20"/>
          <w:szCs w:val="20"/>
        </w:rPr>
        <w:t>[insulin]</w:t>
      </w:r>
      <w:r>
        <w:rPr>
          <w:rFonts w:ascii="Arial" w:hAnsi="Arial" w:cs="Arial"/>
          <w:sz w:val="20"/>
          <w:szCs w:val="20"/>
        </w:rPr>
        <w:t>T60</w:t>
      </w:r>
      <w:r w:rsidR="00C9324C" w:rsidRPr="0097679B">
        <w:rPr>
          <w:rFonts w:ascii="Arial" w:hAnsi="Arial" w:cs="Arial"/>
          <w:sz w:val="20"/>
          <w:szCs w:val="20"/>
        </w:rPr>
        <w:t xml:space="preserve"> was added to the models (p=</w:t>
      </w:r>
      <w:r w:rsidR="002A777D">
        <w:rPr>
          <w:rFonts w:ascii="Arial" w:hAnsi="Arial" w:cs="Arial"/>
          <w:sz w:val="20"/>
          <w:szCs w:val="20"/>
        </w:rPr>
        <w:t>0.9 and p=0.4</w:t>
      </w:r>
      <w:r w:rsidR="00A84425" w:rsidRPr="0097679B">
        <w:rPr>
          <w:rFonts w:ascii="Arial" w:hAnsi="Arial" w:cs="Arial"/>
          <w:sz w:val="20"/>
          <w:szCs w:val="20"/>
        </w:rPr>
        <w:t xml:space="preserve"> for autumn and spring respectively). </w:t>
      </w:r>
    </w:p>
    <w:p w14:paraId="1DBA7E2B" w14:textId="5F013CDE" w:rsidR="0040589E" w:rsidRPr="0097679B" w:rsidRDefault="0040589E" w:rsidP="00C57AFD">
      <w:pPr>
        <w:spacing w:line="480" w:lineRule="auto"/>
        <w:rPr>
          <w:rFonts w:ascii="Arial" w:hAnsi="Arial" w:cs="Arial"/>
          <w:sz w:val="20"/>
          <w:szCs w:val="20"/>
        </w:rPr>
      </w:pPr>
      <w:r w:rsidRPr="0097679B">
        <w:rPr>
          <w:rFonts w:ascii="Arial" w:hAnsi="Arial" w:cs="Arial"/>
          <w:sz w:val="20"/>
          <w:szCs w:val="20"/>
        </w:rPr>
        <w:t xml:space="preserve">4 </w:t>
      </w:r>
      <w:r w:rsidRPr="001C2196">
        <w:rPr>
          <w:rFonts w:ascii="Arial" w:hAnsi="Arial" w:cs="Arial"/>
          <w:i/>
          <w:sz w:val="20"/>
          <w:szCs w:val="20"/>
        </w:rPr>
        <w:t>Discussion</w:t>
      </w:r>
    </w:p>
    <w:p w14:paraId="4D88F2CE" w14:textId="29C317B8" w:rsidR="00A84425" w:rsidRPr="0097679B" w:rsidRDefault="00A84425" w:rsidP="00C57AFD">
      <w:pPr>
        <w:spacing w:line="480" w:lineRule="auto"/>
        <w:rPr>
          <w:rFonts w:ascii="Arial" w:hAnsi="Arial" w:cs="Arial"/>
          <w:sz w:val="20"/>
          <w:szCs w:val="20"/>
        </w:rPr>
      </w:pPr>
      <w:r w:rsidRPr="0097679B">
        <w:rPr>
          <w:rFonts w:ascii="Arial" w:hAnsi="Arial" w:cs="Arial"/>
          <w:sz w:val="20"/>
          <w:szCs w:val="20"/>
        </w:rPr>
        <w:t xml:space="preserve">The </w:t>
      </w:r>
      <w:r w:rsidR="001C2196">
        <w:rPr>
          <w:rFonts w:ascii="Arial" w:hAnsi="Arial" w:cs="Arial"/>
          <w:sz w:val="20"/>
          <w:szCs w:val="20"/>
        </w:rPr>
        <w:t>incidence</w:t>
      </w:r>
      <w:r w:rsidRPr="0097679B">
        <w:rPr>
          <w:rFonts w:ascii="Arial" w:hAnsi="Arial" w:cs="Arial"/>
          <w:sz w:val="20"/>
          <w:szCs w:val="20"/>
        </w:rPr>
        <w:t xml:space="preserve"> of laminitis in the present study of 4.8 cases per 10</w:t>
      </w:r>
      <w:r w:rsidR="008575B1" w:rsidRPr="0097679B">
        <w:rPr>
          <w:rFonts w:ascii="Arial" w:hAnsi="Arial" w:cs="Arial"/>
          <w:sz w:val="20"/>
          <w:szCs w:val="20"/>
        </w:rPr>
        <w:t>0 pony years is consistent with</w:t>
      </w:r>
      <w:r w:rsidRPr="0097679B">
        <w:rPr>
          <w:rFonts w:ascii="Arial" w:hAnsi="Arial" w:cs="Arial"/>
          <w:sz w:val="20"/>
          <w:szCs w:val="20"/>
        </w:rPr>
        <w:t xml:space="preserve"> a previous study </w:t>
      </w:r>
      <w:r w:rsidRPr="0097679B">
        <w:rPr>
          <w:rFonts w:ascii="Arial" w:hAnsi="Arial" w:cs="Arial"/>
          <w:sz w:val="20"/>
          <w:szCs w:val="20"/>
        </w:rPr>
        <w:fldChar w:fldCharType="begin" w:fldLock="1"/>
      </w:r>
      <w:r w:rsidRPr="0097679B">
        <w:rPr>
          <w:rFonts w:ascii="Arial" w:hAnsi="Arial" w:cs="Arial"/>
          <w:sz w:val="20"/>
          <w:szCs w:val="20"/>
        </w:rPr>
        <w:instrText>ADDIN CSL_CITATION {"citationItems":[{"id":"ITEM-1","itemData":{"DOI":"10.1111/evj.12606","ISSN":"20423306","PMID":"27363591","abstract":"Background: Certain individuals appear to be predisposed to recurrent pasture-associated laminitis. Previous studies have predominantly investigated risk factors only after disease occurrence. Objectives: To investigate risk factors for pasture-associated laminitis prior to disease occurrence. Study design: Prospective cohort study. Methods: Non-laminitic ponies aged ≥7 years were recruited. Body condition score (BCS), height, weight, crest height and thickness were measured and an overnight dexamethasone suppression test performed. Plasma or serum adiponectin, leptin, triglyceride, basal insulin, insulin post-dexamethasone, insulin-like growth factor 1 (IGF-1), IGF binding protein 1 (IGFBP-1), IGFBP-3, C-reactive protein, von Willebrand's factor, soluble E-selectin and P-selectin concentrations were assayed. Follow-up data were obtained from owners annually for 3 years to ascertain occurrences of veterinarian-diagnosed pasture-associated laminitis. Data were analysed by multivariate logistic regression. Receiver operating characteristic (ROC) curves analysis was performed for significant risk factors and cut-off values determined. Results: A total of 446 animals with a median (interquartile range) age of 15 (10–20) years were recruited. Of these, 50.4% were mares and 49.6% were geldings. The most common breeds were Welsh (36.4%), Shetland (17.0%) and cob (9.4%). Overall, 72.2% of animals were overweight/obese (BCS 7–9/9), 27.3% were of ideal weight (BCS 4–6/9) and 0.5% were underweight (BCS 1–3/9). After 1, 2 and 3 years, respectively, 18 (4.0%), 30 (6.7%) and 44 (9.9%) animals were reported to have had laminitis. Plasma adiponectin, and serum basal (insulin) and (insulin) post-dexamethasone levels were significantly (P ≤ 0.05) associated with laminitis occurrence cumulatively after 1, 2 and 3 years. Use of the area under the ROC curves to distinguish animals that did and did not develop laminitis showed good (basal [insulin] after 1 year), fair (all others) or poor ([insulin] post-dexamethasone) levels of accuracy. Main limitations: Animals were evaluated at a single time point and biomarkers were assayed using single assays. Conclusions: Risk factors for future laminitis prior to disease occurrence include low plasma adiponectin and high serum basal insulin or insulin post-dexamethasone concentrations.","author":[{"dropping-particle":"","family":"Menzies-Gow","given":"N. J.","non-dropping-particle":"","parse-names":false,"suffix":""},{"dropping-particle":"","family":"Harris","given":"P. A.","non-dropping-particle":"","parse-names":false,"suffix":""},{"dropping-particle":"","family":"Elliott","given":"J.","non-dropping-particle":"","parse-names":false,"suffix":""}],"container-title":"Equine Veterinary Journal","id":"ITEM-1","issue":"3","issued":{"date-parts":[["2017"]]},"page":"300-306","title":"Prospective cohort study evaluating risk factors for the development of pasture-associated laminitis in the United Kingdom","type":"article-journal","volume":"49"},"uris":["http://www.mendeley.com/documents/?uuid=530b422b-8c05-4d48-808a-1833dde3a0ba"]}],"mendeley":{"formattedCitation":"[5]","plainTextFormattedCitation":"[5]","previouslyFormattedCitation":"[5]"},"properties":{"noteIndex":0},"schema":"https://github.com/citation-style-language/schema/raw/master/csl-citation.json"}</w:instrText>
      </w:r>
      <w:r w:rsidRPr="0097679B">
        <w:rPr>
          <w:rFonts w:ascii="Arial" w:hAnsi="Arial" w:cs="Arial"/>
          <w:sz w:val="20"/>
          <w:szCs w:val="20"/>
        </w:rPr>
        <w:fldChar w:fldCharType="separate"/>
      </w:r>
      <w:r w:rsidRPr="0097679B">
        <w:rPr>
          <w:rFonts w:ascii="Arial" w:hAnsi="Arial" w:cs="Arial"/>
          <w:noProof/>
          <w:sz w:val="20"/>
          <w:szCs w:val="20"/>
        </w:rPr>
        <w:t>[5]</w:t>
      </w:r>
      <w:r w:rsidRPr="0097679B">
        <w:rPr>
          <w:rFonts w:ascii="Arial" w:hAnsi="Arial" w:cs="Arial"/>
          <w:sz w:val="20"/>
          <w:szCs w:val="20"/>
        </w:rPr>
        <w:fldChar w:fldCharType="end"/>
      </w:r>
      <w:r w:rsidRPr="0097679B">
        <w:rPr>
          <w:rFonts w:ascii="Arial" w:hAnsi="Arial" w:cs="Arial"/>
          <w:sz w:val="20"/>
          <w:szCs w:val="20"/>
        </w:rPr>
        <w:t xml:space="preserve"> and indicates the significant burden of laminitis in such </w:t>
      </w:r>
      <w:r w:rsidR="00D43269">
        <w:rPr>
          <w:rFonts w:ascii="Arial" w:hAnsi="Arial" w:cs="Arial"/>
          <w:sz w:val="20"/>
          <w:szCs w:val="20"/>
        </w:rPr>
        <w:t xml:space="preserve">pony </w:t>
      </w:r>
      <w:r w:rsidRPr="0097679B">
        <w:rPr>
          <w:rFonts w:ascii="Arial" w:hAnsi="Arial" w:cs="Arial"/>
          <w:sz w:val="20"/>
          <w:szCs w:val="20"/>
        </w:rPr>
        <w:t xml:space="preserve">populations. </w:t>
      </w:r>
      <w:r w:rsidR="00D43269">
        <w:rPr>
          <w:rFonts w:ascii="Arial" w:hAnsi="Arial" w:cs="Arial"/>
          <w:sz w:val="20"/>
          <w:szCs w:val="20"/>
        </w:rPr>
        <w:t>I</w:t>
      </w:r>
      <w:r w:rsidRPr="0097679B">
        <w:rPr>
          <w:rFonts w:ascii="Arial" w:hAnsi="Arial" w:cs="Arial"/>
          <w:sz w:val="20"/>
          <w:szCs w:val="20"/>
        </w:rPr>
        <w:t>nclusion of owner</w:t>
      </w:r>
      <w:r w:rsidR="008575B1" w:rsidRPr="0097679B">
        <w:rPr>
          <w:rFonts w:ascii="Arial" w:hAnsi="Arial" w:cs="Arial"/>
          <w:sz w:val="20"/>
          <w:szCs w:val="20"/>
        </w:rPr>
        <w:t>/farrier-</w:t>
      </w:r>
      <w:r w:rsidRPr="0097679B">
        <w:rPr>
          <w:rFonts w:ascii="Arial" w:hAnsi="Arial" w:cs="Arial"/>
          <w:sz w:val="20"/>
          <w:szCs w:val="20"/>
        </w:rPr>
        <w:t xml:space="preserve">suspected </w:t>
      </w:r>
      <w:r w:rsidR="00D43269">
        <w:rPr>
          <w:rFonts w:ascii="Arial" w:hAnsi="Arial" w:cs="Arial"/>
          <w:sz w:val="20"/>
          <w:szCs w:val="20"/>
        </w:rPr>
        <w:t xml:space="preserve">laminitis </w:t>
      </w:r>
      <w:r w:rsidRPr="0097679B">
        <w:rPr>
          <w:rFonts w:ascii="Arial" w:hAnsi="Arial" w:cs="Arial"/>
          <w:sz w:val="20"/>
          <w:szCs w:val="20"/>
        </w:rPr>
        <w:t>cases was supported by a recent study demonstrat</w:t>
      </w:r>
      <w:r w:rsidR="00D43269">
        <w:rPr>
          <w:rFonts w:ascii="Arial" w:hAnsi="Arial" w:cs="Arial"/>
          <w:sz w:val="20"/>
          <w:szCs w:val="20"/>
        </w:rPr>
        <w:t>ing</w:t>
      </w:r>
      <w:r w:rsidRPr="0097679B">
        <w:rPr>
          <w:rFonts w:ascii="Arial" w:hAnsi="Arial" w:cs="Arial"/>
          <w:sz w:val="20"/>
          <w:szCs w:val="20"/>
        </w:rPr>
        <w:t xml:space="preserve"> the specificity (but not sensitivity) of owners to recognise laminitis </w:t>
      </w:r>
      <w:r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{"citationItems":[{"id":"ITEM-1","itemData":{"DOI":"10.1111/evj.12704","ISSN":"20423306","abstract":"Background: Use of owner-reported data could further epidemiological knowledge of equine laminitis. However, owner recognition of laminitis has not previously been assessed. Objectives: The primary objective was to establish whether cases of owner-suspected laminitis would be confirmed as laminitis by the attending veterinary surgeon. Secondary objectives were to compare owner- and veterinary-reported information from veterinary-confirmed cases of equine laminitis. Study design: Cross-sectional study. Methods: Twenty-five British veterinary practices were invited to submit laminitis reporting forms (LRFs) for active laminitis cases attended between January 2014 and October 2015; detailing 27 clinical signs, 5 underlying conditions and 7 risk factors associated with laminitis. Owners were invited to independently complete a modified LRF if reason for the veterinary visit was suspicion of laminitis. Differences between paired veterinary and owner LRFs, and between cases where owners did and did not recognise laminitis, were assessed using McNemar's and Fisher's Exact tests, respectively. Results: Veterinary LRFs were received for 93 veterinary-diagnosed laminitis cases. All 51 owner-suspected cases were confirmed by veterinary diagnosis, with the remaining 42 (45.2%) not recognised as laminitis by owners. Undefined lameness, foot abscesses, colic and stiffness were common reasons for owner-requested veterinary visits in owner-unrecognised cases. ‘Divergent growth rings’ (prevalence difference: +27.3%, P = 0.01) and ‘breed type’ (prevalence difference: +21.2%, P = 0.04) were more commonly reported by veterinary surgeons in owner-recognised compared to owner-unrecognised cases. ‘Difficulty turning’, ‘shifting weight’ and risk factor ‘body condition’ were more frequently reported by veterinary surgeons whilst ‘increased hoof temperature’ was reported more frequently by owners. Main limitations: The limited clinical data restricted statistical inferences regarding the secondary objectives. Conclusions: All owner-suspected laminitis cases were confirmed upon veterinary examination, showing validity for the inclusion of owner-reported cases in future epidemiological studies. However, failure of laminitis recognition by owners highlights further need for evidence-based education to ensure early disease detection.","author":[{"dropping-particle":"","family":"Pollard","given":"D.","non-dropping-particle":"","parse-names":false,"suffix":""},{"dropping-particle":"","family":"Wylie","given":"C E","non-dropping-particle":"","parse-names":false,"suffix":""},{"dropping-particle":"","family":"Verheyen","given":"K. L.P.","non-dropping-particle":"","parse-names":false,"suffix":""},{"dropping-particle":"","family":"Newton","given":"J. R.","non-dropping-particle":"","parse-names":false,"suffix":""}],"container-title":"Equine Veterinary Journal","id":"ITEM-1","issue":"6","issued":{"date-parts":[["2017"]]},"page":"759-766","title":"Assessment of horse owners’ ability to recognise equine laminitis: A cross-sectional study of 93 veterinary diagnosed cases in Great Britain","type":"article-journal","volume":"49"},"uris":["http://www.mendeley.com/documents/?uuid=9cc3a35e-31b6-4fe8-9793-978c39646702"]}],"mendeley":{"formattedCitation":"[19]","plainTextFormattedCitation":"[19]","previouslyFormattedCitation":"[19]"},"properties":{"noteIndex":0},"schema":"https://github.com/citation-style-language/schema/raw/master/csl-citation.json"}</w:instrText>
      </w:r>
      <w:r w:rsidRPr="0097679B">
        <w:rPr>
          <w:rFonts w:ascii="Arial" w:hAnsi="Arial" w:cs="Arial"/>
          <w:sz w:val="20"/>
          <w:szCs w:val="20"/>
        </w:rPr>
        <w:fldChar w:fldCharType="separate"/>
      </w:r>
      <w:r w:rsidR="00501B35" w:rsidRPr="00501B35">
        <w:rPr>
          <w:rFonts w:ascii="Arial" w:hAnsi="Arial" w:cs="Arial"/>
          <w:noProof/>
          <w:sz w:val="20"/>
          <w:szCs w:val="20"/>
        </w:rPr>
        <w:t>[19]</w:t>
      </w:r>
      <w:r w:rsidRPr="0097679B">
        <w:rPr>
          <w:rFonts w:ascii="Arial" w:hAnsi="Arial" w:cs="Arial"/>
          <w:sz w:val="20"/>
          <w:szCs w:val="20"/>
        </w:rPr>
        <w:fldChar w:fldCharType="end"/>
      </w:r>
      <w:r w:rsidR="009523B1" w:rsidRPr="0097679B">
        <w:rPr>
          <w:rFonts w:ascii="Arial" w:hAnsi="Arial" w:cs="Arial"/>
          <w:sz w:val="20"/>
          <w:szCs w:val="20"/>
        </w:rPr>
        <w:t>.</w:t>
      </w:r>
      <w:r w:rsidR="001C2196">
        <w:rPr>
          <w:rFonts w:ascii="Arial" w:hAnsi="Arial" w:cs="Arial"/>
          <w:sz w:val="20"/>
          <w:szCs w:val="20"/>
        </w:rPr>
        <w:t xml:space="preserve"> Furthermore, </w:t>
      </w:r>
      <w:r w:rsidR="00D43269">
        <w:rPr>
          <w:rFonts w:ascii="Arial" w:hAnsi="Arial" w:cs="Arial"/>
          <w:sz w:val="20"/>
          <w:szCs w:val="20"/>
        </w:rPr>
        <w:t>the owners reporting laminitis were all experienced horse keepers</w:t>
      </w:r>
      <w:r w:rsidR="001C2196">
        <w:rPr>
          <w:rFonts w:ascii="Arial" w:hAnsi="Arial" w:cs="Arial"/>
          <w:sz w:val="20"/>
          <w:szCs w:val="20"/>
        </w:rPr>
        <w:t>.</w:t>
      </w:r>
      <w:r w:rsidR="009523B1" w:rsidRPr="0097679B">
        <w:rPr>
          <w:rFonts w:ascii="Arial" w:hAnsi="Arial" w:cs="Arial"/>
          <w:sz w:val="20"/>
          <w:szCs w:val="20"/>
        </w:rPr>
        <w:t xml:space="preserve"> </w:t>
      </w:r>
      <w:r w:rsidR="002E6B55">
        <w:rPr>
          <w:rFonts w:ascii="Arial" w:hAnsi="Arial" w:cs="Arial"/>
          <w:sz w:val="20"/>
          <w:szCs w:val="20"/>
        </w:rPr>
        <w:t>However, t</w:t>
      </w:r>
      <w:r w:rsidRPr="0097679B">
        <w:rPr>
          <w:rFonts w:ascii="Arial" w:hAnsi="Arial" w:cs="Arial"/>
          <w:sz w:val="20"/>
          <w:szCs w:val="20"/>
        </w:rPr>
        <w:t>he rate of laminitis reported in the present study is</w:t>
      </w:r>
      <w:r w:rsidR="00D43269">
        <w:rPr>
          <w:rFonts w:ascii="Arial" w:hAnsi="Arial" w:cs="Arial"/>
          <w:sz w:val="20"/>
          <w:szCs w:val="20"/>
        </w:rPr>
        <w:t xml:space="preserve"> likely</w:t>
      </w:r>
      <w:r w:rsidRPr="0097679B">
        <w:rPr>
          <w:rFonts w:ascii="Arial" w:hAnsi="Arial" w:cs="Arial"/>
          <w:sz w:val="20"/>
          <w:szCs w:val="20"/>
        </w:rPr>
        <w:t xml:space="preserve"> an underestimate of the true</w:t>
      </w:r>
      <w:r w:rsidR="00D43269">
        <w:rPr>
          <w:rFonts w:ascii="Arial" w:hAnsi="Arial" w:cs="Arial"/>
          <w:sz w:val="20"/>
          <w:szCs w:val="20"/>
        </w:rPr>
        <w:t xml:space="preserve"> laminitis</w:t>
      </w:r>
      <w:r w:rsidRPr="0097679B">
        <w:rPr>
          <w:rFonts w:ascii="Arial" w:hAnsi="Arial" w:cs="Arial"/>
          <w:sz w:val="20"/>
          <w:szCs w:val="20"/>
        </w:rPr>
        <w:t xml:space="preserve"> incidence as a proportion of cases may have gone unnoticed and only first occu</w:t>
      </w:r>
      <w:r w:rsidR="009523B1" w:rsidRPr="0097679B">
        <w:rPr>
          <w:rFonts w:ascii="Arial" w:hAnsi="Arial" w:cs="Arial"/>
          <w:sz w:val="20"/>
          <w:szCs w:val="20"/>
        </w:rPr>
        <w:t>r</w:t>
      </w:r>
      <w:r w:rsidRPr="0097679B">
        <w:rPr>
          <w:rFonts w:ascii="Arial" w:hAnsi="Arial" w:cs="Arial"/>
          <w:sz w:val="20"/>
          <w:szCs w:val="20"/>
        </w:rPr>
        <w:t>rences of lamin</w:t>
      </w:r>
      <w:r w:rsidR="009523B1" w:rsidRPr="0097679B">
        <w:rPr>
          <w:rFonts w:ascii="Arial" w:hAnsi="Arial" w:cs="Arial"/>
          <w:sz w:val="20"/>
          <w:szCs w:val="20"/>
        </w:rPr>
        <w:t>i</w:t>
      </w:r>
      <w:r w:rsidRPr="0097679B">
        <w:rPr>
          <w:rFonts w:ascii="Arial" w:hAnsi="Arial" w:cs="Arial"/>
          <w:sz w:val="20"/>
          <w:szCs w:val="20"/>
        </w:rPr>
        <w:t xml:space="preserve">tis were included. </w:t>
      </w:r>
      <w:r w:rsidR="00D43269">
        <w:rPr>
          <w:rFonts w:ascii="Arial" w:hAnsi="Arial" w:cs="Arial"/>
          <w:sz w:val="20"/>
          <w:szCs w:val="20"/>
        </w:rPr>
        <w:t xml:space="preserve">Thus, had </w:t>
      </w:r>
      <w:r w:rsidR="009523B1" w:rsidRPr="0097679B">
        <w:rPr>
          <w:rFonts w:ascii="Arial" w:hAnsi="Arial" w:cs="Arial"/>
          <w:sz w:val="20"/>
          <w:szCs w:val="20"/>
        </w:rPr>
        <w:t>recurrent and</w:t>
      </w:r>
      <w:r w:rsidRPr="0097679B">
        <w:rPr>
          <w:rFonts w:ascii="Arial" w:hAnsi="Arial" w:cs="Arial"/>
          <w:sz w:val="20"/>
          <w:szCs w:val="20"/>
        </w:rPr>
        <w:t xml:space="preserve"> mild/sub clinical cases</w:t>
      </w:r>
      <w:r w:rsidR="00D43269">
        <w:rPr>
          <w:rFonts w:ascii="Arial" w:hAnsi="Arial" w:cs="Arial"/>
          <w:sz w:val="20"/>
          <w:szCs w:val="20"/>
        </w:rPr>
        <w:t xml:space="preserve"> been include</w:t>
      </w:r>
      <w:r w:rsidR="00B06476">
        <w:rPr>
          <w:rFonts w:ascii="Arial" w:hAnsi="Arial" w:cs="Arial"/>
          <w:sz w:val="20"/>
          <w:szCs w:val="20"/>
        </w:rPr>
        <w:t>d</w:t>
      </w:r>
      <w:r w:rsidR="00D43269">
        <w:rPr>
          <w:rFonts w:ascii="Arial" w:hAnsi="Arial" w:cs="Arial"/>
          <w:sz w:val="20"/>
          <w:szCs w:val="20"/>
        </w:rPr>
        <w:t>, the total laminitis burden</w:t>
      </w:r>
      <w:r w:rsidR="009523B1" w:rsidRPr="0097679B">
        <w:rPr>
          <w:rFonts w:ascii="Arial" w:hAnsi="Arial" w:cs="Arial"/>
          <w:sz w:val="20"/>
          <w:szCs w:val="20"/>
        </w:rPr>
        <w:t xml:space="preserve"> </w:t>
      </w:r>
      <w:r w:rsidR="00D43269">
        <w:rPr>
          <w:rFonts w:ascii="Arial" w:hAnsi="Arial" w:cs="Arial"/>
          <w:sz w:val="20"/>
          <w:szCs w:val="20"/>
        </w:rPr>
        <w:t xml:space="preserve">would </w:t>
      </w:r>
      <w:r w:rsidRPr="0097679B">
        <w:rPr>
          <w:rFonts w:ascii="Arial" w:hAnsi="Arial" w:cs="Arial"/>
          <w:sz w:val="20"/>
          <w:szCs w:val="20"/>
        </w:rPr>
        <w:t xml:space="preserve">likely be higher than the present estimate. </w:t>
      </w:r>
    </w:p>
    <w:p w14:paraId="4C9F3371" w14:textId="15B310F1" w:rsidR="00A84425" w:rsidRPr="0097679B" w:rsidRDefault="00A84425" w:rsidP="00C57AFD">
      <w:pPr>
        <w:spacing w:line="480" w:lineRule="auto"/>
        <w:rPr>
          <w:rFonts w:ascii="Arial" w:hAnsi="Arial" w:cs="Arial"/>
          <w:sz w:val="20"/>
          <w:szCs w:val="20"/>
        </w:rPr>
      </w:pPr>
      <w:r w:rsidRPr="0097679B">
        <w:rPr>
          <w:rFonts w:ascii="Arial" w:hAnsi="Arial" w:cs="Arial"/>
          <w:sz w:val="20"/>
          <w:szCs w:val="20"/>
        </w:rPr>
        <w:t xml:space="preserve">The marked seasonal difference in laminitis incidence </w:t>
      </w:r>
      <w:r w:rsidR="003B7C09" w:rsidRPr="0097679B">
        <w:rPr>
          <w:rFonts w:ascii="Arial" w:hAnsi="Arial" w:cs="Arial"/>
          <w:sz w:val="20"/>
          <w:szCs w:val="20"/>
        </w:rPr>
        <w:t xml:space="preserve">in which summer rates were </w:t>
      </w:r>
      <w:r w:rsidR="00771C82">
        <w:rPr>
          <w:rFonts w:ascii="Arial" w:hAnsi="Arial" w:cs="Arial"/>
          <w:sz w:val="20"/>
          <w:szCs w:val="20"/>
        </w:rPr>
        <w:t xml:space="preserve">approximately </w:t>
      </w:r>
      <w:r w:rsidR="003B7C09" w:rsidRPr="0097679B">
        <w:rPr>
          <w:rFonts w:ascii="Arial" w:hAnsi="Arial" w:cs="Arial"/>
          <w:sz w:val="20"/>
          <w:szCs w:val="20"/>
        </w:rPr>
        <w:t>three times higher than win</w:t>
      </w:r>
      <w:r w:rsidR="00005F76" w:rsidRPr="0097679B">
        <w:rPr>
          <w:rFonts w:ascii="Arial" w:hAnsi="Arial" w:cs="Arial"/>
          <w:sz w:val="20"/>
          <w:szCs w:val="20"/>
        </w:rPr>
        <w:t xml:space="preserve">ter rates is consistent with </w:t>
      </w:r>
      <w:r w:rsidR="007736B4">
        <w:rPr>
          <w:rFonts w:ascii="Arial" w:hAnsi="Arial" w:cs="Arial"/>
          <w:sz w:val="20"/>
          <w:szCs w:val="20"/>
        </w:rPr>
        <w:t>previously reported</w:t>
      </w:r>
      <w:r w:rsidR="007736B4" w:rsidRPr="0097679B">
        <w:rPr>
          <w:rFonts w:ascii="Arial" w:hAnsi="Arial" w:cs="Arial"/>
          <w:sz w:val="20"/>
          <w:szCs w:val="20"/>
        </w:rPr>
        <w:t xml:space="preserve"> </w:t>
      </w:r>
      <w:r w:rsidR="003B7C09" w:rsidRPr="0097679B">
        <w:rPr>
          <w:rFonts w:ascii="Arial" w:hAnsi="Arial" w:cs="Arial"/>
          <w:sz w:val="20"/>
          <w:szCs w:val="20"/>
        </w:rPr>
        <w:t xml:space="preserve">seasonal patterns </w:t>
      </w:r>
      <w:r w:rsidR="002E6B55">
        <w:rPr>
          <w:rFonts w:ascii="Arial" w:hAnsi="Arial" w:cs="Arial"/>
          <w:sz w:val="20"/>
          <w:szCs w:val="20"/>
        </w:rPr>
        <w:t xml:space="preserve">in some studies </w:t>
      </w:r>
      <w:r w:rsidR="003B7C09"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{"citationItems":[{"id":"ITEM-1","itemData":{"DOI":"10.1136/vr.c5177","ISSN":"2042-7670","PMID":"21257484","abstract":"A retrospective study of laminitis was carried out to identify risk factors associated with this disease on an East Anglian farm with approximately 1000 animals living in an area of 1000 acres. Medical records between January 1997 and May 2000 and between April 2005 and March 2008 were reviewed, and the age, sex, weight (kg), height (inches [in] and hands [H]) and weight-to-height ratio (kg/in) was recorded. The prevalence, incidence and seasonality of laminitis were determined and their relationship to the monthly temperature, rainfall and hours of sunshine was evaluated. Averaged over the six years, the highest prevalence (2.6 per cent) and incidence (16 cases/1000 animals) of laminitis occurred in May. The findings of a multivariate analysis revealed that females (P=0.007, odds ratio [OR] 1.46, 95 per cent confidence interval [CI] 1.1053 to 1.9646) and light animals (P ≤ 0.001, OR=0.995, 95 per cent CI =0.9932 to 0.9963) had the greatest risk of developing laminitis. A positive association was found between hours of sunshine and incidence (P=0.007, relative risk [RR] 1.009, 95 per cent CI 1.001 to 1.012) and prevalence (P=0.002, RR 1.008, 95 per cent CI 1.003 to 1.012) of laminitis. The data suggest that there is a relationship between season, sex of the animal and the development of laminitis.","author":[{"dropping-particle":"","family":"Menzies-Gow","given":"N J","non-dropping-particle":"","parse-names":false,"suffix":""},{"dropping-particle":"","family":"Katz","given":"L M","non-dropping-particle":"","parse-names":false,"suffix":""},{"dropping-particle":"","family":"Barker","given":"K J","non-dropping-particle":"","parse-names":false,"suffix":""},{"dropping-particle":"","family":"Elliott","given":"J","non-dropping-particle":"","parse-names":false,"suffix":""},{"dropping-particle":"","family":"Brauwere","given":"M N","non-dropping-particle":"De","parse-names":false,"suffix":""},{"dropping-particle":"","family":"Jarvis","given":"N","non-dropping-particle":"","parse-names":false,"suffix":""},{"dropping-particle":"","family":"Marr","given":"C M","non-dropping-particle":"","parse-names":false,"suffix":""},{"dropping-particle":"","family":"Pfeiffer","given":"D U","non-dropping-particle":"","parse-names":false,"suffix":""}],"container-title":"The Veterinary record","id":"ITEM-1","issue":"18","issued":{"date-parts":[["2010","10","30"]]},"page":"690-4","title":"Epidemiological study of pasture-associated laminitis and concurrent risk factors in the South of England.","type":"article-journal","volume":"167"},"uris":["http://www.mendeley.com/documents/?uuid=5dc113ea-0ad0-482b-83ea-34985269f683"]},{"id":"ITEM-2","itemData":{"URL":"https://www.aphis.usda.gov/animal_health/nahms/equine/downloads/equine98/Equine98_dr_Lameness.pdf","accessed":{"date-parts":[["2020","10","7"]]},"author":[{"dropping-particle":"","family":"USDA","given":"","non-dropping-particle":"","parse-names":false,"suffix":""}],"id":"ITEM-2","issue":"April","issued":{"date-parts":[["2000"]]},"title":"Lameness &amp; Laminitis in US Horses","type":"webpage"},"uris":["http://www.mendeley.com/documents/?uuid=f336f144-7c72-4dbe-915d-15b3ced120ab"]},{"id":"ITEM-3","itemData":{"DOI":"10.1016/j.jevs.2016.03.006","ISSN":"07370806","abstract":"REASONS FOR PERFORMING STUDY\\nRecent systematic reviews have highlighted the lack of quality information with respect to the epidemiology of equine laminitis. \\n\\nOBJECTIVES\\nTo identify in Denmark the risk factors for new (i.e. not believed to have suffered from laminitis previously) cases of laminitis (NL) and to look at the outcome and incidence of repeated episodes of laminitis in these animals as well as those which had previously suffered an episode of laminitis (i.e. chronic cases) over the following 12 months. \\n\\nMETHODS\\nInformation was obtained from 110 veterinary diagnosed cases of laminitis (69 new and 41 chronic) and 80 control animals (the next non-laminitic horse/pony seen by that participating practice). All animals were followed for up to one year. Univariable and multivariable conditional logistic regression was conducted for the NL case control pairs. Variables were retained within the final multivariable models if the likelihood ratio p-value was &lt; 0.05. \\n\\nRESULTS\\nThere was no association between sex or gender and laminitis. A recent change of grass, being on what was considered high quality grass and being a cold-blooded type, &lt;149cm ( i.e. Shetland, Fell, Welsh, or Dartmoor pony, Icelandic horse, Norwegian fjords, or a mix of these breeds) were all significant risk factors for laminitis. Although cresty neck score (CNS), and body condition Score (BCS), were significantly associated with NL at the univariable screening stage, they were found to be confounders of breed and each other during the multivariable model building process. Other factors such as weight, and estimated starch intake were not found to be significant .Thirty three percent of all the laminitis cases had been humanely destroyed within 12 months of diagnosis, mainly for laminitis associated reasons, compared with only 7.5% of the controls (none for laminitis associated reasons). \\n\\nCONCLUSIONS\\nand potential Relevance: This study confirms the importance of grass turn out and breed on laminitis risk. Horses in work at the time of diagnosis as well as those diagnosed in the winter and spring were more likely to be humanely destroyed within the next 12 months than those not in work or diagnosed in the autumn and summer.","author":[{"dropping-particle":"","family":"Luthersson","given":"N.","non-dropping-particle":"","parse-names":false,"suffix":""},{"dropping-particle":"","family":"Mannfalk","given":"M.","non-dropping-particle":"","parse-names":false,"suffix":""},{"dropping-particle":"","family":"Parkin","given":"T.D.H.","non-dropping-particle":"","parse-names":false,"suffix":""},{"dropping-particle":"","family":"Harris","given":"P.","non-dropping-particle":"","parse-names":false,"suffix":""}],"container-title":"Journal of Equine Veterinary Science","id":"ITEM-3","issued":{"date-parts":[["2017"]]},"page":"68-73","publisher":"Elsevier Ltd","title":"Laminitis: Risk factors and outcome in a group of Danish horses","type":"article-journal","volume":"53"},"uris":["http://www.mendeley.com/documents/?uuid=3a2d2131-aae0-4c8a-b88c-2edad8386165"]}],"mendeley":{"formattedCitation":"[20–22]","plainTextFormattedCitation":"[20–22]","previouslyFormattedCitation":"[20–22]"},"properties":{"noteIndex":0},"schema":"https://github.com/citation-style-language/schema/raw/master/csl-citation.json"}</w:instrText>
      </w:r>
      <w:r w:rsidR="003B7C09" w:rsidRPr="0097679B">
        <w:rPr>
          <w:rFonts w:ascii="Arial" w:hAnsi="Arial" w:cs="Arial"/>
          <w:sz w:val="20"/>
          <w:szCs w:val="20"/>
        </w:rPr>
        <w:fldChar w:fldCharType="separate"/>
      </w:r>
      <w:r w:rsidR="00501B35" w:rsidRPr="00501B35">
        <w:rPr>
          <w:rFonts w:ascii="Arial" w:hAnsi="Arial" w:cs="Arial"/>
          <w:noProof/>
          <w:sz w:val="20"/>
          <w:szCs w:val="20"/>
        </w:rPr>
        <w:t>[20–22]</w:t>
      </w:r>
      <w:r w:rsidR="003B7C09" w:rsidRPr="0097679B">
        <w:rPr>
          <w:rFonts w:ascii="Arial" w:hAnsi="Arial" w:cs="Arial"/>
          <w:sz w:val="20"/>
          <w:szCs w:val="20"/>
        </w:rPr>
        <w:fldChar w:fldCharType="end"/>
      </w:r>
      <w:r w:rsidR="002E6B55">
        <w:rPr>
          <w:rFonts w:ascii="Arial" w:hAnsi="Arial" w:cs="Arial"/>
          <w:sz w:val="20"/>
          <w:szCs w:val="20"/>
        </w:rPr>
        <w:t>,</w:t>
      </w:r>
      <w:r w:rsidR="00005F76" w:rsidRPr="0097679B">
        <w:rPr>
          <w:rFonts w:ascii="Arial" w:hAnsi="Arial" w:cs="Arial"/>
          <w:sz w:val="20"/>
          <w:szCs w:val="20"/>
        </w:rPr>
        <w:t xml:space="preserve"> but contrasted with </w:t>
      </w:r>
      <w:r w:rsidR="000039D5">
        <w:rPr>
          <w:rFonts w:ascii="Arial" w:hAnsi="Arial" w:cs="Arial"/>
          <w:sz w:val="20"/>
          <w:szCs w:val="20"/>
        </w:rPr>
        <w:t xml:space="preserve">some </w:t>
      </w:r>
      <w:r w:rsidR="00005F76" w:rsidRPr="0097679B">
        <w:rPr>
          <w:rFonts w:ascii="Arial" w:hAnsi="Arial" w:cs="Arial"/>
          <w:sz w:val="20"/>
          <w:szCs w:val="20"/>
        </w:rPr>
        <w:t xml:space="preserve">other reports </w:t>
      </w:r>
      <w:r w:rsidR="00005F76"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{"citationItems":[{"id":"ITEM-1","itemData":{"DOI":"10.1111/evj.13059","ISSN":"20423306","abstract":"Background: Previous robust epidemiological studies of equine laminitis have utilised only veterinary-diagnosed episodes of disease, potentially underestimating true disease frequency. Objectives: To estimate the incidence of, and describe clinical signs associated with, owner-reported active laminitis in horses/ponies, using both veterinary-diagnosed and nonveterinary-diagnosed episodes. Study design: Prospective cohort. Methods: Data were collected from horse/pony owners in Great Britain between August 2014 and December 2016 using a web-based application. The incidence of owner-reported laminitis was estimated using both first incident and repeat episodes reported during the study period via a previously validated laminitis reporting form. Owner-reported clinical signs present in these episodes were recorded. Results: A total of 1070 horses/ponies contributed 1068 horse-years at risk (HYAR) and 123 active laminitis episodes were reported in 97 animals. Sixty-two of these episodes (50.4%, 95% confidence interval [CI] 41.6, 59.2%) were veterinary-diagnosed and 75.3% (CI 66.7, 83.8%; n = 73) of horses/ponies reported to have laminitis during the study had a previous laminitis history. Overall owner-reported first episode incidence was 9.6 episodes (CI 7.8, 11.7)/100 HYAR, whereas incidence including repeat episodes was 11.5 episodes (CI 9.7, 13.7)/100 HYAR. Laminitis occurred throughout the year with no significant differences between seasonal incidence estimates. Incidence was highest in Connemara and New Forest and lowest in Draught and Cob breed categories. The most prevalent owner-reported clinical signs (≥70%) were difficulty turning and a short/stilted or lame walk. Laminitis was reported in all limbs, however; both forelimbs were most commonly affected (62.9%, CI 54.1, 71.7%; n = 73/116). Main limitations: Self-selection enrolment of participants may limit generalisability of the findings. Conclusions: Laminitis remains a considerable year-round welfare issue of horses and ponies, with frequency estimates utilising owner-reported data more representative of the true impact of the disease. The clinical signs reported by horse/pony owners were reflective of those previously described by veterinary surgeons.","author":[{"dropping-particle":"","family":"Pollard","given":"D.","non-dropping-particle":"","parse-names":false,"suffix":""},{"dropping-particle":"","family":"Wylie","given":"C E","non-dropping-particle":"","parse-names":false,"suffix":""},{"dropping-particle":"","family":"Newton","given":"J. R.","non-dropping-particle":"","parse-names":false,"suffix":""},{"dropping-particle":"","family":"Verheyen","given":"K. L.P.","non-dropping-particle":"","parse-names":false,"suffix":""}],"container-title":"Equine Veterinary Journal","id":"ITEM-1","issue":"5","issued":{"date-parts":[["2019"]]},"page":"587-594","title":"Incidence and clinical signs of owner-reported equine laminitis in a cohort of horses and ponies in Great Britain","type":"article-journal","volume":"51"},"uris":["http://www.mendeley.com/documents/?uuid=ec89fc7b-6fd4-46b9-8528-4497ff6e1523"]},{"id":"ITEM-2","itemData":{"DOI":"10.1016/j.tvjl.2013.08.028","ISSN":"1532-2971","PMID":"24070987","abstract":"Laminitis is a highly debilitating disease of the foot known to have a complex and multifactorial aetiology of metabolic, inflammatory, traumatic or vascular origin. The disease has major welfare implications due to unrelenting pain associated with degenerative changes, which often necessitate euthanasia on welfare grounds. Despite this, there have been few high-quality studies investigating risk factors for equine laminitis, and only a limited number of risk factors have been previously investigated. The aim of this study was to conduct a case-control study of risk factors for active episodes of veterinary-diagnosed laminitis in horses and ponies attended by veterinary practitioners in Great Britain, based on multivariable statistical analyses. Questionnaires were received for 1010 animals, comprising 191 laminitis cases and 819 controls. Factors associated with an increased risk of laminitis were weight gain in the previous 3 months, summer and winter months compared to spring, new access to grass in the previous 4 weeks, box rest in the previous week, owner-reported history of laminitis, lameness or foot-soreness after shoeing/trimming, existing endocrinopathic (pituitary pars intermedia dysfunction and equine metabolic syndrome) disease and increasing time since the last anthelmintic treatment. Factors associated with a decreased risk of laminitis were increasing height (cm), feeding of additional supplements in the previous week and transportation in the previous week. Novel associated factors were identified that may aid in the management and prevention of the disease in the veterinary-registered equine population.","author":[{"dropping-particle":"","family":"Wylie","given":"C E","non-dropping-particle":"","parse-names":false,"suffix":""},{"dropping-particle":"","family":"Collins","given":"S N","non-dropping-particle":"","parse-names":false,"suffix":""},{"dropping-particle":"","family":"Verheyen","given":"K L P","non-dropping-particle":"","parse-names":false,"suffix":""},{"dropping-particle":"","family":"Newton","given":"J R","non-dropping-particle":"","parse-names":false,"suffix":""}],"container-title":"Veterinary journal (London, England : 1997)","id":"ITEM-2","issue":"1","issued":{"date-parts":[["2013","10"]]},"page":"57-69","publisher":"Elsevier Ltd","title":"Risk factors for equine laminitis: a case-control study conducted in veterinary-registered horses and ponies in Great Britain between 2009 and 2011.","type":"article-journal","volume":"198"},"uris":["http://www.mendeley.com/documents/?uuid=605acb77-dd51-4b6a-a09f-b2039bb32faf"]}],"mendeley":{"formattedCitation":"[23,24]","plainTextFormattedCitation":"[23,24]","previouslyFormattedCitation":"[23,24]"},"properties":{"noteIndex":0},"schema":"https://github.com/citation-style-language/schema/raw/master/csl-citation.json"}</w:instrText>
      </w:r>
      <w:r w:rsidR="00005F76" w:rsidRPr="0097679B">
        <w:rPr>
          <w:rFonts w:ascii="Arial" w:hAnsi="Arial" w:cs="Arial"/>
          <w:sz w:val="20"/>
          <w:szCs w:val="20"/>
        </w:rPr>
        <w:fldChar w:fldCharType="separate"/>
      </w:r>
      <w:r w:rsidR="00501B35" w:rsidRPr="00501B35">
        <w:rPr>
          <w:rFonts w:ascii="Arial" w:hAnsi="Arial" w:cs="Arial"/>
          <w:noProof/>
          <w:sz w:val="20"/>
          <w:szCs w:val="20"/>
        </w:rPr>
        <w:t>[23,24]</w:t>
      </w:r>
      <w:r w:rsidR="00005F76" w:rsidRPr="0097679B">
        <w:rPr>
          <w:rFonts w:ascii="Arial" w:hAnsi="Arial" w:cs="Arial"/>
          <w:sz w:val="20"/>
          <w:szCs w:val="20"/>
        </w:rPr>
        <w:fldChar w:fldCharType="end"/>
      </w:r>
      <w:r w:rsidR="00005F76" w:rsidRPr="0097679B">
        <w:rPr>
          <w:rFonts w:ascii="Arial" w:hAnsi="Arial" w:cs="Arial"/>
          <w:sz w:val="20"/>
          <w:szCs w:val="20"/>
        </w:rPr>
        <w:t xml:space="preserve">. Season could not be included in the Cox </w:t>
      </w:r>
      <w:r w:rsidR="007F056D" w:rsidRPr="0097679B">
        <w:rPr>
          <w:rFonts w:ascii="Arial" w:hAnsi="Arial" w:cs="Arial"/>
          <w:sz w:val="20"/>
          <w:szCs w:val="20"/>
        </w:rPr>
        <w:t>proportional-hazards</w:t>
      </w:r>
      <w:r w:rsidR="009523B1" w:rsidRPr="0097679B">
        <w:rPr>
          <w:rFonts w:ascii="Arial" w:hAnsi="Arial" w:cs="Arial"/>
          <w:sz w:val="20"/>
          <w:szCs w:val="20"/>
        </w:rPr>
        <w:t xml:space="preserve"> models as ponies</w:t>
      </w:r>
      <w:r w:rsidR="00005F76" w:rsidRPr="0097679B">
        <w:rPr>
          <w:rFonts w:ascii="Arial" w:hAnsi="Arial" w:cs="Arial"/>
          <w:sz w:val="20"/>
          <w:szCs w:val="20"/>
        </w:rPr>
        <w:t xml:space="preserve"> could not experience different seasons at the same time. However, the differences </w:t>
      </w:r>
      <w:r w:rsidR="000039D5">
        <w:rPr>
          <w:rFonts w:ascii="Arial" w:hAnsi="Arial" w:cs="Arial"/>
          <w:sz w:val="20"/>
          <w:szCs w:val="20"/>
        </w:rPr>
        <w:t>found</w:t>
      </w:r>
      <w:r w:rsidR="000039D5" w:rsidRPr="0097679B">
        <w:rPr>
          <w:rFonts w:ascii="Arial" w:hAnsi="Arial" w:cs="Arial"/>
          <w:sz w:val="20"/>
          <w:szCs w:val="20"/>
        </w:rPr>
        <w:t xml:space="preserve"> </w:t>
      </w:r>
      <w:r w:rsidR="00005F76" w:rsidRPr="0097679B">
        <w:rPr>
          <w:rFonts w:ascii="Arial" w:hAnsi="Arial" w:cs="Arial"/>
          <w:sz w:val="20"/>
          <w:szCs w:val="20"/>
        </w:rPr>
        <w:t xml:space="preserve">indicate </w:t>
      </w:r>
      <w:r w:rsidR="000039D5">
        <w:rPr>
          <w:rFonts w:ascii="Arial" w:hAnsi="Arial" w:cs="Arial"/>
          <w:sz w:val="20"/>
          <w:szCs w:val="20"/>
        </w:rPr>
        <w:t xml:space="preserve">season </w:t>
      </w:r>
      <w:r w:rsidR="00005F76" w:rsidRPr="0097679B">
        <w:rPr>
          <w:rFonts w:ascii="Arial" w:hAnsi="Arial" w:cs="Arial"/>
          <w:sz w:val="20"/>
          <w:szCs w:val="20"/>
        </w:rPr>
        <w:t>is an important factor in disease prediction</w:t>
      </w:r>
      <w:r w:rsidR="006960E8" w:rsidRPr="0097679B">
        <w:rPr>
          <w:rFonts w:ascii="Arial" w:hAnsi="Arial" w:cs="Arial"/>
          <w:sz w:val="20"/>
          <w:szCs w:val="20"/>
        </w:rPr>
        <w:t xml:space="preserve">. </w:t>
      </w:r>
      <w:r w:rsidR="00C904DF" w:rsidRPr="0097679B">
        <w:rPr>
          <w:rFonts w:ascii="Arial" w:hAnsi="Arial" w:cs="Arial"/>
          <w:sz w:val="20"/>
          <w:szCs w:val="20"/>
        </w:rPr>
        <w:t>The specific seasonal changes that r</w:t>
      </w:r>
      <w:r w:rsidR="009523B1" w:rsidRPr="0097679B">
        <w:rPr>
          <w:rFonts w:ascii="Arial" w:hAnsi="Arial" w:cs="Arial"/>
          <w:sz w:val="20"/>
          <w:szCs w:val="20"/>
        </w:rPr>
        <w:t>esult in a higher laminitis incidence</w:t>
      </w:r>
      <w:r w:rsidR="00C904DF" w:rsidRPr="0097679B">
        <w:rPr>
          <w:rFonts w:ascii="Arial" w:hAnsi="Arial" w:cs="Arial"/>
          <w:sz w:val="20"/>
          <w:szCs w:val="20"/>
        </w:rPr>
        <w:t xml:space="preserve"> </w:t>
      </w:r>
      <w:r w:rsidR="00EF1F0E">
        <w:rPr>
          <w:rFonts w:ascii="Arial" w:hAnsi="Arial" w:cs="Arial"/>
          <w:sz w:val="20"/>
          <w:szCs w:val="20"/>
        </w:rPr>
        <w:t xml:space="preserve">were </w:t>
      </w:r>
      <w:r w:rsidR="00C904DF" w:rsidRPr="0097679B">
        <w:rPr>
          <w:rFonts w:ascii="Arial" w:hAnsi="Arial" w:cs="Arial"/>
          <w:sz w:val="20"/>
          <w:szCs w:val="20"/>
        </w:rPr>
        <w:t>not determined</w:t>
      </w:r>
      <w:r w:rsidR="00771C82">
        <w:rPr>
          <w:rFonts w:ascii="Arial" w:hAnsi="Arial" w:cs="Arial"/>
          <w:sz w:val="20"/>
          <w:szCs w:val="20"/>
        </w:rPr>
        <w:t>,</w:t>
      </w:r>
      <w:r w:rsidR="00C904DF" w:rsidRPr="0097679B">
        <w:rPr>
          <w:rFonts w:ascii="Arial" w:hAnsi="Arial" w:cs="Arial"/>
          <w:sz w:val="20"/>
          <w:szCs w:val="20"/>
        </w:rPr>
        <w:t xml:space="preserve"> although changes in </w:t>
      </w:r>
      <w:r w:rsidR="000039D5">
        <w:rPr>
          <w:rFonts w:ascii="Arial" w:hAnsi="Arial" w:cs="Arial"/>
          <w:sz w:val="20"/>
          <w:szCs w:val="20"/>
        </w:rPr>
        <w:t>pasture</w:t>
      </w:r>
      <w:r w:rsidR="000039D5" w:rsidRPr="0097679B">
        <w:rPr>
          <w:rFonts w:ascii="Arial" w:hAnsi="Arial" w:cs="Arial"/>
          <w:sz w:val="20"/>
          <w:szCs w:val="20"/>
        </w:rPr>
        <w:t xml:space="preserve"> </w:t>
      </w:r>
      <w:r w:rsidR="00C904DF" w:rsidRPr="0097679B">
        <w:rPr>
          <w:rFonts w:ascii="Arial" w:hAnsi="Arial" w:cs="Arial"/>
          <w:sz w:val="20"/>
          <w:szCs w:val="20"/>
        </w:rPr>
        <w:t xml:space="preserve">nutritional content are likely contributors </w:t>
      </w:r>
      <w:r w:rsidR="00C904DF"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author":[{"dropping-particle":"","family":"Longland","given":"A.C","non-dropping-particle":"","parse-names":false,"suffix":""},{"dropping-particle":"","family":"Byrd","given":"B.M","non-dropping-particle":"","parse-names":false,"suffix":""}],"container-title":"Journal of Nutrition","id":"ITEM-1","issue":"7","issued":{"date-parts":[["2006"]]},"page":"2099S–2102S","title":"Pasture Nonstructural Carbohydrates and Equine Laminitis","type":"article-journal","volume":"136"},"uris":["http://www.mendeley.com/documents/?uuid=3b6c4ec7-d62b-4253-a7a1-48385720d9c6"]}],"mendeley":{"formattedCitation":"[25]","plainTextFormattedCitation":"[25]","previouslyFormattedCitation":"[25]"},"properties":{"noteIndex":0},"schema":"https://github.com/citation-style-language/schema/raw/master/csl-citation.json"}</w:instrText>
      </w:r>
      <w:r w:rsidR="00C904DF" w:rsidRPr="0097679B">
        <w:rPr>
          <w:rFonts w:ascii="Arial" w:hAnsi="Arial" w:cs="Arial"/>
          <w:sz w:val="20"/>
          <w:szCs w:val="20"/>
        </w:rPr>
        <w:fldChar w:fldCharType="separate"/>
      </w:r>
      <w:r w:rsidR="00501B35" w:rsidRPr="00501B35">
        <w:rPr>
          <w:rFonts w:ascii="Arial" w:hAnsi="Arial" w:cs="Arial"/>
          <w:noProof/>
          <w:sz w:val="20"/>
          <w:szCs w:val="20"/>
        </w:rPr>
        <w:t>[25]</w:t>
      </w:r>
      <w:r w:rsidR="00C904DF" w:rsidRPr="0097679B">
        <w:rPr>
          <w:rFonts w:ascii="Arial" w:hAnsi="Arial" w:cs="Arial"/>
          <w:sz w:val="20"/>
          <w:szCs w:val="20"/>
        </w:rPr>
        <w:fldChar w:fldCharType="end"/>
      </w:r>
      <w:r w:rsidR="00C904DF" w:rsidRPr="0097679B">
        <w:rPr>
          <w:rFonts w:ascii="Arial" w:hAnsi="Arial" w:cs="Arial"/>
          <w:sz w:val="20"/>
          <w:szCs w:val="20"/>
        </w:rPr>
        <w:t>. In the present study</w:t>
      </w:r>
      <w:r w:rsidR="000039D5">
        <w:rPr>
          <w:rFonts w:ascii="Arial" w:hAnsi="Arial" w:cs="Arial"/>
          <w:sz w:val="20"/>
          <w:szCs w:val="20"/>
        </w:rPr>
        <w:t>,</w:t>
      </w:r>
      <w:r w:rsidR="00874FA4">
        <w:rPr>
          <w:rFonts w:ascii="Arial" w:hAnsi="Arial" w:cs="Arial"/>
          <w:sz w:val="20"/>
          <w:szCs w:val="20"/>
        </w:rPr>
        <w:t xml:space="preserve"> the ‘turnout c</w:t>
      </w:r>
      <w:r w:rsidR="00C904DF" w:rsidRPr="0097679B">
        <w:rPr>
          <w:rFonts w:ascii="Arial" w:hAnsi="Arial" w:cs="Arial"/>
          <w:sz w:val="20"/>
          <w:szCs w:val="20"/>
        </w:rPr>
        <w:t>omposite</w:t>
      </w:r>
      <w:r w:rsidR="00874FA4">
        <w:rPr>
          <w:rFonts w:ascii="Arial" w:hAnsi="Arial" w:cs="Arial"/>
          <w:sz w:val="20"/>
          <w:szCs w:val="20"/>
        </w:rPr>
        <w:t>’</w:t>
      </w:r>
      <w:r w:rsidR="00C904DF" w:rsidRPr="0097679B">
        <w:rPr>
          <w:rFonts w:ascii="Arial" w:hAnsi="Arial" w:cs="Arial"/>
          <w:sz w:val="20"/>
          <w:szCs w:val="20"/>
        </w:rPr>
        <w:t xml:space="preserve"> variable to reflect time</w:t>
      </w:r>
      <w:r w:rsidR="009532C7">
        <w:rPr>
          <w:rFonts w:ascii="Arial" w:hAnsi="Arial" w:cs="Arial"/>
          <w:sz w:val="20"/>
          <w:szCs w:val="20"/>
        </w:rPr>
        <w:t xml:space="preserve"> and </w:t>
      </w:r>
      <w:r w:rsidR="00771C82">
        <w:rPr>
          <w:rFonts w:ascii="Arial" w:hAnsi="Arial" w:cs="Arial"/>
          <w:sz w:val="20"/>
          <w:szCs w:val="20"/>
        </w:rPr>
        <w:t xml:space="preserve">owner reported </w:t>
      </w:r>
      <w:r w:rsidR="009532C7">
        <w:rPr>
          <w:rFonts w:ascii="Arial" w:hAnsi="Arial" w:cs="Arial"/>
          <w:sz w:val="20"/>
          <w:szCs w:val="20"/>
        </w:rPr>
        <w:t>subjective quality of turn</w:t>
      </w:r>
      <w:r w:rsidR="00C904DF" w:rsidRPr="0097679B">
        <w:rPr>
          <w:rFonts w:ascii="Arial" w:hAnsi="Arial" w:cs="Arial"/>
          <w:sz w:val="20"/>
          <w:szCs w:val="20"/>
        </w:rPr>
        <w:t>out was not a useful predictor of laminitis</w:t>
      </w:r>
      <w:r w:rsidR="000039D5">
        <w:rPr>
          <w:rFonts w:ascii="Arial" w:hAnsi="Arial" w:cs="Arial"/>
          <w:sz w:val="20"/>
          <w:szCs w:val="20"/>
        </w:rPr>
        <w:t>.</w:t>
      </w:r>
      <w:r w:rsidR="00C904DF" w:rsidRPr="0097679B">
        <w:rPr>
          <w:rFonts w:ascii="Arial" w:hAnsi="Arial" w:cs="Arial"/>
          <w:sz w:val="20"/>
          <w:szCs w:val="20"/>
        </w:rPr>
        <w:t xml:space="preserve"> </w:t>
      </w:r>
      <w:r w:rsidR="000039D5">
        <w:rPr>
          <w:rFonts w:ascii="Arial" w:hAnsi="Arial" w:cs="Arial"/>
          <w:sz w:val="20"/>
          <w:szCs w:val="20"/>
        </w:rPr>
        <w:t>H</w:t>
      </w:r>
      <w:r w:rsidR="000039D5" w:rsidRPr="0097679B">
        <w:rPr>
          <w:rFonts w:ascii="Arial" w:hAnsi="Arial" w:cs="Arial"/>
          <w:sz w:val="20"/>
          <w:szCs w:val="20"/>
        </w:rPr>
        <w:t>owever</w:t>
      </w:r>
      <w:r w:rsidR="00C904DF" w:rsidRPr="0097679B">
        <w:rPr>
          <w:rFonts w:ascii="Arial" w:hAnsi="Arial" w:cs="Arial"/>
          <w:sz w:val="20"/>
          <w:szCs w:val="20"/>
        </w:rPr>
        <w:t xml:space="preserve">, the accuracy of turnout data was limited by the time between data collection and </w:t>
      </w:r>
      <w:r w:rsidR="000039D5">
        <w:rPr>
          <w:rFonts w:ascii="Arial" w:hAnsi="Arial" w:cs="Arial"/>
          <w:sz w:val="20"/>
          <w:szCs w:val="20"/>
        </w:rPr>
        <w:t xml:space="preserve">laminitis </w:t>
      </w:r>
      <w:r w:rsidR="00C904DF" w:rsidRPr="0097679B">
        <w:rPr>
          <w:rFonts w:ascii="Arial" w:hAnsi="Arial" w:cs="Arial"/>
          <w:sz w:val="20"/>
          <w:szCs w:val="20"/>
        </w:rPr>
        <w:t xml:space="preserve">development and the lack of objective </w:t>
      </w:r>
      <w:r w:rsidR="00121FCF">
        <w:rPr>
          <w:rFonts w:ascii="Arial" w:hAnsi="Arial" w:cs="Arial"/>
          <w:sz w:val="20"/>
          <w:szCs w:val="20"/>
        </w:rPr>
        <w:t xml:space="preserve">quantification of </w:t>
      </w:r>
      <w:r w:rsidR="00C904DF" w:rsidRPr="0097679B">
        <w:rPr>
          <w:rFonts w:ascii="Arial" w:hAnsi="Arial" w:cs="Arial"/>
          <w:sz w:val="20"/>
          <w:szCs w:val="20"/>
        </w:rPr>
        <w:t xml:space="preserve">pasture quality and intake. </w:t>
      </w:r>
      <w:r w:rsidR="00550303">
        <w:rPr>
          <w:rFonts w:ascii="Arial" w:hAnsi="Arial" w:cs="Arial"/>
          <w:sz w:val="20"/>
          <w:szCs w:val="20"/>
        </w:rPr>
        <w:t>P</w:t>
      </w:r>
      <w:r w:rsidR="003A0C1B">
        <w:rPr>
          <w:rFonts w:ascii="Arial" w:hAnsi="Arial" w:cs="Arial"/>
          <w:sz w:val="20"/>
          <w:szCs w:val="20"/>
        </w:rPr>
        <w:t xml:space="preserve">asture/dietary changes alone </w:t>
      </w:r>
      <w:r w:rsidR="00550303">
        <w:rPr>
          <w:rFonts w:ascii="Arial" w:hAnsi="Arial" w:cs="Arial"/>
          <w:sz w:val="20"/>
          <w:szCs w:val="20"/>
        </w:rPr>
        <w:t>do</w:t>
      </w:r>
      <w:r w:rsidR="003A0C1B">
        <w:rPr>
          <w:rFonts w:ascii="Arial" w:hAnsi="Arial" w:cs="Arial"/>
          <w:sz w:val="20"/>
          <w:szCs w:val="20"/>
        </w:rPr>
        <w:t xml:space="preserve"> </w:t>
      </w:r>
      <w:r w:rsidR="00550303">
        <w:rPr>
          <w:rFonts w:ascii="Arial" w:hAnsi="Arial" w:cs="Arial"/>
          <w:sz w:val="20"/>
          <w:szCs w:val="20"/>
        </w:rPr>
        <w:t xml:space="preserve">also </w:t>
      </w:r>
      <w:r w:rsidR="003A0C1B">
        <w:rPr>
          <w:rFonts w:ascii="Arial" w:hAnsi="Arial" w:cs="Arial"/>
          <w:sz w:val="20"/>
          <w:szCs w:val="20"/>
        </w:rPr>
        <w:t>not fully explain the seasonal effects</w:t>
      </w:r>
      <w:r w:rsidR="00550303">
        <w:rPr>
          <w:rFonts w:ascii="Arial" w:hAnsi="Arial" w:cs="Arial"/>
          <w:sz w:val="20"/>
          <w:szCs w:val="20"/>
        </w:rPr>
        <w:t xml:space="preserve"> on laminitis </w:t>
      </w:r>
      <w:r w:rsidR="00550303">
        <w:rPr>
          <w:rFonts w:ascii="Arial" w:hAnsi="Arial" w:cs="Arial"/>
          <w:sz w:val="20"/>
          <w:szCs w:val="20"/>
        </w:rPr>
        <w:lastRenderedPageBreak/>
        <w:t>incidence as l</w:t>
      </w:r>
      <w:r w:rsidR="003A0C1B">
        <w:rPr>
          <w:rFonts w:ascii="Arial" w:hAnsi="Arial" w:cs="Arial"/>
          <w:sz w:val="20"/>
          <w:szCs w:val="20"/>
        </w:rPr>
        <w:t>aminitis prone ponies show different seasonal metabolic changes</w:t>
      </w:r>
      <w:r w:rsidR="00AB50CC">
        <w:rPr>
          <w:rFonts w:ascii="Arial" w:hAnsi="Arial" w:cs="Arial"/>
          <w:sz w:val="20"/>
          <w:szCs w:val="20"/>
        </w:rPr>
        <w:t xml:space="preserve"> when compared with non-laminitic herd-mates grazing the same pasture</w:t>
      </w:r>
      <w:r w:rsidR="00771C82">
        <w:rPr>
          <w:rFonts w:ascii="Arial" w:hAnsi="Arial" w:cs="Arial"/>
          <w:sz w:val="20"/>
          <w:szCs w:val="20"/>
        </w:rPr>
        <w:t xml:space="preserve"> </w:t>
      </w:r>
      <w:r w:rsidR="0013736E"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{"citationItems":[{"id":"ITEM-1","itemData":{"DOI":"10.2460/ajvr.69.1.122","ISBN":"0002-9645","author":[{"dropping-particle":"","family":"Bailey","given":"Simon R","non-dropping-particle":"","parse-names":false,"suffix":""},{"dropping-particle":"","family":"Habershon-Butcher","given":"Jocelyn L","non-dropping-particle":"","parse-names":false,"suffix":""},{"dropping-particle":"","family":"Ransom","given":"Kathryn J","non-dropping-particle":"","parse-names":false,"suffix":""},{"dropping-particle":"","family":"Elliott","given":"Jonathan","non-dropping-particle":"","parse-names":false,"suffix":""},{"dropping-particle":"","family":"Menzies-Gow","given":"Nicola J","non-dropping-particle":"","parse-names":false,"suffix":""}],"container-title":"American journal of veterinary research","id":"ITEM-1","issue":"1","issued":{"date-parts":[["2008"]]},"note":"doi: 10.2460/ajvr.69.1.122","page":"122-129","publisher":"American Veterinary Medical Association","title":"Hypertension and insulin resistance in a mixed-breed population of ponies predisposed to laminitis","type":"article-journal","volume":"69"},"uris":["http://www.mendeley.com/documents/?uuid=e17e5f3d-d12e-4534-a676-1d3540c9cbf2"]}],"mendeley":{"formattedCitation":"[26]","plainTextFormattedCitation":"[26]","previouslyFormattedCitation":"[26]"},"properties":{"noteIndex":0},"schema":"https://github.com/citation-style-language/schema/raw/master/csl-citation.json"}</w:instrText>
      </w:r>
      <w:r w:rsidR="0013736E" w:rsidRPr="0097679B">
        <w:rPr>
          <w:rFonts w:ascii="Arial" w:hAnsi="Arial" w:cs="Arial"/>
          <w:sz w:val="20"/>
          <w:szCs w:val="20"/>
        </w:rPr>
        <w:fldChar w:fldCharType="separate"/>
      </w:r>
      <w:r w:rsidR="00501B35" w:rsidRPr="00501B35">
        <w:rPr>
          <w:rFonts w:ascii="Arial" w:hAnsi="Arial" w:cs="Arial"/>
          <w:noProof/>
          <w:sz w:val="20"/>
          <w:szCs w:val="20"/>
        </w:rPr>
        <w:t>[26]</w:t>
      </w:r>
      <w:r w:rsidR="0013736E" w:rsidRPr="0097679B">
        <w:rPr>
          <w:rFonts w:ascii="Arial" w:hAnsi="Arial" w:cs="Arial"/>
          <w:sz w:val="20"/>
          <w:szCs w:val="20"/>
        </w:rPr>
        <w:fldChar w:fldCharType="end"/>
      </w:r>
      <w:r w:rsidR="0013736E" w:rsidRPr="0097679B">
        <w:rPr>
          <w:rFonts w:ascii="Arial" w:hAnsi="Arial" w:cs="Arial"/>
          <w:sz w:val="20"/>
          <w:szCs w:val="20"/>
        </w:rPr>
        <w:t>.</w:t>
      </w:r>
    </w:p>
    <w:p w14:paraId="4AFDB7C5" w14:textId="3EEBB951" w:rsidR="0013736E" w:rsidRPr="0097679B" w:rsidRDefault="0013736E" w:rsidP="00C57AFD">
      <w:pPr>
        <w:spacing w:line="480" w:lineRule="auto"/>
        <w:rPr>
          <w:rFonts w:ascii="Arial" w:hAnsi="Arial" w:cs="Arial"/>
          <w:sz w:val="20"/>
          <w:szCs w:val="20"/>
        </w:rPr>
      </w:pPr>
      <w:r w:rsidRPr="0097679B">
        <w:rPr>
          <w:rFonts w:ascii="Arial" w:hAnsi="Arial" w:cs="Arial"/>
          <w:sz w:val="20"/>
          <w:szCs w:val="20"/>
        </w:rPr>
        <w:t>Consistent with the authors’ hypothesis</w:t>
      </w:r>
      <w:r w:rsidR="002E6B55">
        <w:rPr>
          <w:rFonts w:ascii="Arial" w:hAnsi="Arial" w:cs="Arial"/>
          <w:sz w:val="20"/>
          <w:szCs w:val="20"/>
        </w:rPr>
        <w:t>,</w:t>
      </w:r>
      <w:r w:rsidRPr="0097679B">
        <w:rPr>
          <w:rFonts w:ascii="Arial" w:hAnsi="Arial" w:cs="Arial"/>
          <w:sz w:val="20"/>
          <w:szCs w:val="20"/>
        </w:rPr>
        <w:t xml:space="preserve"> a wide range of variables were associated </w:t>
      </w:r>
      <w:r w:rsidR="00121FCF">
        <w:rPr>
          <w:rFonts w:ascii="Arial" w:hAnsi="Arial" w:cs="Arial"/>
          <w:sz w:val="20"/>
          <w:szCs w:val="20"/>
        </w:rPr>
        <w:t>with</w:t>
      </w:r>
      <w:r w:rsidR="00550303">
        <w:rPr>
          <w:rFonts w:ascii="Arial" w:hAnsi="Arial" w:cs="Arial"/>
          <w:sz w:val="20"/>
          <w:szCs w:val="20"/>
        </w:rPr>
        <w:t xml:space="preserve"> the development of</w:t>
      </w:r>
      <w:r w:rsidR="00121FCF">
        <w:rPr>
          <w:rFonts w:ascii="Arial" w:hAnsi="Arial" w:cs="Arial"/>
          <w:sz w:val="20"/>
          <w:szCs w:val="20"/>
        </w:rPr>
        <w:t xml:space="preserve"> </w:t>
      </w:r>
      <w:r w:rsidR="00151D87">
        <w:rPr>
          <w:rFonts w:ascii="Arial" w:hAnsi="Arial" w:cs="Arial"/>
          <w:sz w:val="20"/>
          <w:szCs w:val="20"/>
        </w:rPr>
        <w:t>clinically apparent laminitis</w:t>
      </w:r>
      <w:r w:rsidRPr="0097679B">
        <w:rPr>
          <w:rFonts w:ascii="Arial" w:hAnsi="Arial" w:cs="Arial"/>
          <w:sz w:val="20"/>
          <w:szCs w:val="20"/>
        </w:rPr>
        <w:t xml:space="preserve"> and each initial multivariable model had some predictive power.</w:t>
      </w:r>
      <w:r w:rsidR="00BB7081" w:rsidRPr="0097679B">
        <w:rPr>
          <w:rFonts w:ascii="Arial" w:hAnsi="Arial" w:cs="Arial"/>
          <w:sz w:val="20"/>
          <w:szCs w:val="20"/>
        </w:rPr>
        <w:t xml:space="preserve"> Many </w:t>
      </w:r>
      <w:r w:rsidR="009532C7">
        <w:rPr>
          <w:rFonts w:ascii="Arial" w:hAnsi="Arial" w:cs="Arial"/>
          <w:sz w:val="20"/>
          <w:szCs w:val="20"/>
        </w:rPr>
        <w:t xml:space="preserve">of these </w:t>
      </w:r>
      <w:r w:rsidRPr="0097679B">
        <w:rPr>
          <w:rFonts w:ascii="Arial" w:hAnsi="Arial" w:cs="Arial"/>
          <w:sz w:val="20"/>
          <w:szCs w:val="20"/>
        </w:rPr>
        <w:t xml:space="preserve">predictor variables are likely to be collinear or confounding. </w:t>
      </w:r>
      <w:r w:rsidR="00F66C5B" w:rsidRPr="0097679B">
        <w:rPr>
          <w:rFonts w:ascii="Arial" w:hAnsi="Arial" w:cs="Arial"/>
          <w:sz w:val="20"/>
          <w:szCs w:val="20"/>
        </w:rPr>
        <w:t>In the combined final models</w:t>
      </w:r>
      <w:r w:rsidR="00771C82">
        <w:rPr>
          <w:rFonts w:ascii="Arial" w:hAnsi="Arial" w:cs="Arial"/>
          <w:sz w:val="20"/>
          <w:szCs w:val="20"/>
        </w:rPr>
        <w:t>,</w:t>
      </w:r>
      <w:r w:rsidR="00EC6EDB" w:rsidRPr="0097679B">
        <w:rPr>
          <w:rFonts w:ascii="Arial" w:hAnsi="Arial" w:cs="Arial"/>
          <w:sz w:val="20"/>
          <w:szCs w:val="20"/>
        </w:rPr>
        <w:t xml:space="preserve"> </w:t>
      </w:r>
      <w:r w:rsidR="00F66C5B" w:rsidRPr="0097679B">
        <w:rPr>
          <w:rFonts w:ascii="Arial" w:hAnsi="Arial" w:cs="Arial"/>
          <w:sz w:val="20"/>
          <w:szCs w:val="20"/>
        </w:rPr>
        <w:t>[insulin]</w:t>
      </w:r>
      <w:r w:rsidR="00EC6EDB" w:rsidRPr="0097679B">
        <w:rPr>
          <w:rFonts w:ascii="Arial" w:hAnsi="Arial" w:cs="Arial"/>
          <w:sz w:val="20"/>
          <w:szCs w:val="20"/>
        </w:rPr>
        <w:t>T0, [insulin]T60</w:t>
      </w:r>
      <w:r w:rsidR="00F66C5B" w:rsidRPr="0097679B">
        <w:rPr>
          <w:rFonts w:ascii="Arial" w:hAnsi="Arial" w:cs="Arial"/>
          <w:sz w:val="20"/>
          <w:szCs w:val="20"/>
        </w:rPr>
        <w:t xml:space="preserve">, [adiponectin] and hoof divergence </w:t>
      </w:r>
      <w:r w:rsidR="009532C7">
        <w:rPr>
          <w:rFonts w:ascii="Arial" w:hAnsi="Arial" w:cs="Arial"/>
          <w:sz w:val="20"/>
          <w:szCs w:val="20"/>
        </w:rPr>
        <w:t>were all</w:t>
      </w:r>
      <w:r w:rsidR="002E6B55">
        <w:rPr>
          <w:rFonts w:ascii="Arial" w:hAnsi="Arial" w:cs="Arial"/>
          <w:sz w:val="20"/>
          <w:szCs w:val="20"/>
        </w:rPr>
        <w:t xml:space="preserve"> significantly</w:t>
      </w:r>
      <w:r w:rsidR="009532C7">
        <w:rPr>
          <w:rFonts w:ascii="Arial" w:hAnsi="Arial" w:cs="Arial"/>
          <w:sz w:val="20"/>
          <w:szCs w:val="20"/>
        </w:rPr>
        <w:t xml:space="preserve"> associated </w:t>
      </w:r>
      <w:r w:rsidR="00771C82">
        <w:rPr>
          <w:rFonts w:ascii="Arial" w:hAnsi="Arial" w:cs="Arial"/>
          <w:sz w:val="20"/>
          <w:szCs w:val="20"/>
        </w:rPr>
        <w:t xml:space="preserve">with </w:t>
      </w:r>
      <w:r w:rsidR="00F66C5B" w:rsidRPr="0097679B">
        <w:rPr>
          <w:rFonts w:ascii="Arial" w:hAnsi="Arial" w:cs="Arial"/>
          <w:sz w:val="20"/>
          <w:szCs w:val="20"/>
        </w:rPr>
        <w:t>laminitis</w:t>
      </w:r>
      <w:r w:rsidR="002E6B55">
        <w:rPr>
          <w:rFonts w:ascii="Arial" w:hAnsi="Arial" w:cs="Arial"/>
          <w:sz w:val="20"/>
          <w:szCs w:val="20"/>
        </w:rPr>
        <w:t>;</w:t>
      </w:r>
      <w:r w:rsidR="00F66C5B" w:rsidRPr="0097679B">
        <w:rPr>
          <w:rFonts w:ascii="Arial" w:hAnsi="Arial" w:cs="Arial"/>
          <w:sz w:val="20"/>
          <w:szCs w:val="20"/>
        </w:rPr>
        <w:t xml:space="preserve"> however</w:t>
      </w:r>
      <w:r w:rsidR="002E6B55">
        <w:rPr>
          <w:rFonts w:ascii="Arial" w:hAnsi="Arial" w:cs="Arial"/>
          <w:sz w:val="20"/>
          <w:szCs w:val="20"/>
        </w:rPr>
        <w:t>,</w:t>
      </w:r>
      <w:r w:rsidR="00F66C5B" w:rsidRPr="0097679B">
        <w:rPr>
          <w:rFonts w:ascii="Arial" w:hAnsi="Arial" w:cs="Arial"/>
          <w:sz w:val="20"/>
          <w:szCs w:val="20"/>
        </w:rPr>
        <w:t xml:space="preserve"> none of the models ha</w:t>
      </w:r>
      <w:r w:rsidR="00EC6EDB" w:rsidRPr="0097679B">
        <w:rPr>
          <w:rFonts w:ascii="Arial" w:hAnsi="Arial" w:cs="Arial"/>
          <w:sz w:val="20"/>
          <w:szCs w:val="20"/>
        </w:rPr>
        <w:t xml:space="preserve">d a higher concordance than </w:t>
      </w:r>
      <w:r w:rsidR="00F66C5B" w:rsidRPr="0097679B">
        <w:rPr>
          <w:rFonts w:ascii="Arial" w:hAnsi="Arial" w:cs="Arial"/>
          <w:sz w:val="20"/>
          <w:szCs w:val="20"/>
        </w:rPr>
        <w:t>[insulin]</w:t>
      </w:r>
      <w:r w:rsidR="00EC6EDB" w:rsidRPr="0097679B">
        <w:rPr>
          <w:rFonts w:ascii="Arial" w:hAnsi="Arial" w:cs="Arial"/>
          <w:sz w:val="20"/>
          <w:szCs w:val="20"/>
        </w:rPr>
        <w:t>T60</w:t>
      </w:r>
      <w:r w:rsidR="00F66C5B" w:rsidRPr="0097679B">
        <w:rPr>
          <w:rFonts w:ascii="Arial" w:hAnsi="Arial" w:cs="Arial"/>
          <w:sz w:val="20"/>
          <w:szCs w:val="20"/>
        </w:rPr>
        <w:t xml:space="preserve"> alone and this</w:t>
      </w:r>
      <w:r w:rsidR="00EC6EDB" w:rsidRPr="0097679B">
        <w:rPr>
          <w:rFonts w:ascii="Arial" w:hAnsi="Arial" w:cs="Arial"/>
          <w:sz w:val="20"/>
          <w:szCs w:val="20"/>
        </w:rPr>
        <w:t xml:space="preserve"> was not materially superior to</w:t>
      </w:r>
      <w:r w:rsidR="00F66C5B" w:rsidRPr="0097679B">
        <w:rPr>
          <w:rFonts w:ascii="Arial" w:hAnsi="Arial" w:cs="Arial"/>
          <w:sz w:val="20"/>
          <w:szCs w:val="20"/>
        </w:rPr>
        <w:t xml:space="preserve"> [insulin]</w:t>
      </w:r>
      <w:r w:rsidR="00EC6EDB" w:rsidRPr="0097679B">
        <w:rPr>
          <w:rFonts w:ascii="Arial" w:hAnsi="Arial" w:cs="Arial"/>
          <w:sz w:val="20"/>
          <w:szCs w:val="20"/>
        </w:rPr>
        <w:t>T0</w:t>
      </w:r>
      <w:r w:rsidR="00F66C5B" w:rsidRPr="0097679B">
        <w:rPr>
          <w:rFonts w:ascii="Arial" w:hAnsi="Arial" w:cs="Arial"/>
          <w:sz w:val="20"/>
          <w:szCs w:val="20"/>
        </w:rPr>
        <w:t>. Therefore</w:t>
      </w:r>
      <w:r w:rsidR="00EC6EDB" w:rsidRPr="0097679B">
        <w:rPr>
          <w:rFonts w:ascii="Arial" w:hAnsi="Arial" w:cs="Arial"/>
          <w:sz w:val="20"/>
          <w:szCs w:val="20"/>
        </w:rPr>
        <w:t>,</w:t>
      </w:r>
      <w:r w:rsidR="00F66C5B" w:rsidRPr="0097679B">
        <w:rPr>
          <w:rFonts w:ascii="Arial" w:hAnsi="Arial" w:cs="Arial"/>
          <w:sz w:val="20"/>
          <w:szCs w:val="20"/>
        </w:rPr>
        <w:t xml:space="preserve"> despite the apparent multifactorial nature of laminiti</w:t>
      </w:r>
      <w:r w:rsidR="008006E1">
        <w:rPr>
          <w:rFonts w:ascii="Arial" w:hAnsi="Arial" w:cs="Arial"/>
          <w:sz w:val="20"/>
          <w:szCs w:val="20"/>
        </w:rPr>
        <w:t>s, in the present study [insulin] was</w:t>
      </w:r>
      <w:r w:rsidR="00F66C5B" w:rsidRPr="0097679B">
        <w:rPr>
          <w:rFonts w:ascii="Arial" w:hAnsi="Arial" w:cs="Arial"/>
          <w:sz w:val="20"/>
          <w:szCs w:val="20"/>
        </w:rPr>
        <w:t xml:space="preserve"> the primary </w:t>
      </w:r>
      <w:r w:rsidR="00121FCF">
        <w:rPr>
          <w:rFonts w:ascii="Arial" w:hAnsi="Arial" w:cs="Arial"/>
          <w:sz w:val="20"/>
          <w:szCs w:val="20"/>
        </w:rPr>
        <w:t xml:space="preserve">laminitis risk </w:t>
      </w:r>
      <w:r w:rsidR="00F66C5B" w:rsidRPr="0097679B">
        <w:rPr>
          <w:rFonts w:ascii="Arial" w:hAnsi="Arial" w:cs="Arial"/>
          <w:sz w:val="20"/>
          <w:szCs w:val="20"/>
        </w:rPr>
        <w:t>indicator</w:t>
      </w:r>
      <w:r w:rsidR="00121FCF">
        <w:rPr>
          <w:rFonts w:ascii="Arial" w:hAnsi="Arial" w:cs="Arial"/>
          <w:sz w:val="20"/>
          <w:szCs w:val="20"/>
        </w:rPr>
        <w:t>,</w:t>
      </w:r>
      <w:r w:rsidR="00F66C5B" w:rsidRPr="0097679B">
        <w:rPr>
          <w:rFonts w:ascii="Arial" w:hAnsi="Arial" w:cs="Arial"/>
          <w:sz w:val="20"/>
          <w:szCs w:val="20"/>
        </w:rPr>
        <w:t xml:space="preserve"> with relatively little benefit gained </w:t>
      </w:r>
      <w:r w:rsidR="00121FCF">
        <w:rPr>
          <w:rFonts w:ascii="Arial" w:hAnsi="Arial" w:cs="Arial"/>
          <w:sz w:val="20"/>
          <w:szCs w:val="20"/>
        </w:rPr>
        <w:t>by</w:t>
      </w:r>
      <w:r w:rsidR="00121FCF" w:rsidRPr="0097679B">
        <w:rPr>
          <w:rFonts w:ascii="Arial" w:hAnsi="Arial" w:cs="Arial"/>
          <w:sz w:val="20"/>
          <w:szCs w:val="20"/>
        </w:rPr>
        <w:t xml:space="preserve"> </w:t>
      </w:r>
      <w:r w:rsidR="00121FCF">
        <w:rPr>
          <w:rFonts w:ascii="Arial" w:hAnsi="Arial" w:cs="Arial"/>
          <w:sz w:val="20"/>
          <w:szCs w:val="20"/>
        </w:rPr>
        <w:t>including</w:t>
      </w:r>
      <w:r w:rsidR="00121FCF" w:rsidRPr="0097679B">
        <w:rPr>
          <w:rFonts w:ascii="Arial" w:hAnsi="Arial" w:cs="Arial"/>
          <w:sz w:val="20"/>
          <w:szCs w:val="20"/>
        </w:rPr>
        <w:t xml:space="preserve"> </w:t>
      </w:r>
      <w:r w:rsidR="00330D09">
        <w:rPr>
          <w:rFonts w:ascii="Arial" w:hAnsi="Arial" w:cs="Arial"/>
          <w:sz w:val="20"/>
          <w:szCs w:val="20"/>
        </w:rPr>
        <w:t xml:space="preserve">the </w:t>
      </w:r>
      <w:r w:rsidR="00F66C5B" w:rsidRPr="0097679B">
        <w:rPr>
          <w:rFonts w:ascii="Arial" w:hAnsi="Arial" w:cs="Arial"/>
          <w:sz w:val="20"/>
          <w:szCs w:val="20"/>
        </w:rPr>
        <w:t>other factors</w:t>
      </w:r>
      <w:r w:rsidR="00121FCF">
        <w:rPr>
          <w:rFonts w:ascii="Arial" w:hAnsi="Arial" w:cs="Arial"/>
          <w:sz w:val="20"/>
          <w:szCs w:val="20"/>
        </w:rPr>
        <w:t xml:space="preserve"> assessed</w:t>
      </w:r>
      <w:r w:rsidR="00F66C5B" w:rsidRPr="0097679B">
        <w:rPr>
          <w:rFonts w:ascii="Arial" w:hAnsi="Arial" w:cs="Arial"/>
          <w:sz w:val="20"/>
          <w:szCs w:val="20"/>
        </w:rPr>
        <w:t>.</w:t>
      </w:r>
      <w:r w:rsidR="00BB7081" w:rsidRPr="0097679B">
        <w:rPr>
          <w:rFonts w:ascii="Arial" w:hAnsi="Arial" w:cs="Arial"/>
          <w:sz w:val="20"/>
          <w:szCs w:val="20"/>
        </w:rPr>
        <w:t xml:space="preserve"> </w:t>
      </w:r>
      <w:r w:rsidR="008006E1">
        <w:rPr>
          <w:rFonts w:ascii="Arial" w:hAnsi="Arial" w:cs="Arial"/>
          <w:sz w:val="20"/>
          <w:szCs w:val="20"/>
        </w:rPr>
        <w:t>However, the difficulty in recording and quantifying dietary factors</w:t>
      </w:r>
      <w:r w:rsidR="00874FA4">
        <w:rPr>
          <w:rFonts w:ascii="Arial" w:hAnsi="Arial" w:cs="Arial"/>
          <w:sz w:val="20"/>
          <w:szCs w:val="20"/>
        </w:rPr>
        <w:t xml:space="preserve"> that could be playing a role</w:t>
      </w:r>
      <w:r w:rsidR="008006E1">
        <w:rPr>
          <w:rFonts w:ascii="Arial" w:hAnsi="Arial" w:cs="Arial"/>
          <w:sz w:val="20"/>
          <w:szCs w:val="20"/>
        </w:rPr>
        <w:t xml:space="preserve"> at the time that </w:t>
      </w:r>
      <w:r w:rsidR="00771C82">
        <w:rPr>
          <w:rFonts w:ascii="Arial" w:hAnsi="Arial" w:cs="Arial"/>
          <w:sz w:val="20"/>
          <w:szCs w:val="20"/>
        </w:rPr>
        <w:t xml:space="preserve">the </w:t>
      </w:r>
      <w:r w:rsidR="008006E1">
        <w:rPr>
          <w:rFonts w:ascii="Arial" w:hAnsi="Arial" w:cs="Arial"/>
          <w:sz w:val="20"/>
          <w:szCs w:val="20"/>
        </w:rPr>
        <w:t>laminitis occurred</w:t>
      </w:r>
      <w:r w:rsidR="002E6B55">
        <w:rPr>
          <w:rFonts w:ascii="Arial" w:hAnsi="Arial" w:cs="Arial"/>
          <w:sz w:val="20"/>
          <w:szCs w:val="20"/>
        </w:rPr>
        <w:t xml:space="preserve"> </w:t>
      </w:r>
      <w:r w:rsidR="008006E1">
        <w:rPr>
          <w:rFonts w:ascii="Arial" w:hAnsi="Arial" w:cs="Arial"/>
          <w:sz w:val="20"/>
          <w:szCs w:val="20"/>
        </w:rPr>
        <w:t xml:space="preserve">may be a significant limitation. </w:t>
      </w:r>
    </w:p>
    <w:p w14:paraId="0B9E677A" w14:textId="146F5C7F" w:rsidR="002407CB" w:rsidRPr="00DF026B" w:rsidRDefault="00121FCF" w:rsidP="000617A0">
      <w:pPr>
        <w:spacing w:line="480" w:lineRule="auto"/>
        <w:rPr>
          <w:rFonts w:ascii="Arial" w:hAnsi="Arial" w:cs="Arial"/>
          <w:sz w:val="20"/>
          <w:szCs w:val="20"/>
        </w:rPr>
      </w:pPr>
      <w:r>
        <w:rPr>
          <w:rFonts w:ascii="Arial" w:hAnsi="Arial" w:cs="Arial"/>
          <w:sz w:val="20"/>
          <w:szCs w:val="20"/>
        </w:rPr>
        <w:t>D</w:t>
      </w:r>
      <w:r w:rsidR="00F66C5B" w:rsidRPr="0097679B">
        <w:rPr>
          <w:rFonts w:ascii="Arial" w:hAnsi="Arial" w:cs="Arial"/>
          <w:sz w:val="20"/>
          <w:szCs w:val="20"/>
        </w:rPr>
        <w:t>ivision of cont</w:t>
      </w:r>
      <w:r w:rsidR="00EC6EDB" w:rsidRPr="0097679B">
        <w:rPr>
          <w:rFonts w:ascii="Arial" w:hAnsi="Arial" w:cs="Arial"/>
          <w:sz w:val="20"/>
          <w:szCs w:val="20"/>
        </w:rPr>
        <w:t xml:space="preserve">inuous variables </w:t>
      </w:r>
      <w:r w:rsidR="00F66C5B" w:rsidRPr="0097679B">
        <w:rPr>
          <w:rFonts w:ascii="Arial" w:hAnsi="Arial" w:cs="Arial"/>
          <w:sz w:val="20"/>
          <w:szCs w:val="20"/>
        </w:rPr>
        <w:t>[insulin]</w:t>
      </w:r>
      <w:r w:rsidR="00EC6EDB" w:rsidRPr="0097679B">
        <w:rPr>
          <w:rFonts w:ascii="Arial" w:hAnsi="Arial" w:cs="Arial"/>
          <w:sz w:val="20"/>
          <w:szCs w:val="20"/>
        </w:rPr>
        <w:t>T0, [insulin]T60</w:t>
      </w:r>
      <w:r w:rsidR="00F66C5B" w:rsidRPr="0097679B">
        <w:rPr>
          <w:rFonts w:ascii="Arial" w:hAnsi="Arial" w:cs="Arial"/>
          <w:sz w:val="20"/>
          <w:szCs w:val="20"/>
        </w:rPr>
        <w:t xml:space="preserve"> and [adiponectin] into categories provided a </w:t>
      </w:r>
      <w:r w:rsidR="00A0478E">
        <w:rPr>
          <w:rFonts w:ascii="Arial" w:hAnsi="Arial" w:cs="Arial"/>
          <w:sz w:val="20"/>
          <w:szCs w:val="20"/>
        </w:rPr>
        <w:t>practical</w:t>
      </w:r>
      <w:r w:rsidR="00F66C5B" w:rsidRPr="0097679B">
        <w:rPr>
          <w:rFonts w:ascii="Arial" w:hAnsi="Arial" w:cs="Arial"/>
          <w:sz w:val="20"/>
          <w:szCs w:val="20"/>
        </w:rPr>
        <w:t xml:space="preserve"> illustration </w:t>
      </w:r>
      <w:r w:rsidR="00BB7081" w:rsidRPr="0097679B">
        <w:rPr>
          <w:rFonts w:ascii="Arial" w:hAnsi="Arial" w:cs="Arial"/>
          <w:sz w:val="20"/>
          <w:szCs w:val="20"/>
        </w:rPr>
        <w:t>of the data</w:t>
      </w:r>
      <w:r w:rsidR="00076164">
        <w:rPr>
          <w:rFonts w:ascii="Arial" w:hAnsi="Arial" w:cs="Arial"/>
          <w:sz w:val="20"/>
          <w:szCs w:val="20"/>
        </w:rPr>
        <w:t>,</w:t>
      </w:r>
      <w:r w:rsidR="00CF6EDE" w:rsidRPr="0097679B">
        <w:rPr>
          <w:rFonts w:ascii="Arial" w:hAnsi="Arial" w:cs="Arial"/>
          <w:sz w:val="20"/>
          <w:szCs w:val="20"/>
        </w:rPr>
        <w:t xml:space="preserve"> and the </w:t>
      </w:r>
      <w:r>
        <w:rPr>
          <w:rFonts w:ascii="Arial" w:hAnsi="Arial" w:cs="Arial"/>
          <w:sz w:val="20"/>
          <w:szCs w:val="20"/>
        </w:rPr>
        <w:t xml:space="preserve">risk </w:t>
      </w:r>
      <w:r w:rsidR="00CF6EDE" w:rsidRPr="0097679B">
        <w:rPr>
          <w:rFonts w:ascii="Arial" w:hAnsi="Arial" w:cs="Arial"/>
          <w:sz w:val="20"/>
          <w:szCs w:val="20"/>
        </w:rPr>
        <w:t>distribution was striking. Rather than increasing linearly over the population, the risk of laminitis was concentrated in a small proportion of ponies, perhaps consistent with a threshold effect. I</w:t>
      </w:r>
      <w:r w:rsidR="009827B0" w:rsidRPr="0097679B">
        <w:rPr>
          <w:rFonts w:ascii="Arial" w:hAnsi="Arial" w:cs="Arial"/>
          <w:sz w:val="20"/>
          <w:szCs w:val="20"/>
        </w:rPr>
        <w:t xml:space="preserve">t must be acknowledged that the </w:t>
      </w:r>
      <w:r w:rsidR="001D2F20">
        <w:rPr>
          <w:rFonts w:ascii="Arial" w:hAnsi="Arial" w:cs="Arial"/>
          <w:sz w:val="20"/>
          <w:szCs w:val="20"/>
        </w:rPr>
        <w:t xml:space="preserve">three-group </w:t>
      </w:r>
      <w:r w:rsidR="009827B0" w:rsidRPr="0097679B">
        <w:rPr>
          <w:rFonts w:ascii="Arial" w:hAnsi="Arial" w:cs="Arial"/>
          <w:sz w:val="20"/>
          <w:szCs w:val="20"/>
        </w:rPr>
        <w:t>categorisation</w:t>
      </w:r>
      <w:r w:rsidR="00CF6EDE" w:rsidRPr="0097679B">
        <w:rPr>
          <w:rFonts w:ascii="Arial" w:hAnsi="Arial" w:cs="Arial"/>
          <w:sz w:val="20"/>
          <w:szCs w:val="20"/>
        </w:rPr>
        <w:t xml:space="preserve"> </w:t>
      </w:r>
      <w:r w:rsidR="009827B0" w:rsidRPr="0097679B">
        <w:rPr>
          <w:rFonts w:ascii="Arial" w:hAnsi="Arial" w:cs="Arial"/>
          <w:sz w:val="20"/>
          <w:szCs w:val="20"/>
        </w:rPr>
        <w:t>was based on subject</w:t>
      </w:r>
      <w:r w:rsidR="00CF6EDE" w:rsidRPr="0097679B">
        <w:rPr>
          <w:rFonts w:ascii="Arial" w:hAnsi="Arial" w:cs="Arial"/>
          <w:sz w:val="20"/>
          <w:szCs w:val="20"/>
        </w:rPr>
        <w:t>ive risk</w:t>
      </w:r>
      <w:r w:rsidR="009827B0" w:rsidRPr="0097679B">
        <w:rPr>
          <w:rFonts w:ascii="Arial" w:hAnsi="Arial" w:cs="Arial"/>
          <w:sz w:val="20"/>
          <w:szCs w:val="20"/>
        </w:rPr>
        <w:t xml:space="preserve"> stratification rather than an objective analysis</w:t>
      </w:r>
      <w:r w:rsidR="001D2F20">
        <w:rPr>
          <w:rFonts w:ascii="Arial" w:hAnsi="Arial" w:cs="Arial"/>
          <w:sz w:val="20"/>
          <w:szCs w:val="20"/>
        </w:rPr>
        <w:t>,</w:t>
      </w:r>
      <w:r w:rsidR="009827B0" w:rsidRPr="0097679B">
        <w:rPr>
          <w:rFonts w:ascii="Arial" w:hAnsi="Arial" w:cs="Arial"/>
          <w:sz w:val="20"/>
          <w:szCs w:val="20"/>
        </w:rPr>
        <w:t xml:space="preserve"> such as dichotomisation based on a ROC curve. However, </w:t>
      </w:r>
      <w:r w:rsidR="001D2F20">
        <w:rPr>
          <w:rFonts w:ascii="Arial" w:hAnsi="Arial" w:cs="Arial"/>
          <w:sz w:val="20"/>
          <w:szCs w:val="20"/>
        </w:rPr>
        <w:t>this</w:t>
      </w:r>
      <w:r w:rsidR="001D2F20" w:rsidRPr="0097679B">
        <w:rPr>
          <w:rFonts w:ascii="Arial" w:hAnsi="Arial" w:cs="Arial"/>
          <w:sz w:val="20"/>
          <w:szCs w:val="20"/>
        </w:rPr>
        <w:t xml:space="preserve"> </w:t>
      </w:r>
      <w:r w:rsidR="009827B0" w:rsidRPr="0097679B">
        <w:rPr>
          <w:rFonts w:ascii="Arial" w:hAnsi="Arial" w:cs="Arial"/>
          <w:sz w:val="20"/>
          <w:szCs w:val="20"/>
        </w:rPr>
        <w:t xml:space="preserve">categorisation was considered more biologically plausible and clinically intuitive. </w:t>
      </w:r>
      <w:r w:rsidR="00F40D3A" w:rsidRPr="0097679B">
        <w:rPr>
          <w:rFonts w:ascii="Arial" w:hAnsi="Arial" w:cs="Arial"/>
          <w:sz w:val="20"/>
          <w:szCs w:val="20"/>
        </w:rPr>
        <w:t>The categorical analysis also facil</w:t>
      </w:r>
      <w:r w:rsidR="00E7685B" w:rsidRPr="0097679B">
        <w:rPr>
          <w:rFonts w:ascii="Arial" w:hAnsi="Arial" w:cs="Arial"/>
          <w:sz w:val="20"/>
          <w:szCs w:val="20"/>
        </w:rPr>
        <w:t>itates comparisons with previous</w:t>
      </w:r>
      <w:r w:rsidR="00F40D3A" w:rsidRPr="0097679B">
        <w:rPr>
          <w:rFonts w:ascii="Arial" w:hAnsi="Arial" w:cs="Arial"/>
          <w:sz w:val="20"/>
          <w:szCs w:val="20"/>
        </w:rPr>
        <w:t xml:space="preserve"> studies. For example</w:t>
      </w:r>
      <w:r w:rsidR="001D2F20">
        <w:rPr>
          <w:rFonts w:ascii="Arial" w:hAnsi="Arial" w:cs="Arial"/>
          <w:sz w:val="20"/>
          <w:szCs w:val="20"/>
        </w:rPr>
        <w:t>,</w:t>
      </w:r>
      <w:r w:rsidR="00F40D3A" w:rsidRPr="0097679B">
        <w:rPr>
          <w:rFonts w:ascii="Arial" w:hAnsi="Arial" w:cs="Arial"/>
          <w:sz w:val="20"/>
          <w:szCs w:val="20"/>
        </w:rPr>
        <w:t xml:space="preserve"> the hazard ratios between low and medium </w:t>
      </w:r>
      <w:r w:rsidR="001D2F20">
        <w:rPr>
          <w:rFonts w:ascii="Arial" w:hAnsi="Arial" w:cs="Arial"/>
          <w:sz w:val="20"/>
          <w:szCs w:val="20"/>
        </w:rPr>
        <w:t>or</w:t>
      </w:r>
      <w:r w:rsidR="00F40D3A" w:rsidRPr="0097679B">
        <w:rPr>
          <w:rFonts w:ascii="Arial" w:hAnsi="Arial" w:cs="Arial"/>
          <w:sz w:val="20"/>
          <w:szCs w:val="20"/>
        </w:rPr>
        <w:t xml:space="preserve"> high</w:t>
      </w:r>
      <w:r w:rsidR="004551A6">
        <w:rPr>
          <w:rFonts w:ascii="Arial" w:hAnsi="Arial" w:cs="Arial"/>
          <w:sz w:val="20"/>
          <w:szCs w:val="20"/>
        </w:rPr>
        <w:t>-</w:t>
      </w:r>
      <w:r w:rsidR="00850F9F" w:rsidRPr="0097679B">
        <w:rPr>
          <w:rFonts w:ascii="Arial" w:hAnsi="Arial" w:cs="Arial"/>
          <w:sz w:val="20"/>
          <w:szCs w:val="20"/>
        </w:rPr>
        <w:t>risk groups for</w:t>
      </w:r>
      <w:r w:rsidR="00E7685B" w:rsidRPr="0097679B">
        <w:rPr>
          <w:rFonts w:ascii="Arial" w:hAnsi="Arial" w:cs="Arial"/>
          <w:sz w:val="20"/>
          <w:szCs w:val="20"/>
        </w:rPr>
        <w:t xml:space="preserve"> [insulin]</w:t>
      </w:r>
      <w:r w:rsidR="00850F9F" w:rsidRPr="0097679B">
        <w:rPr>
          <w:rFonts w:ascii="Arial" w:hAnsi="Arial" w:cs="Arial"/>
          <w:sz w:val="20"/>
          <w:szCs w:val="20"/>
        </w:rPr>
        <w:t>T0</w:t>
      </w:r>
      <w:r w:rsidR="00076164">
        <w:rPr>
          <w:rFonts w:ascii="Arial" w:hAnsi="Arial" w:cs="Arial"/>
          <w:sz w:val="20"/>
          <w:szCs w:val="20"/>
        </w:rPr>
        <w:t xml:space="preserve"> </w:t>
      </w:r>
      <w:r w:rsidR="00E7685B" w:rsidRPr="0097679B">
        <w:rPr>
          <w:rFonts w:ascii="Arial" w:hAnsi="Arial" w:cs="Arial"/>
          <w:sz w:val="20"/>
          <w:szCs w:val="20"/>
        </w:rPr>
        <w:t xml:space="preserve">are within the </w:t>
      </w:r>
      <w:r w:rsidR="00850F9F" w:rsidRPr="0097679B">
        <w:rPr>
          <w:rFonts w:ascii="Arial" w:hAnsi="Arial" w:cs="Arial"/>
          <w:sz w:val="20"/>
          <w:szCs w:val="20"/>
        </w:rPr>
        <w:t xml:space="preserve">95% </w:t>
      </w:r>
      <w:r w:rsidR="00E7685B" w:rsidRPr="0097679B">
        <w:rPr>
          <w:rFonts w:ascii="Arial" w:hAnsi="Arial" w:cs="Arial"/>
          <w:sz w:val="20"/>
          <w:szCs w:val="20"/>
        </w:rPr>
        <w:t xml:space="preserve">confidence intervals of the odds ratio reported by Treiber </w:t>
      </w:r>
      <w:r w:rsidR="00E7685B" w:rsidRPr="0097679B">
        <w:rPr>
          <w:rFonts w:ascii="Arial" w:hAnsi="Arial" w:cs="Arial"/>
          <w:i/>
          <w:sz w:val="20"/>
          <w:szCs w:val="20"/>
        </w:rPr>
        <w:t xml:space="preserve">et al </w:t>
      </w:r>
      <w:r w:rsidR="00E7685B" w:rsidRPr="0097679B">
        <w:rPr>
          <w:rFonts w:ascii="Arial" w:hAnsi="Arial" w:cs="Arial"/>
          <w:i/>
          <w:sz w:val="20"/>
          <w:szCs w:val="20"/>
        </w:rPr>
        <w:fldChar w:fldCharType="begin" w:fldLock="1"/>
      </w:r>
      <w:r w:rsidR="002407CB">
        <w:rPr>
          <w:rFonts w:ascii="Arial" w:hAnsi="Arial" w:cs="Arial"/>
          <w:i/>
          <w:sz w:val="20"/>
          <w:szCs w:val="20"/>
        </w:rPr>
        <w:instrText>ADDIN CSL_CITATION {"citationItems":[{"id":"ITEM-1","itemData":{"author":[{"dropping-particle":"","family":"Treiber","given":"K H","non-dropping-particle":"","parse-names":false,"suffix":""},{"dropping-particle":"","family":"Kronfeld","given":"D S","non-dropping-particle":"","parse-names":false,"suffix":""},{"dropping-particle":"","family":"Hess","given":"T M","non-dropping-particle":"","parse-names":false,"suffix":""},{"dropping-particle":"","family":"Byrd","given":"B M","non-dropping-particle":"","parse-names":false,"suffix":""},{"dropping-particle":"","family":"Splan","given":"R K","non-dropping-particle":"","parse-names":false,"suffix":""},{"dropping-particle":"","family":"Staniar","given":"W B","non-dropping-particle":"","parse-names":false,"suffix":""}],"container-title":"J.Am. vet. Med. Ass.","id":"ITEM-1","issue":"10","issued":{"date-parts":[["2006"]]},"page":"1538-1545","title":"Evaluation of genetic and metabolic predispositions and nutritional risk factors for pasture-associated laminitis in ponies","type":"article-journal","volume":"228"},"uris":["http://www.mendeley.com/documents/?uuid=802c6f36-a89e-4726-b538-a9f2826f713e"]}],"mendeley":{"formattedCitation":"[27]","plainTextFormattedCitation":"[27]","previouslyFormattedCitation":"[27]"},"properties":{"noteIndex":0},"schema":"https://github.com/citation-style-language/schema/raw/master/csl-citation.json"}</w:instrText>
      </w:r>
      <w:r w:rsidR="00E7685B" w:rsidRPr="0097679B">
        <w:rPr>
          <w:rFonts w:ascii="Arial" w:hAnsi="Arial" w:cs="Arial"/>
          <w:i/>
          <w:sz w:val="20"/>
          <w:szCs w:val="20"/>
        </w:rPr>
        <w:fldChar w:fldCharType="separate"/>
      </w:r>
      <w:r w:rsidR="00501B35" w:rsidRPr="00501B35">
        <w:rPr>
          <w:rFonts w:ascii="Arial" w:hAnsi="Arial" w:cs="Arial"/>
          <w:noProof/>
          <w:sz w:val="20"/>
          <w:szCs w:val="20"/>
        </w:rPr>
        <w:t>[27]</w:t>
      </w:r>
      <w:r w:rsidR="00E7685B" w:rsidRPr="0097679B">
        <w:rPr>
          <w:rFonts w:ascii="Arial" w:hAnsi="Arial" w:cs="Arial"/>
          <w:i/>
          <w:sz w:val="20"/>
          <w:szCs w:val="20"/>
        </w:rPr>
        <w:fldChar w:fldCharType="end"/>
      </w:r>
      <w:r w:rsidR="00E7685B" w:rsidRPr="0097679B">
        <w:rPr>
          <w:rFonts w:ascii="Arial" w:hAnsi="Arial" w:cs="Arial"/>
          <w:i/>
          <w:sz w:val="20"/>
          <w:szCs w:val="20"/>
        </w:rPr>
        <w:t xml:space="preserve"> </w:t>
      </w:r>
      <w:r w:rsidR="00E7685B" w:rsidRPr="0097679B">
        <w:rPr>
          <w:rFonts w:ascii="Arial" w:hAnsi="Arial" w:cs="Arial"/>
          <w:sz w:val="20"/>
          <w:szCs w:val="20"/>
        </w:rPr>
        <w:t>for</w:t>
      </w:r>
      <w:r w:rsidR="001D2F20">
        <w:rPr>
          <w:rFonts w:ascii="Arial" w:hAnsi="Arial" w:cs="Arial"/>
          <w:sz w:val="20"/>
          <w:szCs w:val="20"/>
        </w:rPr>
        <w:t xml:space="preserve"> laminitis</w:t>
      </w:r>
      <w:r w:rsidR="00E7685B" w:rsidRPr="0097679B">
        <w:rPr>
          <w:rFonts w:ascii="Arial" w:hAnsi="Arial" w:cs="Arial"/>
          <w:sz w:val="20"/>
          <w:szCs w:val="20"/>
        </w:rPr>
        <w:t xml:space="preserve"> recurrence in ponies with the pre-laminitic metabolic syndrome and similar to those reported by Carter </w:t>
      </w:r>
      <w:r w:rsidR="00E7685B" w:rsidRPr="0097679B">
        <w:rPr>
          <w:rFonts w:ascii="Arial" w:hAnsi="Arial" w:cs="Arial"/>
          <w:i/>
          <w:sz w:val="20"/>
          <w:szCs w:val="20"/>
        </w:rPr>
        <w:t xml:space="preserve">et al </w:t>
      </w:r>
      <w:r w:rsidR="00E7685B" w:rsidRPr="0097679B">
        <w:rPr>
          <w:rFonts w:ascii="Arial" w:hAnsi="Arial" w:cs="Arial"/>
          <w:i/>
          <w:sz w:val="20"/>
          <w:szCs w:val="20"/>
        </w:rPr>
        <w:fldChar w:fldCharType="begin" w:fldLock="1"/>
      </w:r>
      <w:r w:rsidR="002407CB">
        <w:rPr>
          <w:rFonts w:ascii="Arial" w:hAnsi="Arial" w:cs="Arial"/>
          <w:i/>
          <w:sz w:val="20"/>
          <w:szCs w:val="20"/>
        </w:rPr>
        <w:instrText>ADDIN CSL_CITATION {"citationItems":[{"id":"ITEM-1","itemData":{"DOI":"10.2746/042516408X342975","ISBN":"042516408X","ISSN":"04251644","PMID":"19418747","abstract":"Reasons for performing study: The ability to predict ponies at increased risk of laminitic episodes, when exposed to nutrient dense pasture, would facilitate management to avoid disease. Objectives: To identify variables and clinically useful cut-off values with reproducible diagnostic accuracy for the prediction of ponies that subsequently developed laminitis when exposed to nutrient dense pasture. Methods: A cohort of predominantly Welsh and Dartmoor ponies from a closed herd was evaluated in March 2006 (n = 74) and March 2007 (n = 57). Ponies were categorised as never laminitic or previously laminitic according to reported laminitic history and as clinically laminitic (CL) if laminitis was observed within 3 months following evaluation. Body condition score (BCS), cresty neck score (CNS), girth and neck circumferences (NC), withers height, blood pressure and hoof surface temperature, and plasma insulin, glucose, triglyceride, leptin, cortisol, ACTH, uric acid and TNF-α concentrations were measured. Analysis of sensitivity, specificity and receiver operating characteristic curves was used to evaluate the diagnostic accuracy for a variable to predict CL ponies. Results: Variables with diagnostic accuracy for the prediction of CL ponies included insulin, leptin, BCS, CNS, and NC:height ratio. Specific cut-off values of insulin (&gt;32 mu/l), leptin (&gt;7.3 ng/ml), BCS (≥7), CNS (≥4) and NC:height ratio (&gt;0.71) had reproducible diagnostic accuracy for the prediction of laminitis. Combining tests did not result in higher diagnostic accuracy than individual tests of insulin or leptin during either evaluation. Conclusions: Tests of insulin and leptin concentrations and measures of generalised (BCS) and localised (CNS or NC:height ratio) obesity were beneficial in the prediction of laminitic episodes. Potential relevance: These results highlight the importance of monitoring and reducing insulin concentration, and generalised and regional obesity in ponies to reduce risk of laminitis.","author":[{"dropping-particle":"","family":"Carter","given":"R A","non-dropping-particle":"","parse-names":false,"suffix":""},{"dropping-particle":"","family":"Treiber","given":"K H","non-dropping-particle":"","parse-names":false,"suffix":""},{"dropping-particle":"","family":"Geor","given":"R J","non-dropping-particle":"","parse-names":false,"suffix":""},{"dropping-particle":"","family":"Douglass","given":"L","non-dropping-particle":"","parse-names":false,"suffix":""},{"dropping-particle":"","family":"Harris","given":"P A","non-dropping-particle":"","parse-names":false,"suffix":""}],"container-title":"Equine Veterinary Journal","id":"ITEM-1","issue":"2","issued":{"date-parts":[["2009","2","5"]]},"language":"eng","page":"171-178","publisher-place":"England","title":"Prediction of incipient pasture-associated laminitis from hyperinsulinaemia, hyperleptinaemia and generalised and localised obesity in a cohort of ponies","type":"article-journal","volume":"41"},"uris":["http://www.mendeley.com/documents/?uuid=6edfd72e-34fb-4062-ba1f-a2ce61b1a65e"]}],"mendeley":{"formattedCitation":"[28]","plainTextFormattedCitation":"[28]","previouslyFormattedCitation":"[28]"},"properties":{"noteIndex":0},"schema":"https://github.com/citation-style-language/schema/raw/master/csl-citation.json"}</w:instrText>
      </w:r>
      <w:r w:rsidR="00E7685B" w:rsidRPr="0097679B">
        <w:rPr>
          <w:rFonts w:ascii="Arial" w:hAnsi="Arial" w:cs="Arial"/>
          <w:i/>
          <w:sz w:val="20"/>
          <w:szCs w:val="20"/>
        </w:rPr>
        <w:fldChar w:fldCharType="separate"/>
      </w:r>
      <w:r w:rsidR="00501B35" w:rsidRPr="00501B35">
        <w:rPr>
          <w:rFonts w:ascii="Arial" w:hAnsi="Arial" w:cs="Arial"/>
          <w:noProof/>
          <w:sz w:val="20"/>
          <w:szCs w:val="20"/>
        </w:rPr>
        <w:t>[28]</w:t>
      </w:r>
      <w:r w:rsidR="00E7685B" w:rsidRPr="0097679B">
        <w:rPr>
          <w:rFonts w:ascii="Arial" w:hAnsi="Arial" w:cs="Arial"/>
          <w:i/>
          <w:sz w:val="20"/>
          <w:szCs w:val="20"/>
        </w:rPr>
        <w:fldChar w:fldCharType="end"/>
      </w:r>
      <w:r w:rsidR="00E7685B" w:rsidRPr="0097679B">
        <w:rPr>
          <w:rFonts w:ascii="Arial" w:hAnsi="Arial" w:cs="Arial"/>
          <w:i/>
          <w:sz w:val="20"/>
          <w:szCs w:val="20"/>
        </w:rPr>
        <w:t xml:space="preserve"> </w:t>
      </w:r>
      <w:r w:rsidR="00E7685B" w:rsidRPr="0097679B">
        <w:rPr>
          <w:rFonts w:ascii="Arial" w:hAnsi="Arial" w:cs="Arial"/>
          <w:sz w:val="20"/>
          <w:szCs w:val="20"/>
        </w:rPr>
        <w:t xml:space="preserve">for </w:t>
      </w:r>
      <w:r w:rsidR="001D2F20">
        <w:rPr>
          <w:rFonts w:ascii="Arial" w:hAnsi="Arial" w:cs="Arial"/>
          <w:sz w:val="20"/>
          <w:szCs w:val="20"/>
        </w:rPr>
        <w:t xml:space="preserve">laminitis </w:t>
      </w:r>
      <w:r w:rsidR="00E7685B" w:rsidRPr="0097679B">
        <w:rPr>
          <w:rFonts w:ascii="Arial" w:hAnsi="Arial" w:cs="Arial"/>
          <w:sz w:val="20"/>
          <w:szCs w:val="20"/>
        </w:rPr>
        <w:t xml:space="preserve">recurrence based on basal [insulin]. </w:t>
      </w:r>
      <w:r w:rsidR="00DF026B">
        <w:rPr>
          <w:rFonts w:ascii="Arial" w:hAnsi="Arial" w:cs="Arial"/>
          <w:sz w:val="20"/>
          <w:szCs w:val="20"/>
        </w:rPr>
        <w:t xml:space="preserve">Similarly, Menzies-Gow </w:t>
      </w:r>
      <w:r w:rsidR="00DF026B">
        <w:rPr>
          <w:rFonts w:ascii="Arial" w:hAnsi="Arial" w:cs="Arial"/>
          <w:i/>
          <w:sz w:val="20"/>
          <w:szCs w:val="20"/>
        </w:rPr>
        <w:t xml:space="preserve">et al </w:t>
      </w:r>
      <w:r w:rsidR="00DF026B">
        <w:rPr>
          <w:rFonts w:ascii="Arial" w:hAnsi="Arial" w:cs="Arial"/>
          <w:i/>
          <w:sz w:val="20"/>
          <w:szCs w:val="20"/>
        </w:rPr>
        <w:fldChar w:fldCharType="begin" w:fldLock="1"/>
      </w:r>
      <w:r w:rsidR="00EA33C7">
        <w:rPr>
          <w:rFonts w:ascii="Arial" w:hAnsi="Arial" w:cs="Arial"/>
          <w:i/>
          <w:sz w:val="20"/>
          <w:szCs w:val="20"/>
        </w:rPr>
        <w:instrText>ADDIN CSL_CITATION {"citationItems":[{"id":"ITEM-1","itemData":{"DOI":"10.1111/evj.12606","ISSN":"20423306","PMID":"27363591","abstract":"Background: Certain individuals appear to be predisposed to recurrent pasture-associated laminitis. Previous studies have predominantly investigated risk factors only after disease occurrence. Objectives: To investigate risk factors for pasture-associated laminitis prior to disease occurrence. Study design: Prospective cohort study. Methods: Non-laminitic ponies aged ≥7 years were recruited. Body condition score (BCS), height, weight, crest height and thickness were measured and an overnight dexamethasone suppression test performed. Plasma or serum adiponectin, leptin, triglyceride, basal insulin, insulin post-dexamethasone, insulin-like growth factor 1 (IGF-1), IGF binding protein 1 (IGFBP-1), IGFBP-3, C-reactive protein, von Willebrand's factor, soluble E-selectin and P-selectin concentrations were assayed. Follow-up data were obtained from owners annually for 3 years to ascertain occurrences of veterinarian-diagnosed pasture-associated laminitis. Data were analysed by multivariate logistic regression. Receiver operating characteristic (ROC) curves analysis was performed for significant risk factors and cut-off values determined. Results: A total of 446 animals with a median (interquartile range) age of 15 (10–20) years were recruited. Of these, 50.4% were mares and 49.6% were geldings. The most common breeds were Welsh (36.4%), Shetland (17.0%) and cob (9.4%). Overall, 72.2% of animals were overweight/obese (BCS 7–9/9), 27.3% were of ideal weight (BCS 4–6/9) and 0.5% were underweight (BCS 1–3/9). After 1, 2 and 3 years, respectively, 18 (4.0%), 30 (6.7%) and 44 (9.9%) animals were reported to have had laminitis. Plasma adiponectin, and serum basal (insulin) and (insulin) post-dexamethasone levels were significantly (P ≤ 0.05) associated with laminitis occurrence cumulatively after 1, 2 and 3 years. Use of the area under the ROC curves to distinguish animals that did and did not develop laminitis showed good (basal [insulin] after 1 year), fair (all others) or poor ([insulin] post-dexamethasone) levels of accuracy. Main limitations: Animals were evaluated at a single time point and biomarkers were assayed using single assays. Conclusions: Risk factors for future laminitis prior to disease occurrence include low plasma adiponectin and high serum basal insulin or insulin post-dexamethasone concentrations.","author":[{"dropping-particle":"","family":"Menzies-Gow","given":"N. J.","non-dropping-particle":"","parse-names":false,"suffix":""},{"dropping-particle":"","family":"Harris","given":"P. A.","non-dropping-particle":"","parse-names":false,"suffix":""},{"dropping-particle":"","family":"Elliott","given":"J.","non-dropping-particle":"","parse-names":false,"suffix":""}],"container-title":"Equine Veterinary Journal","id":"ITEM-1","issue":"3","issued":{"date-parts":[["2017"]]},"page":"300-306","title":"Prospective cohort study evaluating risk factors for the development of pasture-associated laminitis in the United Kingdom","type":"article-journal","volume":"49"},"uris":["http://www.mendeley.com/documents/?uuid=530b422b-8c05-4d48-808a-1833dde3a0ba"]}],"mendeley":{"formattedCitation":"[5]","plainTextFormattedCitation":"[5]","previouslyFormattedCitation":"[5]"},"properties":{"noteIndex":0},"schema":"https://github.com/citation-style-language/schema/raw/master/csl-citation.json"}</w:instrText>
      </w:r>
      <w:r w:rsidR="00DF026B">
        <w:rPr>
          <w:rFonts w:ascii="Arial" w:hAnsi="Arial" w:cs="Arial"/>
          <w:i/>
          <w:sz w:val="20"/>
          <w:szCs w:val="20"/>
        </w:rPr>
        <w:fldChar w:fldCharType="separate"/>
      </w:r>
      <w:r w:rsidR="00DF026B" w:rsidRPr="00DF026B">
        <w:rPr>
          <w:rFonts w:ascii="Arial" w:hAnsi="Arial" w:cs="Arial"/>
          <w:noProof/>
          <w:sz w:val="20"/>
          <w:szCs w:val="20"/>
        </w:rPr>
        <w:t>[5]</w:t>
      </w:r>
      <w:r w:rsidR="00DF026B">
        <w:rPr>
          <w:rFonts w:ascii="Arial" w:hAnsi="Arial" w:cs="Arial"/>
          <w:i/>
          <w:sz w:val="20"/>
          <w:szCs w:val="20"/>
        </w:rPr>
        <w:fldChar w:fldCharType="end"/>
      </w:r>
      <w:r w:rsidR="00DF026B">
        <w:rPr>
          <w:rFonts w:ascii="Arial" w:hAnsi="Arial" w:cs="Arial"/>
          <w:i/>
          <w:sz w:val="20"/>
          <w:szCs w:val="20"/>
        </w:rPr>
        <w:t xml:space="preserve"> </w:t>
      </w:r>
      <w:r w:rsidR="00DF026B">
        <w:rPr>
          <w:rFonts w:ascii="Arial" w:hAnsi="Arial" w:cs="Arial"/>
          <w:sz w:val="20"/>
          <w:szCs w:val="20"/>
        </w:rPr>
        <w:t xml:space="preserve">reported </w:t>
      </w:r>
      <w:r w:rsidR="00FD3881">
        <w:rPr>
          <w:rFonts w:ascii="Arial" w:hAnsi="Arial" w:cs="Arial"/>
          <w:sz w:val="20"/>
          <w:szCs w:val="20"/>
        </w:rPr>
        <w:t>an increased risk associated with increased basal [insulin] and low [adiponectin] in a similar cohort of non-laminitic ponies.</w:t>
      </w:r>
      <w:r w:rsidR="00DF026B">
        <w:rPr>
          <w:rFonts w:ascii="Arial" w:hAnsi="Arial" w:cs="Arial"/>
          <w:sz w:val="20"/>
          <w:szCs w:val="20"/>
        </w:rPr>
        <w:t xml:space="preserve"> </w:t>
      </w:r>
    </w:p>
    <w:p w14:paraId="526E39C9" w14:textId="1C582AA4" w:rsidR="00F40D3A" w:rsidRDefault="00423648" w:rsidP="000617A0">
      <w:pPr>
        <w:spacing w:line="480" w:lineRule="auto"/>
        <w:rPr>
          <w:rFonts w:ascii="Arial" w:hAnsi="Arial" w:cs="Arial"/>
          <w:sz w:val="20"/>
          <w:szCs w:val="20"/>
        </w:rPr>
      </w:pPr>
      <w:r w:rsidRPr="0097679B">
        <w:rPr>
          <w:rFonts w:ascii="Arial" w:hAnsi="Arial" w:cs="Arial"/>
          <w:sz w:val="20"/>
          <w:szCs w:val="20"/>
        </w:rPr>
        <w:t>The pre</w:t>
      </w:r>
      <w:r w:rsidR="00076164">
        <w:rPr>
          <w:rFonts w:ascii="Arial" w:hAnsi="Arial" w:cs="Arial"/>
          <w:sz w:val="20"/>
          <w:szCs w:val="20"/>
        </w:rPr>
        <w:t>sent study used a modified OST</w:t>
      </w:r>
      <w:r w:rsidR="002E6B55">
        <w:rPr>
          <w:rFonts w:ascii="Arial" w:hAnsi="Arial" w:cs="Arial"/>
          <w:sz w:val="20"/>
          <w:szCs w:val="20"/>
        </w:rPr>
        <w:t xml:space="preserve"> as a means of assessing the insulin response to oral carbohydrate ingestion</w:t>
      </w:r>
      <w:r w:rsidR="00076164">
        <w:rPr>
          <w:rFonts w:ascii="Arial" w:hAnsi="Arial" w:cs="Arial"/>
          <w:sz w:val="20"/>
          <w:szCs w:val="20"/>
        </w:rPr>
        <w:t>.</w:t>
      </w:r>
      <w:r w:rsidRPr="0097679B">
        <w:rPr>
          <w:rFonts w:ascii="Arial" w:hAnsi="Arial" w:cs="Arial"/>
          <w:sz w:val="20"/>
          <w:szCs w:val="20"/>
        </w:rPr>
        <w:t xml:space="preserve"> Preliminary data indicated that [insulin] 30 and 60 minutes after </w:t>
      </w:r>
      <w:r w:rsidR="001D2F20">
        <w:rPr>
          <w:rFonts w:ascii="Arial" w:hAnsi="Arial" w:cs="Arial"/>
          <w:sz w:val="20"/>
          <w:szCs w:val="20"/>
        </w:rPr>
        <w:t xml:space="preserve">0.15 ml/kg (low dose) corn syrup </w:t>
      </w:r>
      <w:r w:rsidRPr="0097679B">
        <w:rPr>
          <w:rFonts w:ascii="Arial" w:hAnsi="Arial" w:cs="Arial"/>
          <w:sz w:val="20"/>
          <w:szCs w:val="20"/>
        </w:rPr>
        <w:t>administration differed be</w:t>
      </w:r>
      <w:r w:rsidR="00550303">
        <w:rPr>
          <w:rFonts w:ascii="Arial" w:hAnsi="Arial" w:cs="Arial"/>
          <w:sz w:val="20"/>
          <w:szCs w:val="20"/>
        </w:rPr>
        <w:t>tween laminitis prone and never-</w:t>
      </w:r>
      <w:r w:rsidRPr="0097679B">
        <w:rPr>
          <w:rFonts w:ascii="Arial" w:hAnsi="Arial" w:cs="Arial"/>
          <w:sz w:val="20"/>
          <w:szCs w:val="20"/>
        </w:rPr>
        <w:t xml:space="preserve">laminitic ponies when </w:t>
      </w:r>
      <w:r w:rsidR="001D2F20">
        <w:rPr>
          <w:rFonts w:ascii="Arial" w:hAnsi="Arial" w:cs="Arial"/>
          <w:sz w:val="20"/>
          <w:szCs w:val="20"/>
        </w:rPr>
        <w:t>tested</w:t>
      </w:r>
      <w:r w:rsidRPr="0097679B">
        <w:rPr>
          <w:rFonts w:ascii="Arial" w:hAnsi="Arial" w:cs="Arial"/>
          <w:sz w:val="20"/>
          <w:szCs w:val="20"/>
        </w:rPr>
        <w:t xml:space="preserve"> without prior fasting </w:t>
      </w:r>
      <w:r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author":[{"dropping-particle":"","family":"Knowles","given":"E.J.","non-dropping-particle":"","parse-names":false,"suffix":""},{"dropping-particle":"","family":"Harris","given":"P.A.","non-dropping-particle":"","parse-names":false,"suffix":""},{"dropping-particle":"","family":"Elliott","given":"J","non-dropping-particle":"","parse-names":false,"suffix":""},{"dropping-particle":"","family":"Menzies-Gow","given":"N.J.","non-dropping-particle":"","parse-names":false,"suffix":""}],"container-title":"Proceedings of the British Equine Veterinary Assocation Congress","id":"ITEM-1","issued":{"date-parts":[["2016"]]},"page":"202","title":"Oral sugar test responses with or without prior fasting helps differentiate previously laminitic from nonlaminitic ponies","type":"paper-conference"},"uris":["http://www.mendeley.com/documents/?uuid=f26fcfe1-0259-42f2-9c04-0bff06dc296d"]}],"mendeley":{"formattedCitation":"[29]","plainTextFormattedCitation":"[29]","previouslyFormattedCitation":"[29]"},"properties":{"noteIndex":0},"schema":"https://github.com/citation-style-language/schema/raw/master/csl-citation.json"}</w:instrText>
      </w:r>
      <w:r w:rsidRPr="0097679B">
        <w:rPr>
          <w:rFonts w:ascii="Arial" w:hAnsi="Arial" w:cs="Arial"/>
          <w:sz w:val="20"/>
          <w:szCs w:val="20"/>
        </w:rPr>
        <w:fldChar w:fldCharType="separate"/>
      </w:r>
      <w:r w:rsidR="00501B35" w:rsidRPr="00501B35">
        <w:rPr>
          <w:rFonts w:ascii="Arial" w:hAnsi="Arial" w:cs="Arial"/>
          <w:noProof/>
          <w:sz w:val="20"/>
          <w:szCs w:val="20"/>
        </w:rPr>
        <w:t>[29]</w:t>
      </w:r>
      <w:r w:rsidRPr="0097679B">
        <w:rPr>
          <w:rFonts w:ascii="Arial" w:hAnsi="Arial" w:cs="Arial"/>
          <w:sz w:val="20"/>
          <w:szCs w:val="20"/>
        </w:rPr>
        <w:fldChar w:fldCharType="end"/>
      </w:r>
      <w:r w:rsidRPr="0097679B">
        <w:rPr>
          <w:rFonts w:ascii="Arial" w:hAnsi="Arial" w:cs="Arial"/>
          <w:sz w:val="20"/>
          <w:szCs w:val="20"/>
        </w:rPr>
        <w:t>.</w:t>
      </w:r>
      <w:r w:rsidR="007B2F1D" w:rsidRPr="0097679B">
        <w:rPr>
          <w:rFonts w:ascii="Arial" w:hAnsi="Arial" w:cs="Arial"/>
          <w:sz w:val="20"/>
          <w:szCs w:val="20"/>
        </w:rPr>
        <w:t xml:space="preserve"> In the present study the dose of corn syru</w:t>
      </w:r>
      <w:r w:rsidR="002804C7" w:rsidRPr="0097679B">
        <w:rPr>
          <w:rFonts w:ascii="Arial" w:hAnsi="Arial" w:cs="Arial"/>
          <w:sz w:val="20"/>
          <w:szCs w:val="20"/>
        </w:rPr>
        <w:t xml:space="preserve">p was increased to 0.3ml/kg </w:t>
      </w:r>
      <w:r w:rsidR="001D2F20">
        <w:rPr>
          <w:rFonts w:ascii="Arial" w:hAnsi="Arial" w:cs="Arial"/>
          <w:sz w:val="20"/>
          <w:szCs w:val="20"/>
        </w:rPr>
        <w:lastRenderedPageBreak/>
        <w:t xml:space="preserve">to </w:t>
      </w:r>
      <w:r w:rsidR="001D2F20" w:rsidRPr="0097679B">
        <w:rPr>
          <w:rFonts w:ascii="Arial" w:hAnsi="Arial" w:cs="Arial"/>
          <w:sz w:val="20"/>
          <w:szCs w:val="20"/>
        </w:rPr>
        <w:t>provid</w:t>
      </w:r>
      <w:r w:rsidR="001D2F20">
        <w:rPr>
          <w:rFonts w:ascii="Arial" w:hAnsi="Arial" w:cs="Arial"/>
          <w:sz w:val="20"/>
          <w:szCs w:val="20"/>
        </w:rPr>
        <w:t>e</w:t>
      </w:r>
      <w:r w:rsidR="001D2F20" w:rsidRPr="0097679B">
        <w:rPr>
          <w:rFonts w:ascii="Arial" w:hAnsi="Arial" w:cs="Arial"/>
          <w:sz w:val="20"/>
          <w:szCs w:val="20"/>
        </w:rPr>
        <w:t xml:space="preserve"> </w:t>
      </w:r>
      <w:r w:rsidR="002804C7" w:rsidRPr="0097679B">
        <w:rPr>
          <w:rFonts w:ascii="Arial" w:hAnsi="Arial" w:cs="Arial"/>
          <w:sz w:val="20"/>
          <w:szCs w:val="20"/>
        </w:rPr>
        <w:t>greater β-cell stimulus and</w:t>
      </w:r>
      <w:r w:rsidR="001D2F20">
        <w:rPr>
          <w:rFonts w:ascii="Arial" w:hAnsi="Arial" w:cs="Arial"/>
          <w:sz w:val="20"/>
          <w:szCs w:val="20"/>
        </w:rPr>
        <w:t xml:space="preserve"> thus</w:t>
      </w:r>
      <w:r w:rsidR="002804C7" w:rsidRPr="0097679B">
        <w:rPr>
          <w:rFonts w:ascii="Arial" w:hAnsi="Arial" w:cs="Arial"/>
          <w:sz w:val="20"/>
          <w:szCs w:val="20"/>
        </w:rPr>
        <w:t xml:space="preserve"> greater discrimination between hyper-responsive and normal ponies. Data published subsequent to the present study </w:t>
      </w:r>
      <w:r w:rsidR="001D2F20">
        <w:rPr>
          <w:rFonts w:ascii="Arial" w:hAnsi="Arial" w:cs="Arial"/>
          <w:sz w:val="20"/>
          <w:szCs w:val="20"/>
        </w:rPr>
        <w:t xml:space="preserve">commencing </w:t>
      </w:r>
      <w:r w:rsidR="002804C7" w:rsidRPr="0097679B">
        <w:rPr>
          <w:rFonts w:ascii="Arial" w:hAnsi="Arial" w:cs="Arial"/>
          <w:sz w:val="20"/>
          <w:szCs w:val="20"/>
        </w:rPr>
        <w:t>suggest</w:t>
      </w:r>
      <w:r w:rsidR="00874FA4">
        <w:rPr>
          <w:rFonts w:ascii="Arial" w:hAnsi="Arial" w:cs="Arial"/>
          <w:sz w:val="20"/>
          <w:szCs w:val="20"/>
        </w:rPr>
        <w:t>s</w:t>
      </w:r>
      <w:r w:rsidR="002804C7" w:rsidRPr="0097679B">
        <w:rPr>
          <w:rFonts w:ascii="Arial" w:hAnsi="Arial" w:cs="Arial"/>
          <w:sz w:val="20"/>
          <w:szCs w:val="20"/>
        </w:rPr>
        <w:t xml:space="preserve"> that 0.45ml/kg</w:t>
      </w:r>
      <w:r w:rsidR="001D2F20">
        <w:rPr>
          <w:rFonts w:ascii="Arial" w:hAnsi="Arial" w:cs="Arial"/>
          <w:sz w:val="20"/>
          <w:szCs w:val="20"/>
        </w:rPr>
        <w:t xml:space="preserve"> corn syrup</w:t>
      </w:r>
      <w:r w:rsidR="002804C7" w:rsidRPr="0097679B">
        <w:rPr>
          <w:rFonts w:ascii="Arial" w:hAnsi="Arial" w:cs="Arial"/>
          <w:sz w:val="20"/>
          <w:szCs w:val="20"/>
        </w:rPr>
        <w:t xml:space="preserve"> may have provided </w:t>
      </w:r>
      <w:r w:rsidR="001D2F20">
        <w:rPr>
          <w:rFonts w:ascii="Arial" w:hAnsi="Arial" w:cs="Arial"/>
          <w:sz w:val="20"/>
          <w:szCs w:val="20"/>
        </w:rPr>
        <w:t xml:space="preserve">even </w:t>
      </w:r>
      <w:r w:rsidR="002804C7" w:rsidRPr="0097679B">
        <w:rPr>
          <w:rFonts w:ascii="Arial" w:hAnsi="Arial" w:cs="Arial"/>
          <w:sz w:val="20"/>
          <w:szCs w:val="20"/>
        </w:rPr>
        <w:t xml:space="preserve">greater discrimination </w:t>
      </w:r>
      <w:r w:rsidR="002804C7"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{"citationItems":[{"id":"ITEM-1","itemData":{"DOI":"10.1111/evj.12826","ISSN":"20423306","abstract":"Background: The oral sugar test (OST) is used to identify equine insulin dysregulation (ID); however only a dose of 0.15 mL/kg bwt corn syrup has been evaluated. Objectives: To determine the effect of varying the dose of corn syrup on insulin and glucose response to the OST and the test's ability to distinguish between ponies with a history of laminitis (PL) and without laminitis (NL). Study design: Randomised crossover experiment. Methods: After an overnight fast, in a three-way randomised crossover study with a 7-day washout, 0.15, 0.3 or 0.45 mL/kg bwt corn syrup was administered orally to eight ponies (5 PL and 3 NL) and blood obtained between 0 and 120 min. Serum [insulin] and [glucose] were measured using previously validated radioimmunoassay and colorimetric assays respectively. The repeatability of and the effect of continued pasture access on the dose that best distinguished PL and NL ponies were then assessed. The effect of dose, laminitis history and fasting on serum [insulin] and [glucose] responses were assessed using mixed-effects models. Results: The serum [insulin] following 0.15 mL/kg bwt were not significantly different from 0.3 mL/kg bwt at any time point, while serum [insulin] following 0.45 mL/kg bwt significantly (P&lt;0.01) differed from 0.15 and 0.3 mL/kg bwt at all time points apart from 0 min. The serum [insulin] concentration significantly (P&lt;0.01) differed between NL (mean 86 [95% CI 59, 113] μiu/mL) and PL (146 [95% CI 124, 167] μiu/mL) only following 0.45 mL/kg bwt at 60 min. Repeatability of serum [insulin] at 60 min following 0.45 mL/kg bwt dose under fasted conditions was 0.51. Using AUC insulin improved repeatability to 0.83. There was no significant difference between the fasted and at pasture results. Main limitations: The OST was performed in small numbers of ponies on limited occasions. Conclusions: A dose of 0.45 mL/kg bwt corn syrup may be preferable to differentiate PL and NL ponies.","author":[{"dropping-particle":"","family":"Jocelyn","given":"N. A.","non-dropping-particle":"","parse-names":false,"suffix":""},{"dropping-particle":"","family":"Harris","given":"P. A.","non-dropping-particle":"","parse-names":false,"suffix":""},{"dropping-particle":"","family":"Menzies-Gow","given":"N. J.","non-dropping-particle":"","parse-names":false,"suffix":""}],"container-title":"Equine Veterinary Journal","id":"ITEM-1","issue":"6","issued":{"date-parts":[["2018"]]},"page":"836-841","title":"Effect of varying the dose of corn syrup on the insulin and glucose response to the oral sugar test","type":"article-journal","volume":"50"},"uris":["http://www.mendeley.com/documents/?uuid=55a41c1f-f327-48c6-a845-6deda5ce5900"]}],"mendeley":{"formattedCitation":"[30]","plainTextFormattedCitation":"[30]","previouslyFormattedCitation":"[30]"},"properties":{"noteIndex":0},"schema":"https://github.com/citation-style-language/schema/raw/master/csl-citation.json"}</w:instrText>
      </w:r>
      <w:r w:rsidR="002804C7" w:rsidRPr="0097679B">
        <w:rPr>
          <w:rFonts w:ascii="Arial" w:hAnsi="Arial" w:cs="Arial"/>
          <w:sz w:val="20"/>
          <w:szCs w:val="20"/>
        </w:rPr>
        <w:fldChar w:fldCharType="separate"/>
      </w:r>
      <w:r w:rsidR="00501B35" w:rsidRPr="00501B35">
        <w:rPr>
          <w:rFonts w:ascii="Arial" w:hAnsi="Arial" w:cs="Arial"/>
          <w:noProof/>
          <w:sz w:val="20"/>
          <w:szCs w:val="20"/>
        </w:rPr>
        <w:t>[30]</w:t>
      </w:r>
      <w:r w:rsidR="002804C7" w:rsidRPr="0097679B">
        <w:rPr>
          <w:rFonts w:ascii="Arial" w:hAnsi="Arial" w:cs="Arial"/>
          <w:sz w:val="20"/>
          <w:szCs w:val="20"/>
        </w:rPr>
        <w:fldChar w:fldCharType="end"/>
      </w:r>
      <w:r w:rsidR="002804C7" w:rsidRPr="0097679B">
        <w:rPr>
          <w:rFonts w:ascii="Arial" w:hAnsi="Arial" w:cs="Arial"/>
          <w:sz w:val="20"/>
          <w:szCs w:val="20"/>
        </w:rPr>
        <w:t xml:space="preserve"> . </w:t>
      </w:r>
    </w:p>
    <w:p w14:paraId="5002199B" w14:textId="1E6DE44D" w:rsidR="000342A3" w:rsidRDefault="002804C7" w:rsidP="000617A0">
      <w:pPr>
        <w:spacing w:line="480" w:lineRule="auto"/>
        <w:rPr>
          <w:rFonts w:ascii="Arial" w:hAnsi="Arial" w:cs="Arial"/>
          <w:sz w:val="20"/>
          <w:szCs w:val="20"/>
        </w:rPr>
      </w:pPr>
      <w:r w:rsidRPr="0006268E">
        <w:rPr>
          <w:rFonts w:ascii="Arial" w:hAnsi="Arial" w:cs="Arial"/>
          <w:sz w:val="20"/>
          <w:szCs w:val="20"/>
        </w:rPr>
        <w:t xml:space="preserve">The association between </w:t>
      </w:r>
      <w:r w:rsidR="001D2F20">
        <w:rPr>
          <w:rFonts w:ascii="Arial" w:hAnsi="Arial" w:cs="Arial"/>
          <w:sz w:val="20"/>
          <w:szCs w:val="20"/>
        </w:rPr>
        <w:t xml:space="preserve">evident </w:t>
      </w:r>
      <w:r w:rsidRPr="0006268E">
        <w:rPr>
          <w:rFonts w:ascii="Arial" w:hAnsi="Arial" w:cs="Arial"/>
          <w:sz w:val="20"/>
          <w:szCs w:val="20"/>
        </w:rPr>
        <w:t xml:space="preserve">divergent hoof growth with subsequent </w:t>
      </w:r>
      <w:r w:rsidR="001D2F20">
        <w:rPr>
          <w:rFonts w:ascii="Arial" w:hAnsi="Arial" w:cs="Arial"/>
          <w:sz w:val="20"/>
          <w:szCs w:val="20"/>
        </w:rPr>
        <w:t xml:space="preserve">clinically apparent laminitis </w:t>
      </w:r>
      <w:r w:rsidRPr="0006268E">
        <w:rPr>
          <w:rFonts w:ascii="Arial" w:hAnsi="Arial" w:cs="Arial"/>
          <w:sz w:val="20"/>
          <w:szCs w:val="20"/>
        </w:rPr>
        <w:t>development</w:t>
      </w:r>
      <w:r w:rsidRPr="0097679B">
        <w:rPr>
          <w:rFonts w:ascii="Arial" w:hAnsi="Arial" w:cs="Arial"/>
          <w:sz w:val="20"/>
          <w:szCs w:val="20"/>
        </w:rPr>
        <w:t xml:space="preserve"> is interesting. Divergent hoof growth is common </w:t>
      </w:r>
      <w:r w:rsidR="001D2F20">
        <w:rPr>
          <w:rFonts w:ascii="Arial" w:hAnsi="Arial" w:cs="Arial"/>
          <w:sz w:val="20"/>
          <w:szCs w:val="20"/>
        </w:rPr>
        <w:t xml:space="preserve">in </w:t>
      </w:r>
      <w:r w:rsidRPr="0097679B">
        <w:rPr>
          <w:rFonts w:ascii="Arial" w:hAnsi="Arial" w:cs="Arial"/>
          <w:sz w:val="20"/>
          <w:szCs w:val="20"/>
        </w:rPr>
        <w:t>clinical laminitis cases</w:t>
      </w:r>
      <w:r w:rsidR="00A95DAC" w:rsidRPr="0097679B">
        <w:rPr>
          <w:rFonts w:ascii="Arial" w:hAnsi="Arial" w:cs="Arial"/>
          <w:sz w:val="20"/>
          <w:szCs w:val="20"/>
        </w:rPr>
        <w:t xml:space="preserve"> </w:t>
      </w:r>
      <w:r w:rsidR="00A95DAC"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{"citationItems":[{"id":"ITEM-1","itemData":{"DOI":"10.1111/evj.12704","ISSN":"20423306","abstract":"Background: Use of owner-reported data could further epidemiological knowledge of equine laminitis. However, owner recognition of laminitis has not previously been assessed. Objectives: The primary objective was to establish whether cases of owner-suspected laminitis would be confirmed as laminitis by the attending veterinary surgeon. Secondary objectives were to compare owner- and veterinary-reported information from veterinary-confirmed cases of equine laminitis. Study design: Cross-sectional study. Methods: Twenty-five British veterinary practices were invited to submit laminitis reporting forms (LRFs) for active laminitis cases attended between January 2014 and October 2015; detailing 27 clinical signs, 5 underlying conditions and 7 risk factors associated with laminitis. Owners were invited to independently complete a modified LRF if reason for the veterinary visit was suspicion of laminitis. Differences between paired veterinary and owner LRFs, and between cases where owners did and did not recognise laminitis, were assessed using McNemar's and Fisher's Exact tests, respectively. Results: Veterinary LRFs were received for 93 veterinary-diagnosed laminitis cases. All 51 owner-suspected cases were confirmed by veterinary diagnosis, with the remaining 42 (45.2%) not recognised as laminitis by owners. Undefined lameness, foot abscesses, colic and stiffness were common reasons for owner-requested veterinary visits in owner-unrecognised cases. ‘Divergent growth rings’ (prevalence difference: +27.3%, P = 0.01) and ‘breed type’ (prevalence difference: +21.2%, P = 0.04) were more commonly reported by veterinary surgeons in owner-recognised compared to owner-unrecognised cases. ‘Difficulty turning’, ‘shifting weight’ and risk factor ‘body condition’ were more frequently reported by veterinary surgeons whilst ‘increased hoof temperature’ was reported more frequently by owners. Main limitations: The limited clinical data restricted statistical inferences regarding the secondary objectives. Conclusions: All owner-suspected laminitis cases were confirmed upon veterinary examination, showing validity for the inclusion of owner-reported cases in future epidemiological studies. However, failure of laminitis recognition by owners highlights further need for evidence-based education to ensure early disease detection.","author":[{"dropping-particle":"","family":"Pollard","given":"D.","non-dropping-particle":"","parse-names":false,"suffix":""},{"dropping-particle":"","family":"Wylie","given":"C E","non-dropping-particle":"","parse-names":false,"suffix":""},{"dropping-particle":"","family":"Verheyen","given":"K. L.P.","non-dropping-particle":"","parse-names":false,"suffix":""},{"dropping-particle":"","family":"Newton","given":"J. R.","non-dropping-particle":"","parse-names":false,"suffix":""}],"container-title":"Equine Veterinary Journal","id":"ITEM-1","issue":"6","issued":{"date-parts":[["2017"]]},"page":"759-766","title":"Assessment of horse owners’ ability to recognise equine laminitis: A cross-sectional study of 93 veterinary diagnosed cases in Great Britain","type":"article-journal","volume":"49"},"uris":["http://www.mendeley.com/documents/?uuid=9cc3a35e-31b6-4fe8-9793-978c39646702"]}],"mendeley":{"formattedCitation":"[19]","plainTextFormattedCitation":"[19]","previouslyFormattedCitation":"[19]"},"properties":{"noteIndex":0},"schema":"https://github.com/citation-style-language/schema/raw/master/csl-citation.json"}</w:instrText>
      </w:r>
      <w:r w:rsidR="00A95DAC" w:rsidRPr="0097679B">
        <w:rPr>
          <w:rFonts w:ascii="Arial" w:hAnsi="Arial" w:cs="Arial"/>
          <w:sz w:val="20"/>
          <w:szCs w:val="20"/>
        </w:rPr>
        <w:fldChar w:fldCharType="separate"/>
      </w:r>
      <w:r w:rsidR="00A95DAC" w:rsidRPr="00501B35">
        <w:rPr>
          <w:rFonts w:ascii="Arial" w:hAnsi="Arial" w:cs="Arial"/>
          <w:noProof/>
          <w:sz w:val="20"/>
          <w:szCs w:val="20"/>
        </w:rPr>
        <w:t>[19]</w:t>
      </w:r>
      <w:r w:rsidR="00A95DAC" w:rsidRPr="0097679B">
        <w:rPr>
          <w:rFonts w:ascii="Arial" w:hAnsi="Arial" w:cs="Arial"/>
          <w:sz w:val="20"/>
          <w:szCs w:val="20"/>
        </w:rPr>
        <w:fldChar w:fldCharType="end"/>
      </w:r>
      <w:r w:rsidR="00A95DAC">
        <w:rPr>
          <w:rFonts w:ascii="Arial" w:hAnsi="Arial" w:cs="Arial"/>
          <w:sz w:val="20"/>
          <w:szCs w:val="20"/>
        </w:rPr>
        <w:t xml:space="preserve"> although it is unclear whether it is specific for laminitis. The</w:t>
      </w:r>
      <w:r w:rsidR="00A0478E">
        <w:rPr>
          <w:rFonts w:ascii="Arial" w:hAnsi="Arial" w:cs="Arial"/>
          <w:sz w:val="20"/>
          <w:szCs w:val="20"/>
        </w:rPr>
        <w:t xml:space="preserve"> aetiology </w:t>
      </w:r>
      <w:r w:rsidR="00A95DAC">
        <w:rPr>
          <w:rFonts w:ascii="Arial" w:hAnsi="Arial" w:cs="Arial"/>
          <w:sz w:val="20"/>
          <w:szCs w:val="20"/>
        </w:rPr>
        <w:t>is unclear</w:t>
      </w:r>
      <w:r w:rsidR="002E6B55">
        <w:rPr>
          <w:rFonts w:ascii="Arial" w:hAnsi="Arial" w:cs="Arial"/>
          <w:sz w:val="20"/>
          <w:szCs w:val="20"/>
        </w:rPr>
        <w:t>,</w:t>
      </w:r>
      <w:r w:rsidR="00A95DAC">
        <w:rPr>
          <w:rFonts w:ascii="Arial" w:hAnsi="Arial" w:cs="Arial"/>
          <w:sz w:val="20"/>
          <w:szCs w:val="20"/>
        </w:rPr>
        <w:t xml:space="preserve"> although speculatively insulin-mediated effects on cell proliferation and differentiation are plausible. </w:t>
      </w:r>
      <w:r w:rsidRPr="0097679B">
        <w:rPr>
          <w:rFonts w:ascii="Arial" w:hAnsi="Arial" w:cs="Arial"/>
          <w:sz w:val="20"/>
          <w:szCs w:val="20"/>
        </w:rPr>
        <w:t xml:space="preserve">The association identified supports the hypothesis that divergent hoof growth is a </w:t>
      </w:r>
      <w:r w:rsidR="00BF1604">
        <w:rPr>
          <w:rFonts w:ascii="Arial" w:hAnsi="Arial" w:cs="Arial"/>
          <w:sz w:val="20"/>
          <w:szCs w:val="20"/>
        </w:rPr>
        <w:t xml:space="preserve"> </w:t>
      </w:r>
      <w:r w:rsidRPr="0097679B">
        <w:rPr>
          <w:rFonts w:ascii="Arial" w:hAnsi="Arial" w:cs="Arial"/>
          <w:sz w:val="20"/>
          <w:szCs w:val="20"/>
        </w:rPr>
        <w:t>pre-clinical/ sub-clinical laminitis</w:t>
      </w:r>
      <w:r w:rsidR="001D2F20">
        <w:rPr>
          <w:rFonts w:ascii="Arial" w:hAnsi="Arial" w:cs="Arial"/>
          <w:sz w:val="20"/>
          <w:szCs w:val="20"/>
        </w:rPr>
        <w:t xml:space="preserve"> </w:t>
      </w:r>
      <w:r w:rsidR="001D2F20" w:rsidRPr="0097679B">
        <w:rPr>
          <w:rFonts w:ascii="Arial" w:hAnsi="Arial" w:cs="Arial"/>
          <w:sz w:val="20"/>
          <w:szCs w:val="20"/>
        </w:rPr>
        <w:t>indicator</w:t>
      </w:r>
      <w:r w:rsidRPr="0097679B">
        <w:rPr>
          <w:rFonts w:ascii="Arial" w:hAnsi="Arial" w:cs="Arial"/>
          <w:sz w:val="20"/>
          <w:szCs w:val="20"/>
        </w:rPr>
        <w:t xml:space="preserve"> that may progress to clinically apparent disease </w:t>
      </w:r>
      <w:r w:rsidRPr="0097679B">
        <w:rPr>
          <w:rFonts w:ascii="Arial" w:hAnsi="Arial" w:cs="Arial"/>
          <w:sz w:val="20"/>
          <w:szCs w:val="20"/>
        </w:rPr>
        <w:fldChar w:fldCharType="begin" w:fldLock="1"/>
      </w:r>
      <w:r w:rsidR="00DB289B" w:rsidRPr="0097679B">
        <w:rPr>
          <w:rFonts w:ascii="Arial" w:hAnsi="Arial" w:cs="Arial"/>
          <w:sz w:val="20"/>
          <w:szCs w:val="20"/>
        </w:rPr>
        <w:instrText>ADDIN CSL_CITATION {"citationItems":[{"id":"ITEM-1","itemData":{"DOI":"10.1016/j.tvjl.2017.11.011","ISSN":"15322971","PMID":"29429485","abstract":"Laminitis, one of the most debilitating conditions of all equids, is now known to be the result of several systemic disease entities. This finding, together with other recent developments in the field of laminitis research, have provoked a rethink of our clinical and research strategies for this condition. First, laminitis is now considered to be a clinical syndrome associated with systemic disease (endocrine disease, sepsis or systemic inflammatory response syndrome, SIRS) or altered weight bearing rather than being a discrete disease entity. Next, laminitis associated with endocrine disease (endocrinopathic laminitis) is now believed to be the predominant form in animals presenting (primarily) for lameness. Third, the designation of laminitis as a primary and severe basement membrane pathology now requires revision. Instead, current data now proposes a variable subclinical phase associated with gross changes in the hoof capsule, with stretching and elongation of the lamellar cells an early and key event in the pathophysiology. These findings have fuelled new mechanistic hypotheses and research directions that will be discussed, together with their implications for future clinical management.","author":[{"dropping-particle":"","family":"Patterson-Kane","given":"J. C.","non-dropping-particle":"","parse-names":false,"suffix":""},{"dropping-particle":"","family":"Karikoski","given":"N. P.","non-dropping-particle":"","parse-names":false,"suffix":""},{"dropping-particle":"","family":"McGowan","given":"C. M.","non-dropping-particle":"","parse-names":false,"suffix":""}],"container-title":"Veterinary Journal","id":"ITEM-1","issued":{"date-parts":[["2018"]]},"page":"33-40","publisher":"Elsevier Ltd.","title":"Paradigm shifts in understanding equine laminitis","type":"article-journal","volume":"231"},"uris":["http://www.mendeley.com/documents/?uuid=14909141-f5f6-4ad1-9153-57a716b1f48d"]}],"mendeley":{"formattedCitation":"[1]","plainTextFormattedCitation":"[1]","previouslyFormattedCitation":"[1]"},"properties":{"noteIndex":0},"schema":"https://github.com/citation-style-language/schema/raw/master/csl-citation.json"}</w:instrText>
      </w:r>
      <w:r w:rsidRPr="0097679B">
        <w:rPr>
          <w:rFonts w:ascii="Arial" w:hAnsi="Arial" w:cs="Arial"/>
          <w:sz w:val="20"/>
          <w:szCs w:val="20"/>
        </w:rPr>
        <w:fldChar w:fldCharType="separate"/>
      </w:r>
      <w:r w:rsidRPr="0097679B">
        <w:rPr>
          <w:rFonts w:ascii="Arial" w:hAnsi="Arial" w:cs="Arial"/>
          <w:noProof/>
          <w:sz w:val="20"/>
          <w:szCs w:val="20"/>
        </w:rPr>
        <w:t>[1]</w:t>
      </w:r>
      <w:r w:rsidRPr="0097679B">
        <w:rPr>
          <w:rFonts w:ascii="Arial" w:hAnsi="Arial" w:cs="Arial"/>
          <w:sz w:val="20"/>
          <w:szCs w:val="20"/>
        </w:rPr>
        <w:fldChar w:fldCharType="end"/>
      </w:r>
      <w:r w:rsidR="00151D87">
        <w:rPr>
          <w:rFonts w:ascii="Arial" w:hAnsi="Arial" w:cs="Arial"/>
          <w:sz w:val="20"/>
          <w:szCs w:val="20"/>
        </w:rPr>
        <w:t>.</w:t>
      </w:r>
      <w:r w:rsidR="00D57982" w:rsidRPr="0097679B">
        <w:rPr>
          <w:rFonts w:ascii="Arial" w:hAnsi="Arial" w:cs="Arial"/>
          <w:sz w:val="20"/>
          <w:szCs w:val="20"/>
        </w:rPr>
        <w:t xml:space="preserve"> </w:t>
      </w:r>
      <w:r w:rsidRPr="0097679B">
        <w:rPr>
          <w:rFonts w:ascii="Arial" w:hAnsi="Arial" w:cs="Arial"/>
          <w:sz w:val="20"/>
          <w:szCs w:val="20"/>
        </w:rPr>
        <w:t xml:space="preserve">Divergent hoof growth is an appealing </w:t>
      </w:r>
      <w:r w:rsidR="00696C01">
        <w:rPr>
          <w:rFonts w:ascii="Arial" w:hAnsi="Arial" w:cs="Arial"/>
          <w:sz w:val="20"/>
          <w:szCs w:val="20"/>
        </w:rPr>
        <w:t xml:space="preserve">risk marker </w:t>
      </w:r>
      <w:r w:rsidR="00223BF4">
        <w:rPr>
          <w:rFonts w:ascii="Arial" w:hAnsi="Arial" w:cs="Arial"/>
          <w:sz w:val="20"/>
          <w:szCs w:val="20"/>
        </w:rPr>
        <w:t xml:space="preserve">for </w:t>
      </w:r>
      <w:r w:rsidRPr="0097679B">
        <w:rPr>
          <w:rFonts w:ascii="Arial" w:hAnsi="Arial" w:cs="Arial"/>
          <w:sz w:val="20"/>
          <w:szCs w:val="20"/>
        </w:rPr>
        <w:t>clinic</w:t>
      </w:r>
      <w:r w:rsidR="00076164">
        <w:rPr>
          <w:rFonts w:ascii="Arial" w:hAnsi="Arial" w:cs="Arial"/>
          <w:sz w:val="20"/>
          <w:szCs w:val="20"/>
        </w:rPr>
        <w:t xml:space="preserve">ally apparent laminitis as its </w:t>
      </w:r>
      <w:r w:rsidRPr="0097679B">
        <w:rPr>
          <w:rFonts w:ascii="Arial" w:hAnsi="Arial" w:cs="Arial"/>
          <w:sz w:val="20"/>
          <w:szCs w:val="20"/>
        </w:rPr>
        <w:t xml:space="preserve">assessment </w:t>
      </w:r>
      <w:r w:rsidR="00076164">
        <w:rPr>
          <w:rFonts w:ascii="Arial" w:hAnsi="Arial" w:cs="Arial"/>
          <w:sz w:val="20"/>
          <w:szCs w:val="20"/>
        </w:rPr>
        <w:t>is convenient and</w:t>
      </w:r>
      <w:r w:rsidR="000342A3" w:rsidRPr="0097679B">
        <w:rPr>
          <w:rFonts w:ascii="Arial" w:hAnsi="Arial" w:cs="Arial"/>
          <w:sz w:val="20"/>
          <w:szCs w:val="20"/>
        </w:rPr>
        <w:t xml:space="preserve"> most ponies</w:t>
      </w:r>
      <w:r w:rsidR="00696C01">
        <w:rPr>
          <w:rFonts w:ascii="Arial" w:hAnsi="Arial" w:cs="Arial"/>
          <w:sz w:val="20"/>
          <w:szCs w:val="20"/>
        </w:rPr>
        <w:t>’ feet</w:t>
      </w:r>
      <w:r w:rsidR="000342A3" w:rsidRPr="0097679B">
        <w:rPr>
          <w:rFonts w:ascii="Arial" w:hAnsi="Arial" w:cs="Arial"/>
          <w:sz w:val="20"/>
          <w:szCs w:val="20"/>
        </w:rPr>
        <w:t xml:space="preserve"> are examined frequently by a farrier</w:t>
      </w:r>
      <w:r w:rsidR="00D57982">
        <w:rPr>
          <w:rFonts w:ascii="Arial" w:hAnsi="Arial" w:cs="Arial"/>
          <w:sz w:val="20"/>
          <w:szCs w:val="20"/>
        </w:rPr>
        <w:t xml:space="preserve">. </w:t>
      </w:r>
      <w:r w:rsidR="00BF1604" w:rsidRPr="00BF1604">
        <w:rPr>
          <w:rFonts w:ascii="Arial" w:hAnsi="Arial" w:cs="Arial"/>
          <w:sz w:val="20"/>
          <w:szCs w:val="20"/>
        </w:rPr>
        <w:t>A weakness of the present study was the subjectivity of the grading scale used to assess divergence</w:t>
      </w:r>
      <w:r w:rsidR="00BF1604">
        <w:rPr>
          <w:rFonts w:ascii="Arial" w:hAnsi="Arial" w:cs="Arial"/>
          <w:sz w:val="20"/>
          <w:szCs w:val="20"/>
        </w:rPr>
        <w:t xml:space="preserve"> and f</w:t>
      </w:r>
      <w:r w:rsidR="00BF1604" w:rsidRPr="00BF1604">
        <w:rPr>
          <w:rFonts w:ascii="Arial" w:hAnsi="Arial" w:cs="Arial"/>
          <w:sz w:val="20"/>
          <w:szCs w:val="20"/>
        </w:rPr>
        <w:t>urther research is required to develop repeatable objective grading systems</w:t>
      </w:r>
      <w:r w:rsidR="00A95DAC">
        <w:rPr>
          <w:rFonts w:ascii="Arial" w:hAnsi="Arial" w:cs="Arial"/>
          <w:sz w:val="20"/>
          <w:szCs w:val="20"/>
        </w:rPr>
        <w:t>.</w:t>
      </w:r>
    </w:p>
    <w:p w14:paraId="2E15E498" w14:textId="058E9259" w:rsidR="002804C7" w:rsidRPr="0097679B" w:rsidRDefault="000342A3" w:rsidP="000617A0">
      <w:pPr>
        <w:spacing w:line="480" w:lineRule="auto"/>
        <w:rPr>
          <w:rFonts w:ascii="Arial" w:hAnsi="Arial" w:cs="Arial"/>
          <w:sz w:val="20"/>
          <w:szCs w:val="20"/>
        </w:rPr>
      </w:pPr>
      <w:r w:rsidRPr="0097679B">
        <w:rPr>
          <w:rFonts w:ascii="Arial" w:hAnsi="Arial" w:cs="Arial"/>
          <w:sz w:val="20"/>
          <w:szCs w:val="20"/>
        </w:rPr>
        <w:t xml:space="preserve">Of the </w:t>
      </w:r>
      <w:r w:rsidR="0006268E">
        <w:rPr>
          <w:rFonts w:ascii="Arial" w:hAnsi="Arial" w:cs="Arial"/>
          <w:sz w:val="20"/>
          <w:szCs w:val="20"/>
        </w:rPr>
        <w:t>statistically</w:t>
      </w:r>
      <w:r w:rsidRPr="0097679B">
        <w:rPr>
          <w:rFonts w:ascii="Arial" w:hAnsi="Arial" w:cs="Arial"/>
          <w:sz w:val="20"/>
          <w:szCs w:val="20"/>
        </w:rPr>
        <w:t xml:space="preserve"> significant factors in the initial models, the composite exercise variable was the only directly modifiable factor. Th</w:t>
      </w:r>
      <w:r w:rsidR="00696C01">
        <w:rPr>
          <w:rFonts w:ascii="Arial" w:hAnsi="Arial" w:cs="Arial"/>
          <w:sz w:val="20"/>
          <w:szCs w:val="20"/>
        </w:rPr>
        <w:t>is</w:t>
      </w:r>
      <w:r w:rsidRPr="0097679B">
        <w:rPr>
          <w:rFonts w:ascii="Arial" w:hAnsi="Arial" w:cs="Arial"/>
          <w:sz w:val="20"/>
          <w:szCs w:val="20"/>
        </w:rPr>
        <w:t xml:space="preserve"> variable combined the reported </w:t>
      </w:r>
      <w:r w:rsidR="00696C01">
        <w:rPr>
          <w:rFonts w:ascii="Arial" w:hAnsi="Arial" w:cs="Arial"/>
          <w:sz w:val="20"/>
          <w:szCs w:val="20"/>
        </w:rPr>
        <w:t xml:space="preserve">exercise </w:t>
      </w:r>
      <w:r w:rsidRPr="0097679B">
        <w:rPr>
          <w:rFonts w:ascii="Arial" w:hAnsi="Arial" w:cs="Arial"/>
          <w:sz w:val="20"/>
          <w:szCs w:val="20"/>
        </w:rPr>
        <w:t xml:space="preserve">frequency and intensity into a single parameter. Whether exercise itself is protective or whether it is simply a marker </w:t>
      </w:r>
      <w:r w:rsidR="00DB289B" w:rsidRPr="0097679B">
        <w:rPr>
          <w:rFonts w:ascii="Arial" w:hAnsi="Arial" w:cs="Arial"/>
          <w:sz w:val="20"/>
          <w:szCs w:val="20"/>
        </w:rPr>
        <w:t>for other factors associated with lower risk is unclear</w:t>
      </w:r>
      <w:r w:rsidR="00696C01">
        <w:rPr>
          <w:rFonts w:ascii="Arial" w:hAnsi="Arial" w:cs="Arial"/>
          <w:sz w:val="20"/>
          <w:szCs w:val="20"/>
        </w:rPr>
        <w:t>.</w:t>
      </w:r>
      <w:r w:rsidR="00DB289B" w:rsidRPr="0097679B">
        <w:rPr>
          <w:rFonts w:ascii="Arial" w:hAnsi="Arial" w:cs="Arial"/>
          <w:sz w:val="20"/>
          <w:szCs w:val="20"/>
        </w:rPr>
        <w:t xml:space="preserve"> </w:t>
      </w:r>
      <w:r w:rsidR="00696C01">
        <w:rPr>
          <w:rFonts w:ascii="Arial" w:hAnsi="Arial" w:cs="Arial"/>
          <w:sz w:val="20"/>
          <w:szCs w:val="20"/>
        </w:rPr>
        <w:t>Nevertheless, r</w:t>
      </w:r>
      <w:r w:rsidR="00DB289B" w:rsidRPr="0097679B">
        <w:rPr>
          <w:rFonts w:ascii="Arial" w:hAnsi="Arial" w:cs="Arial"/>
          <w:sz w:val="20"/>
          <w:szCs w:val="20"/>
        </w:rPr>
        <w:t xml:space="preserve">egular low-intensity exercise with dietary restriction increased insulin sensitivity and had greater benefits than dietary restriction alone in obese equids </w:t>
      </w:r>
      <w:r w:rsidR="00DB289B"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{"citationItems":[{"id":"ITEM-1","itemData":{"DOI":"10.1111/jvim.15374","author":[{"dropping-particle":"","family":"Bamford","given":"Nicholas J","non-dropping-particle":"","parse-names":false,"suffix":""},{"dropping-particle":"","family":"Potter","given":"Samantha J","non-dropping-particle":"","parse-names":false,"suffix":""},{"dropping-particle":"","family":"Baskerville","given":"Courtnay L","non-dropping-particle":"","parse-names":false,"suffix":""},{"dropping-particle":"","family":"Harris","given":"Patricia A","non-dropping-particle":"","parse-names":false,"suffix":""},{"dropping-particle":"","family":"Bailey","given":"Simon R","non-dropping-particle":"","parse-names":false,"suffix":""}],"container-title":"Journal of Veterinary Internal Medicine","id":"ITEM-1","issued":{"date-parts":[["2019"]]},"page":"280-286","title":"Influence of dietary restriction and low-intensity exercise on weight loss and insulin sensitivity in obese equids","type":"article-journal","volume":"33"},"uris":["http://www.mendeley.com/documents/?uuid=90c42007-9bea-4768-a8ec-a20846d172f8"]}],"mendeley":{"formattedCitation":"[31]","plainTextFormattedCitation":"[31]","previouslyFormattedCitation":"[31]"},"properties":{"noteIndex":0},"schema":"https://github.com/citation-style-language/schema/raw/master/csl-citation.json"}</w:instrText>
      </w:r>
      <w:r w:rsidR="00DB289B" w:rsidRPr="0097679B">
        <w:rPr>
          <w:rFonts w:ascii="Arial" w:hAnsi="Arial" w:cs="Arial"/>
          <w:sz w:val="20"/>
          <w:szCs w:val="20"/>
        </w:rPr>
        <w:fldChar w:fldCharType="separate"/>
      </w:r>
      <w:r w:rsidR="00501B35" w:rsidRPr="00501B35">
        <w:rPr>
          <w:rFonts w:ascii="Arial" w:hAnsi="Arial" w:cs="Arial"/>
          <w:noProof/>
          <w:sz w:val="20"/>
          <w:szCs w:val="20"/>
        </w:rPr>
        <w:t>[31]</w:t>
      </w:r>
      <w:r w:rsidR="00DB289B" w:rsidRPr="0097679B">
        <w:rPr>
          <w:rFonts w:ascii="Arial" w:hAnsi="Arial" w:cs="Arial"/>
          <w:sz w:val="20"/>
          <w:szCs w:val="20"/>
        </w:rPr>
        <w:fldChar w:fldCharType="end"/>
      </w:r>
      <w:r w:rsidR="00DB289B" w:rsidRPr="0097679B">
        <w:rPr>
          <w:rFonts w:ascii="Arial" w:hAnsi="Arial" w:cs="Arial"/>
          <w:sz w:val="20"/>
          <w:szCs w:val="20"/>
        </w:rPr>
        <w:t>.</w:t>
      </w:r>
      <w:r w:rsidRPr="0097679B">
        <w:rPr>
          <w:rFonts w:ascii="Arial" w:hAnsi="Arial" w:cs="Arial"/>
          <w:sz w:val="20"/>
          <w:szCs w:val="20"/>
        </w:rPr>
        <w:t xml:space="preserve"> </w:t>
      </w:r>
      <w:r w:rsidR="00DB289B" w:rsidRPr="0097679B">
        <w:rPr>
          <w:rFonts w:ascii="Arial" w:hAnsi="Arial" w:cs="Arial"/>
          <w:sz w:val="20"/>
          <w:szCs w:val="20"/>
        </w:rPr>
        <w:t xml:space="preserve">Increased exercise is therefore likely to be a useful strategy for ponies at increased </w:t>
      </w:r>
      <w:r w:rsidR="00696C01">
        <w:rPr>
          <w:rFonts w:ascii="Arial" w:hAnsi="Arial" w:cs="Arial"/>
          <w:sz w:val="20"/>
          <w:szCs w:val="20"/>
        </w:rPr>
        <w:t xml:space="preserve">laminitis </w:t>
      </w:r>
      <w:r w:rsidR="00DB289B" w:rsidRPr="0097679B">
        <w:rPr>
          <w:rFonts w:ascii="Arial" w:hAnsi="Arial" w:cs="Arial"/>
          <w:sz w:val="20"/>
          <w:szCs w:val="20"/>
        </w:rPr>
        <w:t xml:space="preserve">risk. </w:t>
      </w:r>
    </w:p>
    <w:p w14:paraId="09E96426" w14:textId="55F1375B" w:rsidR="00DB289B" w:rsidRPr="0097679B" w:rsidRDefault="008C1D47" w:rsidP="000617A0">
      <w:pPr>
        <w:spacing w:line="480" w:lineRule="auto"/>
        <w:rPr>
          <w:rFonts w:ascii="Arial" w:hAnsi="Arial" w:cs="Arial"/>
          <w:sz w:val="20"/>
          <w:szCs w:val="20"/>
        </w:rPr>
      </w:pPr>
      <w:r w:rsidRPr="0097679B">
        <w:rPr>
          <w:rFonts w:ascii="Arial" w:hAnsi="Arial" w:cs="Arial"/>
          <w:sz w:val="20"/>
          <w:szCs w:val="20"/>
        </w:rPr>
        <w:t xml:space="preserve">Increasing age was a </w:t>
      </w:r>
      <w:r w:rsidR="00696C01">
        <w:rPr>
          <w:rFonts w:ascii="Arial" w:hAnsi="Arial" w:cs="Arial"/>
          <w:sz w:val="20"/>
          <w:szCs w:val="20"/>
        </w:rPr>
        <w:t xml:space="preserve">laminitis </w:t>
      </w:r>
      <w:r w:rsidRPr="0097679B">
        <w:rPr>
          <w:rFonts w:ascii="Arial" w:hAnsi="Arial" w:cs="Arial"/>
          <w:sz w:val="20"/>
          <w:szCs w:val="20"/>
        </w:rPr>
        <w:t>risk factor in the initial model of owner questionnaire and signalment data. However, it was not an independent factor in the combined models, consistent with age being a marker for another factor</w:t>
      </w:r>
      <w:r w:rsidR="00696C01">
        <w:rPr>
          <w:rFonts w:ascii="Arial" w:hAnsi="Arial" w:cs="Arial"/>
          <w:sz w:val="20"/>
          <w:szCs w:val="20"/>
        </w:rPr>
        <w:t>s,</w:t>
      </w:r>
      <w:r w:rsidRPr="0097679B">
        <w:rPr>
          <w:rFonts w:ascii="Arial" w:hAnsi="Arial" w:cs="Arial"/>
          <w:sz w:val="20"/>
          <w:szCs w:val="20"/>
        </w:rPr>
        <w:t xml:space="preserve"> such as insulin dysregulation. Increasing age is associated with greater β-cell responses </w:t>
      </w:r>
      <w:r w:rsidRPr="0097679B">
        <w:rPr>
          <w:rFonts w:ascii="Arial" w:hAnsi="Arial" w:cs="Arial"/>
          <w:sz w:val="20"/>
          <w:szCs w:val="20"/>
        </w:rPr>
        <w:fldChar w:fldCharType="begin" w:fldLock="1"/>
      </w:r>
      <w:r w:rsidR="002407CB">
        <w:rPr>
          <w:rFonts w:ascii="Arial" w:hAnsi="Arial" w:cs="Arial"/>
          <w:sz w:val="20"/>
          <w:szCs w:val="20"/>
        </w:rPr>
        <w:instrText>ADDIN CSL_CITATION {"citationItems":[{"id":"ITEM-1","itemData":{"DOI":"10.1111/evj.12745","ISBN":"4955139574","ISSN":"04251644","PMID":"28199780","abstract":"Introduction: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DULCIS.","author":[{"dropping-particle":"","family":"Jacob","given":"S. I.","non-dropping-particle":"","parse-names":false,"suffix":""},{"dropping-particle":"","family":"Geor","given":"R. J.","non-dropping-particle":"","parse-names":false,"suffix":""},{"dropping-particle":"","family":"Weber","given":"P. S. D.","non-dropping-particle":"","parse-names":false,"suffix":""},{"dropping-particle":"","family":"Harris","given":"P. A.","non-dropping-particle":"","parse-names":false,"suffix":""},{"dropping-particle":"","family":"McCue","given":"M. E.","non-dropping-particle":"","parse-names":false,"suffix":""}],"container-title":"Equine Veterinary Journal","id":"ITEM-1","issued":{"date-parts":[["2018"]]},"page":"249-254","title":"Effect of age and dietary carbohydrate profiles on glucose and insulin dynamics in horses","type":"article-journal","volume":"50"},"uris":["http://www.mendeley.com/documents/?uuid=30c9a1f4-5bc1-41b8-b1b0-a94bb119afa7"]}],"mendeley":{"formattedCitation":"[32]","plainTextFormattedCitation":"[32]","previouslyFormattedCitation":"[32]"},"properties":{"noteIndex":0},"schema":"https://github.com/citation-style-language/schema/raw/master/csl-citation.json"}</w:instrText>
      </w:r>
      <w:r w:rsidRPr="0097679B">
        <w:rPr>
          <w:rFonts w:ascii="Arial" w:hAnsi="Arial" w:cs="Arial"/>
          <w:sz w:val="20"/>
          <w:szCs w:val="20"/>
        </w:rPr>
        <w:fldChar w:fldCharType="separate"/>
      </w:r>
      <w:r w:rsidR="00501B35" w:rsidRPr="00501B35">
        <w:rPr>
          <w:rFonts w:ascii="Arial" w:hAnsi="Arial" w:cs="Arial"/>
          <w:noProof/>
          <w:sz w:val="20"/>
          <w:szCs w:val="20"/>
        </w:rPr>
        <w:t>[32]</w:t>
      </w:r>
      <w:r w:rsidRPr="0097679B">
        <w:rPr>
          <w:rFonts w:ascii="Arial" w:hAnsi="Arial" w:cs="Arial"/>
          <w:sz w:val="20"/>
          <w:szCs w:val="20"/>
        </w:rPr>
        <w:fldChar w:fldCharType="end"/>
      </w:r>
      <w:r w:rsidRPr="0097679B">
        <w:rPr>
          <w:rFonts w:ascii="Arial" w:hAnsi="Arial" w:cs="Arial"/>
          <w:sz w:val="20"/>
          <w:szCs w:val="20"/>
        </w:rPr>
        <w:t xml:space="preserve">. Similarly, the presence of hypertrichosis was associated with laminitis in the initial models but was not an independent factor in the combined models when a wider set of variables were considered. </w:t>
      </w:r>
    </w:p>
    <w:p w14:paraId="12243D58" w14:textId="4F54B3AB" w:rsidR="00C65253" w:rsidRPr="0097679B" w:rsidRDefault="00DB289B" w:rsidP="000617A0">
      <w:pPr>
        <w:spacing w:line="480" w:lineRule="auto"/>
        <w:rPr>
          <w:rFonts w:ascii="Arial" w:hAnsi="Arial" w:cs="Arial"/>
          <w:sz w:val="20"/>
          <w:szCs w:val="20"/>
        </w:rPr>
      </w:pPr>
      <w:r w:rsidRPr="0097679B">
        <w:rPr>
          <w:rFonts w:ascii="Arial" w:hAnsi="Arial" w:cs="Arial"/>
          <w:sz w:val="20"/>
          <w:szCs w:val="20"/>
        </w:rPr>
        <w:t xml:space="preserve">The lack of an </w:t>
      </w:r>
      <w:r w:rsidR="00C65253" w:rsidRPr="0097679B">
        <w:rPr>
          <w:rFonts w:ascii="Arial" w:hAnsi="Arial" w:cs="Arial"/>
          <w:sz w:val="20"/>
          <w:szCs w:val="20"/>
        </w:rPr>
        <w:t xml:space="preserve">independent </w:t>
      </w:r>
      <w:r w:rsidRPr="0097679B">
        <w:rPr>
          <w:rFonts w:ascii="Arial" w:hAnsi="Arial" w:cs="Arial"/>
          <w:sz w:val="20"/>
          <w:szCs w:val="20"/>
        </w:rPr>
        <w:t xml:space="preserve">association between hypertrichosis and laminitis in the combined models is consistent with the </w:t>
      </w:r>
      <w:r w:rsidR="0006268E">
        <w:rPr>
          <w:rFonts w:ascii="Arial" w:hAnsi="Arial" w:cs="Arial"/>
          <w:sz w:val="20"/>
          <w:szCs w:val="20"/>
        </w:rPr>
        <w:t xml:space="preserve">separate </w:t>
      </w:r>
      <w:r w:rsidRPr="0097679B">
        <w:rPr>
          <w:rFonts w:ascii="Arial" w:hAnsi="Arial" w:cs="Arial"/>
          <w:sz w:val="20"/>
          <w:szCs w:val="20"/>
        </w:rPr>
        <w:t>analysis of [ACTH] as a risk factor. The association between [ACTH] and laminitis was weak and only present on univariable analysis of</w:t>
      </w:r>
      <w:r w:rsidR="00696C01">
        <w:rPr>
          <w:rFonts w:ascii="Arial" w:hAnsi="Arial" w:cs="Arial"/>
          <w:sz w:val="20"/>
          <w:szCs w:val="20"/>
        </w:rPr>
        <w:t xml:space="preserve"> autumn</w:t>
      </w:r>
      <w:r w:rsidRPr="0097679B">
        <w:rPr>
          <w:rFonts w:ascii="Arial" w:hAnsi="Arial" w:cs="Arial"/>
          <w:sz w:val="20"/>
          <w:szCs w:val="20"/>
        </w:rPr>
        <w:t xml:space="preserve"> samples.</w:t>
      </w:r>
      <w:r w:rsidR="00C65253" w:rsidRPr="0097679B">
        <w:rPr>
          <w:rFonts w:ascii="Arial" w:hAnsi="Arial" w:cs="Arial"/>
          <w:sz w:val="20"/>
          <w:szCs w:val="20"/>
        </w:rPr>
        <w:t xml:space="preserve"> Autumn [ACTH] </w:t>
      </w:r>
      <w:r w:rsidR="00C65253" w:rsidRPr="0097679B">
        <w:rPr>
          <w:rFonts w:ascii="Arial" w:hAnsi="Arial" w:cs="Arial"/>
          <w:sz w:val="20"/>
          <w:szCs w:val="20"/>
        </w:rPr>
        <w:lastRenderedPageBreak/>
        <w:t>was a marker for the risk associated with [insulin] (basal or T60). Thus</w:t>
      </w:r>
      <w:r w:rsidR="007840AC">
        <w:rPr>
          <w:rFonts w:ascii="Arial" w:hAnsi="Arial" w:cs="Arial"/>
          <w:sz w:val="20"/>
          <w:szCs w:val="20"/>
        </w:rPr>
        <w:t>,</w:t>
      </w:r>
      <w:r w:rsidR="00C65253" w:rsidRPr="0097679B">
        <w:rPr>
          <w:rFonts w:ascii="Arial" w:hAnsi="Arial" w:cs="Arial"/>
          <w:sz w:val="20"/>
          <w:szCs w:val="20"/>
        </w:rPr>
        <w:t xml:space="preserve"> PPID is unlikely to be an independent risk factor for laminitis but rather a marker of animals that are more likely to have insulin dysregulation (</w:t>
      </w:r>
      <w:r w:rsidR="007840AC">
        <w:rPr>
          <w:rFonts w:ascii="Arial" w:hAnsi="Arial" w:cs="Arial"/>
          <w:sz w:val="20"/>
          <w:szCs w:val="20"/>
        </w:rPr>
        <w:t xml:space="preserve">consequent on </w:t>
      </w:r>
      <w:r w:rsidR="00C65253" w:rsidRPr="0097679B">
        <w:rPr>
          <w:rFonts w:ascii="Arial" w:hAnsi="Arial" w:cs="Arial"/>
          <w:sz w:val="20"/>
          <w:szCs w:val="20"/>
        </w:rPr>
        <w:t>their age or of PPID). The association between PPID and insulin dysregulation requires further research. The</w:t>
      </w:r>
      <w:r w:rsidR="008C1D47" w:rsidRPr="0097679B">
        <w:rPr>
          <w:rFonts w:ascii="Arial" w:hAnsi="Arial" w:cs="Arial"/>
          <w:sz w:val="20"/>
          <w:szCs w:val="20"/>
        </w:rPr>
        <w:t xml:space="preserve"> seasonal effect</w:t>
      </w:r>
      <w:r w:rsidR="00C65253" w:rsidRPr="0097679B">
        <w:rPr>
          <w:rFonts w:ascii="Arial" w:hAnsi="Arial" w:cs="Arial"/>
          <w:sz w:val="20"/>
          <w:szCs w:val="20"/>
        </w:rPr>
        <w:t xml:space="preserve"> in the present study (in which autumn but not spring [ACTH] showed an insulin</w:t>
      </w:r>
      <w:r w:rsidR="007840AC">
        <w:rPr>
          <w:rFonts w:ascii="Arial" w:hAnsi="Arial" w:cs="Arial"/>
          <w:sz w:val="20"/>
          <w:szCs w:val="20"/>
        </w:rPr>
        <w:t>-</w:t>
      </w:r>
      <w:r w:rsidR="00C65253" w:rsidRPr="0097679B">
        <w:rPr>
          <w:rFonts w:ascii="Arial" w:hAnsi="Arial" w:cs="Arial"/>
          <w:sz w:val="20"/>
          <w:szCs w:val="20"/>
        </w:rPr>
        <w:t xml:space="preserve">dependent association with laminitis risk) may relate to increased </w:t>
      </w:r>
      <w:r w:rsidR="00C65253" w:rsidRPr="0097679B">
        <w:rPr>
          <w:rFonts w:ascii="Arial" w:hAnsi="Arial" w:cs="Arial"/>
          <w:i/>
          <w:sz w:val="20"/>
          <w:szCs w:val="20"/>
        </w:rPr>
        <w:t xml:space="preserve">pars intermedia </w:t>
      </w:r>
      <w:r w:rsidR="00C65253" w:rsidRPr="0097679B">
        <w:rPr>
          <w:rFonts w:ascii="Arial" w:hAnsi="Arial" w:cs="Arial"/>
          <w:sz w:val="20"/>
          <w:szCs w:val="20"/>
        </w:rPr>
        <w:t>activity</w:t>
      </w:r>
      <w:r w:rsidR="00D57982">
        <w:rPr>
          <w:rFonts w:ascii="Arial" w:hAnsi="Arial" w:cs="Arial"/>
          <w:sz w:val="20"/>
          <w:szCs w:val="20"/>
        </w:rPr>
        <w:t xml:space="preserve"> in the autumn</w:t>
      </w:r>
      <w:r w:rsidR="00C65253" w:rsidRPr="0097679B">
        <w:rPr>
          <w:rFonts w:ascii="Arial" w:hAnsi="Arial" w:cs="Arial"/>
          <w:sz w:val="20"/>
          <w:szCs w:val="20"/>
        </w:rPr>
        <w:t xml:space="preserve"> </w:t>
      </w:r>
      <w:r w:rsidR="00AE3406">
        <w:rPr>
          <w:rFonts w:ascii="Arial" w:hAnsi="Arial" w:cs="Arial"/>
          <w:sz w:val="20"/>
          <w:szCs w:val="20"/>
        </w:rPr>
        <w:t>that increases [ACTH] and the concentrations of ACTH fragments that cross react with the ACTH assay used</w:t>
      </w:r>
      <w:r w:rsidR="008C1D47" w:rsidRPr="0097679B">
        <w:rPr>
          <w:rFonts w:ascii="Arial" w:hAnsi="Arial" w:cs="Arial"/>
          <w:sz w:val="20"/>
          <w:szCs w:val="20"/>
        </w:rPr>
        <w:t xml:space="preserve"> </w:t>
      </w:r>
      <w:r w:rsidR="008C1D47" w:rsidRPr="0097679B">
        <w:rPr>
          <w:rFonts w:ascii="Arial" w:hAnsi="Arial" w:cs="Arial"/>
          <w:sz w:val="20"/>
          <w:szCs w:val="20"/>
        </w:rPr>
        <w:fldChar w:fldCharType="begin" w:fldLock="1"/>
      </w:r>
      <w:r w:rsidR="004B5CF4" w:rsidRPr="0097679B">
        <w:rPr>
          <w:rFonts w:ascii="Arial" w:hAnsi="Arial" w:cs="Arial"/>
          <w:sz w:val="20"/>
          <w:szCs w:val="20"/>
        </w:rPr>
        <w:instrText>ADDIN CSL_CITATION {"citationItems":[{"id":"ITEM-1","itemData":{"DOI":"10.1111/evj.12797","author":[{"dropping-particle":"","family":"Knowles","given":"E J","non-dropping-particle":"","parse-names":false,"suffix":""},{"dropping-particle":"","family":"Shaw","given":"S","non-dropping-particle":"","parse-names":false,"suffix":""},{"dropping-particle":"","family":"Harris","given":"P A","non-dropping-particle":"","parse-names":false,"suffix":""},{"dropping-particle":"","family":"Elliott","given":"J","non-dropping-particle":"","parse-names":false,"suffix":""}],"container-title":"Equine Vet J","id":"ITEM-1","issued":{"date-parts":[["2018"]]},"page":"672-677","title":"Plasma adrenocorticotropic hormone ( ACTH ) concentrations in ponies measured by two different assays suggests seasonal cross-reactivity or interference","type":"article-journal","volume":"50"},"uris":["http://www.mendeley.com/documents/?uuid=f4f084e6-4e9b-40ff-aacb-9a5907845c45"]}],"mendeley":{"formattedCitation":"[6]","plainTextFormattedCitation":"[6]","previouslyFormattedCitation":"[6]"},"properties":{"noteIndex":0},"schema":"https://github.com/citation-style-language/schema/raw/master/csl-citation.json"}</w:instrText>
      </w:r>
      <w:r w:rsidR="008C1D47" w:rsidRPr="0097679B">
        <w:rPr>
          <w:rFonts w:ascii="Arial" w:hAnsi="Arial" w:cs="Arial"/>
          <w:sz w:val="20"/>
          <w:szCs w:val="20"/>
        </w:rPr>
        <w:fldChar w:fldCharType="separate"/>
      </w:r>
      <w:r w:rsidR="008C1D47" w:rsidRPr="0097679B">
        <w:rPr>
          <w:rFonts w:ascii="Arial" w:hAnsi="Arial" w:cs="Arial"/>
          <w:noProof/>
          <w:sz w:val="20"/>
          <w:szCs w:val="20"/>
        </w:rPr>
        <w:t>[6]</w:t>
      </w:r>
      <w:r w:rsidR="008C1D47" w:rsidRPr="0097679B">
        <w:rPr>
          <w:rFonts w:ascii="Arial" w:hAnsi="Arial" w:cs="Arial"/>
          <w:sz w:val="20"/>
          <w:szCs w:val="20"/>
        </w:rPr>
        <w:fldChar w:fldCharType="end"/>
      </w:r>
      <w:r w:rsidR="008C1D47" w:rsidRPr="0097679B">
        <w:rPr>
          <w:rFonts w:ascii="Arial" w:hAnsi="Arial" w:cs="Arial"/>
          <w:sz w:val="20"/>
          <w:szCs w:val="20"/>
        </w:rPr>
        <w:t>.</w:t>
      </w:r>
    </w:p>
    <w:p w14:paraId="0C3D59A9" w14:textId="77006B93" w:rsidR="008C1D47" w:rsidRPr="0097679B" w:rsidRDefault="008C1D47" w:rsidP="000617A0">
      <w:pPr>
        <w:spacing w:line="480" w:lineRule="auto"/>
        <w:rPr>
          <w:rFonts w:ascii="Arial" w:hAnsi="Arial" w:cs="Arial"/>
          <w:sz w:val="20"/>
          <w:szCs w:val="20"/>
        </w:rPr>
      </w:pPr>
      <w:r w:rsidRPr="0097679B">
        <w:rPr>
          <w:rFonts w:ascii="Arial" w:hAnsi="Arial" w:cs="Arial"/>
          <w:sz w:val="20"/>
          <w:szCs w:val="20"/>
        </w:rPr>
        <w:t>The lack of, or only weak</w:t>
      </w:r>
      <w:r w:rsidR="00F55A33">
        <w:rPr>
          <w:rFonts w:ascii="Arial" w:hAnsi="Arial" w:cs="Arial"/>
          <w:sz w:val="20"/>
          <w:szCs w:val="20"/>
        </w:rPr>
        <w:t>,</w:t>
      </w:r>
      <w:r w:rsidRPr="0097679B">
        <w:rPr>
          <w:rFonts w:ascii="Arial" w:hAnsi="Arial" w:cs="Arial"/>
          <w:sz w:val="20"/>
          <w:szCs w:val="20"/>
        </w:rPr>
        <w:t xml:space="preserve"> independent statistical associations between factors such as [ACTH], body condition score or cresty neck score and laminitis does not mean that </w:t>
      </w:r>
      <w:r w:rsidR="00D57982">
        <w:rPr>
          <w:rFonts w:ascii="Arial" w:hAnsi="Arial" w:cs="Arial"/>
          <w:sz w:val="20"/>
          <w:szCs w:val="20"/>
        </w:rPr>
        <w:t>such factors should be ignored</w:t>
      </w:r>
      <w:r w:rsidR="00F22AB1">
        <w:rPr>
          <w:rFonts w:ascii="Arial" w:hAnsi="Arial" w:cs="Arial"/>
          <w:sz w:val="20"/>
          <w:szCs w:val="20"/>
        </w:rPr>
        <w:t>,</w:t>
      </w:r>
      <w:r w:rsidR="00D57982">
        <w:rPr>
          <w:rFonts w:ascii="Arial" w:hAnsi="Arial" w:cs="Arial"/>
          <w:sz w:val="20"/>
          <w:szCs w:val="20"/>
        </w:rPr>
        <w:t xml:space="preserve"> as the</w:t>
      </w:r>
      <w:r w:rsidRPr="0097679B">
        <w:rPr>
          <w:rFonts w:ascii="Arial" w:hAnsi="Arial" w:cs="Arial"/>
          <w:sz w:val="20"/>
          <w:szCs w:val="20"/>
        </w:rPr>
        <w:t xml:space="preserve"> lack of independent association may be due to collinearity with [insulin]. Whilst [insulin] may be a more effective</w:t>
      </w:r>
      <w:r w:rsidR="00904287">
        <w:rPr>
          <w:rFonts w:ascii="Arial" w:hAnsi="Arial" w:cs="Arial"/>
          <w:sz w:val="20"/>
          <w:szCs w:val="20"/>
        </w:rPr>
        <w:t xml:space="preserve"> laminitis</w:t>
      </w:r>
      <w:r w:rsidRPr="0097679B">
        <w:rPr>
          <w:rFonts w:ascii="Arial" w:hAnsi="Arial" w:cs="Arial"/>
          <w:sz w:val="20"/>
          <w:szCs w:val="20"/>
        </w:rPr>
        <w:t xml:space="preserve"> predictor, if such factors are modifiable and causative </w:t>
      </w:r>
      <w:r w:rsidR="007840AC">
        <w:rPr>
          <w:rFonts w:ascii="Arial" w:hAnsi="Arial" w:cs="Arial"/>
          <w:sz w:val="20"/>
          <w:szCs w:val="20"/>
        </w:rPr>
        <w:t xml:space="preserve">of insulin dysregulation </w:t>
      </w:r>
      <w:r w:rsidR="007B17A3">
        <w:rPr>
          <w:rFonts w:ascii="Arial" w:hAnsi="Arial" w:cs="Arial"/>
          <w:sz w:val="20"/>
          <w:szCs w:val="20"/>
        </w:rPr>
        <w:t>rather than simply</w:t>
      </w:r>
      <w:r w:rsidRPr="0097679B">
        <w:rPr>
          <w:rFonts w:ascii="Arial" w:hAnsi="Arial" w:cs="Arial"/>
          <w:sz w:val="20"/>
          <w:szCs w:val="20"/>
        </w:rPr>
        <w:t xml:space="preserve"> markers </w:t>
      </w:r>
      <w:r w:rsidR="007840AC">
        <w:rPr>
          <w:rFonts w:ascii="Arial" w:hAnsi="Arial" w:cs="Arial"/>
          <w:sz w:val="20"/>
          <w:szCs w:val="20"/>
        </w:rPr>
        <w:t xml:space="preserve">thereof, </w:t>
      </w:r>
      <w:r w:rsidRPr="0097679B">
        <w:rPr>
          <w:rFonts w:ascii="Arial" w:hAnsi="Arial" w:cs="Arial"/>
          <w:sz w:val="20"/>
          <w:szCs w:val="20"/>
        </w:rPr>
        <w:t xml:space="preserve">then they </w:t>
      </w:r>
      <w:r w:rsidR="00D57982">
        <w:rPr>
          <w:rFonts w:ascii="Arial" w:hAnsi="Arial" w:cs="Arial"/>
          <w:sz w:val="20"/>
          <w:szCs w:val="20"/>
        </w:rPr>
        <w:t xml:space="preserve">may </w:t>
      </w:r>
      <w:r w:rsidR="00F22AB1">
        <w:rPr>
          <w:rFonts w:ascii="Arial" w:hAnsi="Arial" w:cs="Arial"/>
          <w:sz w:val="20"/>
          <w:szCs w:val="20"/>
        </w:rPr>
        <w:t xml:space="preserve">still </w:t>
      </w:r>
      <w:r w:rsidR="00D57982">
        <w:rPr>
          <w:rFonts w:ascii="Arial" w:hAnsi="Arial" w:cs="Arial"/>
          <w:sz w:val="20"/>
          <w:szCs w:val="20"/>
        </w:rPr>
        <w:t>be useful</w:t>
      </w:r>
      <w:r w:rsidRPr="0097679B">
        <w:rPr>
          <w:rFonts w:ascii="Arial" w:hAnsi="Arial" w:cs="Arial"/>
          <w:sz w:val="20"/>
          <w:szCs w:val="20"/>
        </w:rPr>
        <w:t xml:space="preserve"> </w:t>
      </w:r>
      <w:r w:rsidR="007840AC">
        <w:rPr>
          <w:rFonts w:ascii="Arial" w:hAnsi="Arial" w:cs="Arial"/>
          <w:sz w:val="20"/>
          <w:szCs w:val="20"/>
        </w:rPr>
        <w:t xml:space="preserve">intervention </w:t>
      </w:r>
      <w:r w:rsidRPr="0097679B">
        <w:rPr>
          <w:rFonts w:ascii="Arial" w:hAnsi="Arial" w:cs="Arial"/>
          <w:sz w:val="20"/>
          <w:szCs w:val="20"/>
        </w:rPr>
        <w:t>targets</w:t>
      </w:r>
      <w:r w:rsidR="00904287">
        <w:rPr>
          <w:rFonts w:ascii="Arial" w:hAnsi="Arial" w:cs="Arial"/>
          <w:sz w:val="20"/>
          <w:szCs w:val="20"/>
        </w:rPr>
        <w:t>.</w:t>
      </w:r>
    </w:p>
    <w:p w14:paraId="4715AAC3" w14:textId="5F158679" w:rsidR="00FF4FAE" w:rsidRPr="0097679B" w:rsidRDefault="005B6389" w:rsidP="000617A0">
      <w:pPr>
        <w:spacing w:line="480" w:lineRule="auto"/>
        <w:rPr>
          <w:rFonts w:ascii="Arial" w:hAnsi="Arial" w:cs="Arial"/>
          <w:sz w:val="20"/>
          <w:szCs w:val="20"/>
        </w:rPr>
      </w:pPr>
      <w:r w:rsidRPr="0097679B">
        <w:rPr>
          <w:rFonts w:ascii="Arial" w:hAnsi="Arial" w:cs="Arial"/>
          <w:sz w:val="20"/>
          <w:szCs w:val="20"/>
        </w:rPr>
        <w:t xml:space="preserve">The present study </w:t>
      </w:r>
      <w:r w:rsidR="00464B96">
        <w:rPr>
          <w:rFonts w:ascii="Arial" w:hAnsi="Arial" w:cs="Arial"/>
          <w:sz w:val="20"/>
          <w:szCs w:val="20"/>
        </w:rPr>
        <w:t>has</w:t>
      </w:r>
      <w:r w:rsidRPr="0097679B">
        <w:rPr>
          <w:rFonts w:ascii="Arial" w:hAnsi="Arial" w:cs="Arial"/>
          <w:sz w:val="20"/>
          <w:szCs w:val="20"/>
        </w:rPr>
        <w:t xml:space="preserve"> several limitations. Multivariable clinical prediction models must be interpreted with caution, particularly when there are a large number of potential predictor variables and relatively few events. </w:t>
      </w:r>
      <w:r w:rsidR="00464B96">
        <w:rPr>
          <w:rFonts w:ascii="Arial" w:hAnsi="Arial" w:cs="Arial"/>
          <w:sz w:val="20"/>
          <w:szCs w:val="20"/>
        </w:rPr>
        <w:t>The existence of</w:t>
      </w:r>
      <w:r w:rsidRPr="0097679B">
        <w:rPr>
          <w:rFonts w:ascii="Arial" w:hAnsi="Arial" w:cs="Arial"/>
          <w:sz w:val="20"/>
          <w:szCs w:val="20"/>
        </w:rPr>
        <w:t xml:space="preserve"> a single ‘true’ clinical prediction model </w:t>
      </w:r>
      <w:r w:rsidR="002B3DF0">
        <w:rPr>
          <w:rFonts w:ascii="Arial" w:hAnsi="Arial" w:cs="Arial"/>
          <w:sz w:val="20"/>
          <w:szCs w:val="20"/>
        </w:rPr>
        <w:t>i</w:t>
      </w:r>
      <w:r w:rsidRPr="0097679B">
        <w:rPr>
          <w:rFonts w:ascii="Arial" w:hAnsi="Arial" w:cs="Arial"/>
          <w:sz w:val="20"/>
          <w:szCs w:val="20"/>
        </w:rPr>
        <w:t>s extremely unlikely. The present study pre-specified several initial models with very limited numbers of var</w:t>
      </w:r>
      <w:r w:rsidR="00D57982">
        <w:rPr>
          <w:rFonts w:ascii="Arial" w:hAnsi="Arial" w:cs="Arial"/>
          <w:sz w:val="20"/>
          <w:szCs w:val="20"/>
        </w:rPr>
        <w:t>iables</w:t>
      </w:r>
      <w:r w:rsidRPr="0097679B">
        <w:rPr>
          <w:rFonts w:ascii="Arial" w:hAnsi="Arial" w:cs="Arial"/>
          <w:sz w:val="20"/>
          <w:szCs w:val="20"/>
        </w:rPr>
        <w:t xml:space="preserve"> selected on the basis of previous data and clinical experience</w:t>
      </w:r>
      <w:r w:rsidR="004B5CF4" w:rsidRPr="0097679B">
        <w:rPr>
          <w:rFonts w:ascii="Arial" w:hAnsi="Arial" w:cs="Arial"/>
          <w:sz w:val="20"/>
          <w:szCs w:val="20"/>
        </w:rPr>
        <w:t xml:space="preserve"> and therefore</w:t>
      </w:r>
      <w:r w:rsidR="00D57982">
        <w:rPr>
          <w:rFonts w:ascii="Arial" w:hAnsi="Arial" w:cs="Arial"/>
          <w:sz w:val="20"/>
          <w:szCs w:val="20"/>
        </w:rPr>
        <w:t xml:space="preserve"> is</w:t>
      </w:r>
      <w:r w:rsidR="004B5CF4" w:rsidRPr="0097679B">
        <w:rPr>
          <w:rFonts w:ascii="Arial" w:hAnsi="Arial" w:cs="Arial"/>
          <w:sz w:val="20"/>
          <w:szCs w:val="20"/>
        </w:rPr>
        <w:t xml:space="preserve"> at </w:t>
      </w:r>
      <w:r w:rsidR="007B17A3">
        <w:rPr>
          <w:rFonts w:ascii="Arial" w:hAnsi="Arial" w:cs="Arial"/>
          <w:sz w:val="20"/>
          <w:szCs w:val="20"/>
        </w:rPr>
        <w:t xml:space="preserve">significant </w:t>
      </w:r>
      <w:r w:rsidR="004B5CF4" w:rsidRPr="0097679B">
        <w:rPr>
          <w:rFonts w:ascii="Arial" w:hAnsi="Arial" w:cs="Arial"/>
          <w:sz w:val="20"/>
          <w:szCs w:val="20"/>
        </w:rPr>
        <w:t>risk of bias</w:t>
      </w:r>
      <w:r w:rsidRPr="0097679B">
        <w:rPr>
          <w:rFonts w:ascii="Arial" w:hAnsi="Arial" w:cs="Arial"/>
          <w:sz w:val="20"/>
          <w:szCs w:val="20"/>
        </w:rPr>
        <w:t>. Alternative approaches may have yield</w:t>
      </w:r>
      <w:r w:rsidR="004B5CF4" w:rsidRPr="0097679B">
        <w:rPr>
          <w:rFonts w:ascii="Arial" w:hAnsi="Arial" w:cs="Arial"/>
          <w:sz w:val="20"/>
          <w:szCs w:val="20"/>
        </w:rPr>
        <w:t xml:space="preserve">ed better </w:t>
      </w:r>
      <w:r w:rsidR="00464B96">
        <w:rPr>
          <w:rFonts w:ascii="Arial" w:hAnsi="Arial" w:cs="Arial"/>
          <w:sz w:val="20"/>
          <w:szCs w:val="20"/>
        </w:rPr>
        <w:t xml:space="preserve">prediction </w:t>
      </w:r>
      <w:r w:rsidR="004B5CF4" w:rsidRPr="0097679B">
        <w:rPr>
          <w:rFonts w:ascii="Arial" w:hAnsi="Arial" w:cs="Arial"/>
          <w:sz w:val="20"/>
          <w:szCs w:val="20"/>
        </w:rPr>
        <w:t>models, however</w:t>
      </w:r>
      <w:r w:rsidR="00464B96">
        <w:rPr>
          <w:rFonts w:ascii="Arial" w:hAnsi="Arial" w:cs="Arial"/>
          <w:sz w:val="20"/>
          <w:szCs w:val="20"/>
        </w:rPr>
        <w:t>,</w:t>
      </w:r>
      <w:r w:rsidR="004B5CF4" w:rsidRPr="0097679B">
        <w:rPr>
          <w:rFonts w:ascii="Arial" w:hAnsi="Arial" w:cs="Arial"/>
          <w:sz w:val="20"/>
          <w:szCs w:val="20"/>
        </w:rPr>
        <w:t xml:space="preserve"> data</w:t>
      </w:r>
      <w:r w:rsidR="007B17A3">
        <w:rPr>
          <w:rFonts w:ascii="Arial" w:hAnsi="Arial" w:cs="Arial"/>
          <w:sz w:val="20"/>
          <w:szCs w:val="20"/>
        </w:rPr>
        <w:t>-</w:t>
      </w:r>
      <w:r w:rsidR="004B5CF4" w:rsidRPr="0097679B">
        <w:rPr>
          <w:rFonts w:ascii="Arial" w:hAnsi="Arial" w:cs="Arial"/>
          <w:sz w:val="20"/>
          <w:szCs w:val="20"/>
        </w:rPr>
        <w:t>driven and iterative variable elimination has received significant criticism</w:t>
      </w:r>
      <w:r w:rsidR="007B17A3">
        <w:rPr>
          <w:rFonts w:ascii="Arial" w:hAnsi="Arial" w:cs="Arial"/>
          <w:sz w:val="20"/>
          <w:szCs w:val="20"/>
        </w:rPr>
        <w:t>, in particular in relation to overfitting and optimism</w:t>
      </w:r>
      <w:r w:rsidR="004B5CF4" w:rsidRPr="0097679B">
        <w:rPr>
          <w:rFonts w:ascii="Arial" w:hAnsi="Arial" w:cs="Arial"/>
          <w:sz w:val="20"/>
          <w:szCs w:val="20"/>
        </w:rPr>
        <w:t xml:space="preserve"> </w:t>
      </w:r>
      <w:r w:rsidR="004B5CF4" w:rsidRPr="0097679B">
        <w:rPr>
          <w:rFonts w:ascii="Arial" w:hAnsi="Arial" w:cs="Arial"/>
          <w:sz w:val="20"/>
          <w:szCs w:val="20"/>
        </w:rPr>
        <w:fldChar w:fldCharType="begin" w:fldLock="1"/>
      </w:r>
      <w:r w:rsidR="00EB565D" w:rsidRPr="0097679B">
        <w:rPr>
          <w:rFonts w:ascii="Arial" w:hAnsi="Arial" w:cs="Arial"/>
          <w:sz w:val="20"/>
          <w:szCs w:val="20"/>
        </w:rPr>
        <w:instrText>ADDIN CSL_CITATION {"citationItems":[{"id":"ITEM-1","itemData":{"DOI":"10.1111/tri.12895","ISSN":"14322277","PMID":"27896874","abstract":"Multivariable regression models are often used in transplantation research to identify or to confirm baseline variables which have an independent association, causally or only evidenced by statistical correlation, with transplantation outcome. Although sound theory is lacking, variable selection is a popular statistical method which seemingly reduces the complexity of such models. However, in fact, variable selection often complicates analysis as it invalidates common tools of statistical inference such as P-values and confidence intervals. This is a particular problem in transplantation research where sample sizes are often only small to moderate. Furthermore, variable selection requires computer-intensive stability investigations and a particularly cautious interpretation of results. We discuss how five common misconceptions often lead to inappropriate application of variable selection. We emphasize that variable selection and all problems related with it can often be avoided by the use of expert knowledge.","author":[{"dropping-particle":"","family":"Heinze","given":"Georg","non-dropping-particle":"","parse-names":false,"suffix":""},{"dropping-particle":"","family":"Dunkler","given":"Daniela","non-dropping-particle":"","parse-names":false,"suffix":""}],"container-title":"Transplant International","id":"ITEM-1","issue":"1","issued":{"date-parts":[["2017"]]},"page":"6-10","title":"Five myths about variable selection","type":"article-journal","volume":"30"},"uris":["http://www.mendeley.com/documents/?uuid=39d58452-ac1e-48b2-9d71-b47c5a392173"]}],"mendeley":{"formattedCitation":"[15]","plainTextFormattedCitation":"[15]","previouslyFormattedCitation":"[15]"},"properties":{"noteIndex":0},"schema":"https://github.com/citation-style-language/schema/raw/master/csl-citation.json"}</w:instrText>
      </w:r>
      <w:r w:rsidR="004B5CF4" w:rsidRPr="0097679B">
        <w:rPr>
          <w:rFonts w:ascii="Arial" w:hAnsi="Arial" w:cs="Arial"/>
          <w:sz w:val="20"/>
          <w:szCs w:val="20"/>
        </w:rPr>
        <w:fldChar w:fldCharType="separate"/>
      </w:r>
      <w:r w:rsidR="00EB565D" w:rsidRPr="0097679B">
        <w:rPr>
          <w:rFonts w:ascii="Arial" w:hAnsi="Arial" w:cs="Arial"/>
          <w:noProof/>
          <w:sz w:val="20"/>
          <w:szCs w:val="20"/>
        </w:rPr>
        <w:t>[15]</w:t>
      </w:r>
      <w:r w:rsidR="004B5CF4" w:rsidRPr="0097679B">
        <w:rPr>
          <w:rFonts w:ascii="Arial" w:hAnsi="Arial" w:cs="Arial"/>
          <w:sz w:val="20"/>
          <w:szCs w:val="20"/>
        </w:rPr>
        <w:fldChar w:fldCharType="end"/>
      </w:r>
      <w:r w:rsidR="004B5CF4" w:rsidRPr="0097679B">
        <w:rPr>
          <w:rFonts w:ascii="Arial" w:hAnsi="Arial" w:cs="Arial"/>
          <w:sz w:val="20"/>
          <w:szCs w:val="20"/>
        </w:rPr>
        <w:t>.</w:t>
      </w:r>
      <w:r w:rsidRPr="0097679B">
        <w:rPr>
          <w:rFonts w:ascii="Arial" w:hAnsi="Arial" w:cs="Arial"/>
          <w:sz w:val="20"/>
          <w:szCs w:val="20"/>
        </w:rPr>
        <w:t xml:space="preserve"> </w:t>
      </w:r>
      <w:r w:rsidR="004B5CF4" w:rsidRPr="0097679B">
        <w:rPr>
          <w:rFonts w:ascii="Arial" w:hAnsi="Arial" w:cs="Arial"/>
          <w:sz w:val="20"/>
          <w:szCs w:val="20"/>
        </w:rPr>
        <w:t>The present study includ</w:t>
      </w:r>
      <w:r w:rsidR="0074136A">
        <w:rPr>
          <w:rFonts w:ascii="Arial" w:hAnsi="Arial" w:cs="Arial"/>
          <w:sz w:val="20"/>
          <w:szCs w:val="20"/>
        </w:rPr>
        <w:t xml:space="preserve">ed </w:t>
      </w:r>
      <w:r w:rsidR="004B5CF4" w:rsidRPr="0097679B">
        <w:rPr>
          <w:rFonts w:ascii="Arial" w:hAnsi="Arial" w:cs="Arial"/>
          <w:sz w:val="20"/>
          <w:szCs w:val="20"/>
        </w:rPr>
        <w:t>limited iterative variable selection in order to strike an appropriate balance. The univariable models included as supplementary material illustrate the associations that may ex</w:t>
      </w:r>
      <w:r w:rsidR="0074136A">
        <w:rPr>
          <w:rFonts w:ascii="Arial" w:hAnsi="Arial" w:cs="Arial"/>
          <w:sz w:val="20"/>
          <w:szCs w:val="20"/>
        </w:rPr>
        <w:t>ist between laminitis and a</w:t>
      </w:r>
      <w:r w:rsidR="004B5CF4" w:rsidRPr="0097679B">
        <w:rPr>
          <w:rFonts w:ascii="Arial" w:hAnsi="Arial" w:cs="Arial"/>
          <w:sz w:val="20"/>
          <w:szCs w:val="20"/>
        </w:rPr>
        <w:t xml:space="preserve"> range of factors</w:t>
      </w:r>
      <w:r w:rsidR="007B17A3">
        <w:rPr>
          <w:rFonts w:ascii="Arial" w:hAnsi="Arial" w:cs="Arial"/>
          <w:sz w:val="20"/>
          <w:szCs w:val="20"/>
        </w:rPr>
        <w:t xml:space="preserve"> that could be used for clinical prediction.</w:t>
      </w:r>
      <w:r w:rsidR="004B5CF4" w:rsidRPr="0097679B">
        <w:rPr>
          <w:rFonts w:ascii="Arial" w:hAnsi="Arial" w:cs="Arial"/>
          <w:sz w:val="20"/>
          <w:szCs w:val="20"/>
        </w:rPr>
        <w:t xml:space="preserve"> The </w:t>
      </w:r>
      <w:r w:rsidR="0074136A">
        <w:rPr>
          <w:rFonts w:ascii="Arial" w:hAnsi="Arial" w:cs="Arial"/>
          <w:sz w:val="20"/>
          <w:szCs w:val="20"/>
        </w:rPr>
        <w:t xml:space="preserve">study was also limited by </w:t>
      </w:r>
      <w:r w:rsidR="004B5CF4" w:rsidRPr="0097679B">
        <w:rPr>
          <w:rFonts w:ascii="Arial" w:hAnsi="Arial" w:cs="Arial"/>
          <w:sz w:val="20"/>
          <w:szCs w:val="20"/>
        </w:rPr>
        <w:t xml:space="preserve">the potential for covariates to change between the </w:t>
      </w:r>
      <w:r w:rsidR="00FF4FAE" w:rsidRPr="0097679B">
        <w:rPr>
          <w:rFonts w:ascii="Arial" w:hAnsi="Arial" w:cs="Arial"/>
          <w:sz w:val="20"/>
          <w:szCs w:val="20"/>
        </w:rPr>
        <w:t>data collection visits and laminitis</w:t>
      </w:r>
      <w:r w:rsidR="00464B96">
        <w:rPr>
          <w:rFonts w:ascii="Arial" w:hAnsi="Arial" w:cs="Arial"/>
          <w:sz w:val="20"/>
          <w:szCs w:val="20"/>
        </w:rPr>
        <w:t xml:space="preserve"> occurrence</w:t>
      </w:r>
      <w:r w:rsidR="00FF4FAE" w:rsidRPr="0097679B">
        <w:rPr>
          <w:rFonts w:ascii="Arial" w:hAnsi="Arial" w:cs="Arial"/>
          <w:sz w:val="20"/>
          <w:szCs w:val="20"/>
        </w:rPr>
        <w:t xml:space="preserve">, </w:t>
      </w:r>
      <w:r w:rsidR="007B17A3">
        <w:rPr>
          <w:rFonts w:ascii="Arial" w:hAnsi="Arial" w:cs="Arial"/>
          <w:sz w:val="20"/>
          <w:szCs w:val="20"/>
        </w:rPr>
        <w:t xml:space="preserve">missing data and </w:t>
      </w:r>
      <w:r w:rsidR="00464B96">
        <w:rPr>
          <w:rFonts w:ascii="Arial" w:hAnsi="Arial" w:cs="Arial"/>
          <w:sz w:val="20"/>
          <w:szCs w:val="20"/>
        </w:rPr>
        <w:t>data</w:t>
      </w:r>
      <w:r w:rsidR="00464B96" w:rsidRPr="0097679B">
        <w:rPr>
          <w:rFonts w:ascii="Arial" w:hAnsi="Arial" w:cs="Arial"/>
          <w:sz w:val="20"/>
          <w:szCs w:val="20"/>
        </w:rPr>
        <w:t xml:space="preserve"> </w:t>
      </w:r>
      <w:r w:rsidR="00FF4FAE" w:rsidRPr="0097679B">
        <w:rPr>
          <w:rFonts w:ascii="Arial" w:hAnsi="Arial" w:cs="Arial"/>
          <w:sz w:val="20"/>
          <w:szCs w:val="20"/>
        </w:rPr>
        <w:t xml:space="preserve">integrity </w:t>
      </w:r>
      <w:r w:rsidR="00464B96">
        <w:rPr>
          <w:rFonts w:ascii="Arial" w:hAnsi="Arial" w:cs="Arial"/>
          <w:sz w:val="20"/>
          <w:szCs w:val="20"/>
        </w:rPr>
        <w:t>when owner-</w:t>
      </w:r>
      <w:r w:rsidR="00FF4FAE" w:rsidRPr="0097679B">
        <w:rPr>
          <w:rFonts w:ascii="Arial" w:hAnsi="Arial" w:cs="Arial"/>
          <w:sz w:val="20"/>
          <w:szCs w:val="20"/>
        </w:rPr>
        <w:t>provided</w:t>
      </w:r>
      <w:r w:rsidR="00B92695">
        <w:rPr>
          <w:rFonts w:ascii="Arial" w:hAnsi="Arial" w:cs="Arial"/>
          <w:sz w:val="20"/>
          <w:szCs w:val="20"/>
        </w:rPr>
        <w:t>,</w:t>
      </w:r>
      <w:r w:rsidR="00FF4FAE" w:rsidRPr="0097679B">
        <w:rPr>
          <w:rFonts w:ascii="Arial" w:hAnsi="Arial" w:cs="Arial"/>
          <w:sz w:val="20"/>
          <w:szCs w:val="20"/>
        </w:rPr>
        <w:t xml:space="preserve"> the potential for owners to </w:t>
      </w:r>
      <w:r w:rsidR="00B92695">
        <w:rPr>
          <w:rFonts w:ascii="Arial" w:hAnsi="Arial" w:cs="Arial"/>
          <w:sz w:val="20"/>
          <w:szCs w:val="20"/>
        </w:rPr>
        <w:t>miss</w:t>
      </w:r>
      <w:r w:rsidR="0074136A">
        <w:rPr>
          <w:rFonts w:ascii="Arial" w:hAnsi="Arial" w:cs="Arial"/>
          <w:sz w:val="20"/>
          <w:szCs w:val="20"/>
        </w:rPr>
        <w:t xml:space="preserve"> mild cases of</w:t>
      </w:r>
      <w:r w:rsidR="00FF4FAE" w:rsidRPr="0097679B">
        <w:rPr>
          <w:rFonts w:ascii="Arial" w:hAnsi="Arial" w:cs="Arial"/>
          <w:sz w:val="20"/>
          <w:szCs w:val="20"/>
        </w:rPr>
        <w:t xml:space="preserve"> laminitis or to mis-diagnose </w:t>
      </w:r>
      <w:r w:rsidR="0074136A">
        <w:rPr>
          <w:rFonts w:ascii="Arial" w:hAnsi="Arial" w:cs="Arial"/>
          <w:sz w:val="20"/>
          <w:szCs w:val="20"/>
        </w:rPr>
        <w:t>other</w:t>
      </w:r>
      <w:r w:rsidR="00FF4FAE" w:rsidRPr="0097679B">
        <w:rPr>
          <w:rFonts w:ascii="Arial" w:hAnsi="Arial" w:cs="Arial"/>
          <w:sz w:val="20"/>
          <w:szCs w:val="20"/>
        </w:rPr>
        <w:t xml:space="preserve"> condition</w:t>
      </w:r>
      <w:r w:rsidR="0074136A">
        <w:rPr>
          <w:rFonts w:ascii="Arial" w:hAnsi="Arial" w:cs="Arial"/>
          <w:sz w:val="20"/>
          <w:szCs w:val="20"/>
        </w:rPr>
        <w:t>s</w:t>
      </w:r>
      <w:r w:rsidR="00FF4FAE" w:rsidRPr="0097679B">
        <w:rPr>
          <w:rFonts w:ascii="Arial" w:hAnsi="Arial" w:cs="Arial"/>
          <w:sz w:val="20"/>
          <w:szCs w:val="20"/>
        </w:rPr>
        <w:t xml:space="preserve"> as laminitis, and for a wide range of other uncontrolled factors to affect the observed data. However, all of these factors are also relevant to clinical practice and the study aim was to identify </w:t>
      </w:r>
      <w:r w:rsidR="00BB7B3E">
        <w:rPr>
          <w:rFonts w:ascii="Arial" w:hAnsi="Arial" w:cs="Arial"/>
          <w:sz w:val="20"/>
          <w:szCs w:val="20"/>
        </w:rPr>
        <w:t>applicable</w:t>
      </w:r>
      <w:r w:rsidR="00B92695">
        <w:rPr>
          <w:rFonts w:ascii="Arial" w:hAnsi="Arial" w:cs="Arial"/>
          <w:sz w:val="20"/>
          <w:szCs w:val="20"/>
        </w:rPr>
        <w:t xml:space="preserve"> clinical prediction </w:t>
      </w:r>
      <w:r w:rsidR="00FF4FAE" w:rsidRPr="0097679B">
        <w:rPr>
          <w:rFonts w:ascii="Arial" w:hAnsi="Arial" w:cs="Arial"/>
          <w:sz w:val="20"/>
          <w:szCs w:val="20"/>
        </w:rPr>
        <w:t xml:space="preserve">factors </w:t>
      </w:r>
      <w:r w:rsidR="00B92695">
        <w:rPr>
          <w:rFonts w:ascii="Arial" w:hAnsi="Arial" w:cs="Arial"/>
          <w:sz w:val="20"/>
          <w:szCs w:val="20"/>
        </w:rPr>
        <w:t xml:space="preserve">for </w:t>
      </w:r>
      <w:r w:rsidR="00B25137">
        <w:rPr>
          <w:rFonts w:ascii="Arial" w:hAnsi="Arial" w:cs="Arial"/>
          <w:sz w:val="20"/>
          <w:szCs w:val="20"/>
        </w:rPr>
        <w:t>general</w:t>
      </w:r>
      <w:r w:rsidR="00B92695">
        <w:rPr>
          <w:rFonts w:ascii="Arial" w:hAnsi="Arial" w:cs="Arial"/>
          <w:sz w:val="20"/>
          <w:szCs w:val="20"/>
        </w:rPr>
        <w:t xml:space="preserve"> practice</w:t>
      </w:r>
      <w:r w:rsidR="00FF4FAE" w:rsidRPr="0097679B">
        <w:rPr>
          <w:rFonts w:ascii="Arial" w:hAnsi="Arial" w:cs="Arial"/>
          <w:sz w:val="20"/>
          <w:szCs w:val="20"/>
        </w:rPr>
        <w:t>.</w:t>
      </w:r>
    </w:p>
    <w:p w14:paraId="60B7365D" w14:textId="2E80717B" w:rsidR="005D59F9" w:rsidRPr="0097679B" w:rsidRDefault="00FF4FAE" w:rsidP="000617A0">
      <w:pPr>
        <w:spacing w:line="480" w:lineRule="auto"/>
        <w:rPr>
          <w:rFonts w:ascii="Arial" w:hAnsi="Arial" w:cs="Arial"/>
          <w:sz w:val="20"/>
          <w:szCs w:val="20"/>
        </w:rPr>
      </w:pPr>
      <w:r w:rsidRPr="0097679B">
        <w:rPr>
          <w:rFonts w:ascii="Arial" w:hAnsi="Arial" w:cs="Arial"/>
          <w:sz w:val="20"/>
          <w:szCs w:val="20"/>
        </w:rPr>
        <w:lastRenderedPageBreak/>
        <w:t>A limitation of the analysis and reporting was that the estimated cumulative incidence</w:t>
      </w:r>
      <w:r w:rsidR="007B17A3">
        <w:rPr>
          <w:rFonts w:ascii="Arial" w:hAnsi="Arial" w:cs="Arial"/>
          <w:sz w:val="20"/>
          <w:szCs w:val="20"/>
        </w:rPr>
        <w:t>s</w:t>
      </w:r>
      <w:r w:rsidRPr="0097679B">
        <w:rPr>
          <w:rFonts w:ascii="Arial" w:hAnsi="Arial" w:cs="Arial"/>
          <w:sz w:val="20"/>
          <w:szCs w:val="20"/>
        </w:rPr>
        <w:t xml:space="preserve"> are reported over a </w:t>
      </w:r>
      <w:r w:rsidR="00B92695">
        <w:rPr>
          <w:rFonts w:ascii="Arial" w:hAnsi="Arial" w:cs="Arial"/>
          <w:sz w:val="20"/>
          <w:szCs w:val="20"/>
        </w:rPr>
        <w:t xml:space="preserve">4-year </w:t>
      </w:r>
      <w:r w:rsidRPr="0097679B">
        <w:rPr>
          <w:rFonts w:ascii="Arial" w:hAnsi="Arial" w:cs="Arial"/>
          <w:sz w:val="20"/>
          <w:szCs w:val="20"/>
        </w:rPr>
        <w:t xml:space="preserve">period. This may </w:t>
      </w:r>
      <w:r w:rsidR="00B92695">
        <w:rPr>
          <w:rFonts w:ascii="Arial" w:hAnsi="Arial" w:cs="Arial"/>
          <w:sz w:val="20"/>
          <w:szCs w:val="20"/>
        </w:rPr>
        <w:t>suggest</w:t>
      </w:r>
      <w:r w:rsidRPr="0097679B">
        <w:rPr>
          <w:rFonts w:ascii="Arial" w:hAnsi="Arial" w:cs="Arial"/>
          <w:sz w:val="20"/>
          <w:szCs w:val="20"/>
        </w:rPr>
        <w:t xml:space="preserve"> that a single blood sample </w:t>
      </w:r>
      <w:r w:rsidR="00B92695">
        <w:rPr>
          <w:rFonts w:ascii="Arial" w:hAnsi="Arial" w:cs="Arial"/>
          <w:sz w:val="20"/>
          <w:szCs w:val="20"/>
        </w:rPr>
        <w:t>predicts</w:t>
      </w:r>
      <w:r w:rsidRPr="0097679B">
        <w:rPr>
          <w:rFonts w:ascii="Arial" w:hAnsi="Arial" w:cs="Arial"/>
          <w:sz w:val="20"/>
          <w:szCs w:val="20"/>
        </w:rPr>
        <w:t xml:space="preserve"> laminitis development four-years later. However, the estimates are based on repeated </w:t>
      </w:r>
      <w:r w:rsidR="00B92695">
        <w:rPr>
          <w:rFonts w:ascii="Arial" w:hAnsi="Arial" w:cs="Arial"/>
          <w:sz w:val="20"/>
          <w:szCs w:val="20"/>
        </w:rPr>
        <w:t xml:space="preserve">6 monthly </w:t>
      </w:r>
      <w:r w:rsidRPr="0097679B">
        <w:rPr>
          <w:rFonts w:ascii="Arial" w:hAnsi="Arial" w:cs="Arial"/>
          <w:sz w:val="20"/>
          <w:szCs w:val="20"/>
        </w:rPr>
        <w:t>sampling and it may be more appropriate to inte</w:t>
      </w:r>
      <w:r w:rsidR="005D59F9" w:rsidRPr="0097679B">
        <w:rPr>
          <w:rFonts w:ascii="Arial" w:hAnsi="Arial" w:cs="Arial"/>
          <w:sz w:val="20"/>
          <w:szCs w:val="20"/>
        </w:rPr>
        <w:t>rpret the cumulative incidences on the hypothetical basis that the measured param</w:t>
      </w:r>
      <w:r w:rsidR="0074136A">
        <w:rPr>
          <w:rFonts w:ascii="Arial" w:hAnsi="Arial" w:cs="Arial"/>
          <w:sz w:val="20"/>
          <w:szCs w:val="20"/>
        </w:rPr>
        <w:t>eter would be</w:t>
      </w:r>
      <w:r w:rsidR="005D59F9" w:rsidRPr="0097679B">
        <w:rPr>
          <w:rFonts w:ascii="Arial" w:hAnsi="Arial" w:cs="Arial"/>
          <w:sz w:val="20"/>
          <w:szCs w:val="20"/>
        </w:rPr>
        <w:t xml:space="preserve"> unchanged over the time-at risk</w:t>
      </w:r>
      <w:r w:rsidRPr="0097679B">
        <w:rPr>
          <w:rFonts w:ascii="Arial" w:hAnsi="Arial" w:cs="Arial"/>
          <w:sz w:val="20"/>
          <w:szCs w:val="20"/>
        </w:rPr>
        <w:t>. The extent to which features of insulin dysregulation vary within an individual over time and therefore the frequency with which repeat sampling may b</w:t>
      </w:r>
      <w:r w:rsidR="005D59F9" w:rsidRPr="0097679B">
        <w:rPr>
          <w:rFonts w:ascii="Arial" w:hAnsi="Arial" w:cs="Arial"/>
          <w:sz w:val="20"/>
          <w:szCs w:val="20"/>
        </w:rPr>
        <w:t xml:space="preserve">e useful requires further research. </w:t>
      </w:r>
    </w:p>
    <w:p w14:paraId="295A1FC4" w14:textId="148D25A4" w:rsidR="005D59F9" w:rsidRPr="0097679B" w:rsidRDefault="005D59F9" w:rsidP="000617A0">
      <w:pPr>
        <w:spacing w:line="480" w:lineRule="auto"/>
        <w:rPr>
          <w:rFonts w:ascii="Arial" w:hAnsi="Arial" w:cs="Arial"/>
          <w:sz w:val="20"/>
          <w:szCs w:val="20"/>
        </w:rPr>
      </w:pPr>
      <w:r w:rsidRPr="0097679B">
        <w:rPr>
          <w:rFonts w:ascii="Arial" w:hAnsi="Arial" w:cs="Arial"/>
          <w:sz w:val="20"/>
          <w:szCs w:val="20"/>
        </w:rPr>
        <w:t>Finally, the present study</w:t>
      </w:r>
      <w:r w:rsidR="00B92695">
        <w:rPr>
          <w:rFonts w:ascii="Arial" w:hAnsi="Arial" w:cs="Arial"/>
          <w:sz w:val="20"/>
          <w:szCs w:val="20"/>
        </w:rPr>
        <w:t xml:space="preserve"> results</w:t>
      </w:r>
      <w:r w:rsidRPr="0097679B">
        <w:rPr>
          <w:rFonts w:ascii="Arial" w:hAnsi="Arial" w:cs="Arial"/>
          <w:sz w:val="20"/>
          <w:szCs w:val="20"/>
        </w:rPr>
        <w:t xml:space="preserve"> relate to the specific geographical area studied and the </w:t>
      </w:r>
      <w:r w:rsidR="00B92695">
        <w:rPr>
          <w:rFonts w:ascii="Arial" w:hAnsi="Arial" w:cs="Arial"/>
          <w:sz w:val="20"/>
          <w:szCs w:val="20"/>
        </w:rPr>
        <w:t xml:space="preserve">analytical </w:t>
      </w:r>
      <w:r w:rsidRPr="0097679B">
        <w:rPr>
          <w:rFonts w:ascii="Arial" w:hAnsi="Arial" w:cs="Arial"/>
          <w:sz w:val="20"/>
          <w:szCs w:val="20"/>
        </w:rPr>
        <w:t xml:space="preserve">assays used. The ponies </w:t>
      </w:r>
      <w:r w:rsidR="00B92695">
        <w:rPr>
          <w:rFonts w:ascii="Arial" w:hAnsi="Arial" w:cs="Arial"/>
          <w:sz w:val="20"/>
          <w:szCs w:val="20"/>
        </w:rPr>
        <w:t xml:space="preserve">studied </w:t>
      </w:r>
      <w:r w:rsidRPr="0097679B">
        <w:rPr>
          <w:rFonts w:ascii="Arial" w:hAnsi="Arial" w:cs="Arial"/>
          <w:sz w:val="20"/>
          <w:szCs w:val="20"/>
        </w:rPr>
        <w:t xml:space="preserve">were kept in  groups </w:t>
      </w:r>
      <w:r w:rsidR="00F22AB1">
        <w:rPr>
          <w:rFonts w:ascii="Arial" w:hAnsi="Arial" w:cs="Arial"/>
          <w:sz w:val="20"/>
          <w:szCs w:val="20"/>
        </w:rPr>
        <w:t xml:space="preserve">of at least five animals </w:t>
      </w:r>
      <w:r w:rsidRPr="0097679B">
        <w:rPr>
          <w:rFonts w:ascii="Arial" w:hAnsi="Arial" w:cs="Arial"/>
          <w:sz w:val="20"/>
          <w:szCs w:val="20"/>
        </w:rPr>
        <w:t xml:space="preserve">by experienced owners. The results may not </w:t>
      </w:r>
      <w:r w:rsidR="00B92695">
        <w:rPr>
          <w:rFonts w:ascii="Arial" w:hAnsi="Arial" w:cs="Arial"/>
          <w:sz w:val="20"/>
          <w:szCs w:val="20"/>
        </w:rPr>
        <w:t xml:space="preserve">apply </w:t>
      </w:r>
      <w:r w:rsidRPr="0097679B">
        <w:rPr>
          <w:rFonts w:ascii="Arial" w:hAnsi="Arial" w:cs="Arial"/>
          <w:sz w:val="20"/>
          <w:szCs w:val="20"/>
        </w:rPr>
        <w:t xml:space="preserve">entirely to other management methods </w:t>
      </w:r>
      <w:r w:rsidR="00B92695">
        <w:rPr>
          <w:rFonts w:ascii="Arial" w:hAnsi="Arial" w:cs="Arial"/>
          <w:sz w:val="20"/>
          <w:szCs w:val="20"/>
        </w:rPr>
        <w:t>or</w:t>
      </w:r>
      <w:r w:rsidR="00B92695" w:rsidRPr="0097679B">
        <w:rPr>
          <w:rFonts w:ascii="Arial" w:hAnsi="Arial" w:cs="Arial"/>
          <w:sz w:val="20"/>
          <w:szCs w:val="20"/>
        </w:rPr>
        <w:t xml:space="preserve"> </w:t>
      </w:r>
      <w:r w:rsidRPr="0097679B">
        <w:rPr>
          <w:rFonts w:ascii="Arial" w:hAnsi="Arial" w:cs="Arial"/>
          <w:sz w:val="20"/>
          <w:szCs w:val="20"/>
        </w:rPr>
        <w:t xml:space="preserve">sample </w:t>
      </w:r>
      <w:r w:rsidR="00B92695">
        <w:rPr>
          <w:rFonts w:ascii="Arial" w:hAnsi="Arial" w:cs="Arial"/>
          <w:sz w:val="20"/>
          <w:szCs w:val="20"/>
        </w:rPr>
        <w:t>assay</w:t>
      </w:r>
      <w:r w:rsidR="00BB7B3E">
        <w:rPr>
          <w:rFonts w:ascii="Arial" w:hAnsi="Arial" w:cs="Arial"/>
          <w:sz w:val="20"/>
          <w:szCs w:val="20"/>
        </w:rPr>
        <w:t>s</w:t>
      </w:r>
      <w:r w:rsidR="00B92695" w:rsidRPr="0097679B">
        <w:rPr>
          <w:rFonts w:ascii="Arial" w:hAnsi="Arial" w:cs="Arial"/>
          <w:sz w:val="20"/>
          <w:szCs w:val="20"/>
        </w:rPr>
        <w:t xml:space="preserve"> </w:t>
      </w:r>
      <w:r w:rsidRPr="0097679B">
        <w:rPr>
          <w:rFonts w:ascii="Arial" w:hAnsi="Arial" w:cs="Arial"/>
          <w:sz w:val="20"/>
          <w:szCs w:val="20"/>
        </w:rPr>
        <w:t>(</w:t>
      </w:r>
      <w:r w:rsidR="00B92695">
        <w:rPr>
          <w:rFonts w:ascii="Arial" w:hAnsi="Arial" w:cs="Arial"/>
          <w:sz w:val="20"/>
          <w:szCs w:val="20"/>
        </w:rPr>
        <w:t xml:space="preserve">insulin </w:t>
      </w:r>
      <w:r w:rsidRPr="0097679B">
        <w:rPr>
          <w:rFonts w:ascii="Arial" w:hAnsi="Arial" w:cs="Arial"/>
          <w:sz w:val="20"/>
          <w:szCs w:val="20"/>
        </w:rPr>
        <w:t>in particular).</w:t>
      </w:r>
      <w:r w:rsidR="0074136A">
        <w:rPr>
          <w:rFonts w:ascii="Arial" w:hAnsi="Arial" w:cs="Arial"/>
          <w:sz w:val="20"/>
          <w:szCs w:val="20"/>
        </w:rPr>
        <w:t xml:space="preserve"> Ideally</w:t>
      </w:r>
      <w:r w:rsidR="00B92695">
        <w:rPr>
          <w:rFonts w:ascii="Arial" w:hAnsi="Arial" w:cs="Arial"/>
          <w:sz w:val="20"/>
          <w:szCs w:val="20"/>
        </w:rPr>
        <w:t>,</w:t>
      </w:r>
      <w:r w:rsidR="0074136A">
        <w:rPr>
          <w:rFonts w:ascii="Arial" w:hAnsi="Arial" w:cs="Arial"/>
          <w:sz w:val="20"/>
          <w:szCs w:val="20"/>
        </w:rPr>
        <w:t xml:space="preserve"> the results </w:t>
      </w:r>
      <w:r w:rsidR="00B92695">
        <w:rPr>
          <w:rFonts w:ascii="Arial" w:hAnsi="Arial" w:cs="Arial"/>
          <w:sz w:val="20"/>
          <w:szCs w:val="20"/>
        </w:rPr>
        <w:t xml:space="preserve">should </w:t>
      </w:r>
      <w:r w:rsidR="0074136A">
        <w:rPr>
          <w:rFonts w:ascii="Arial" w:hAnsi="Arial" w:cs="Arial"/>
          <w:sz w:val="20"/>
          <w:szCs w:val="20"/>
        </w:rPr>
        <w:t xml:space="preserve">be validated on another population before being extrapolated more widely. </w:t>
      </w:r>
      <w:r w:rsidRPr="0097679B">
        <w:rPr>
          <w:rFonts w:ascii="Arial" w:hAnsi="Arial" w:cs="Arial"/>
          <w:sz w:val="20"/>
          <w:szCs w:val="20"/>
        </w:rPr>
        <w:t xml:space="preserve"> </w:t>
      </w:r>
    </w:p>
    <w:p w14:paraId="1D5B2D2E" w14:textId="2519AEEF" w:rsidR="004B5CF4" w:rsidRPr="0097679B" w:rsidRDefault="005D59F9" w:rsidP="000617A0">
      <w:pPr>
        <w:spacing w:line="480" w:lineRule="auto"/>
        <w:rPr>
          <w:rFonts w:ascii="Arial" w:hAnsi="Arial" w:cs="Arial"/>
          <w:sz w:val="20"/>
          <w:szCs w:val="20"/>
        </w:rPr>
      </w:pPr>
      <w:r w:rsidRPr="0097679B">
        <w:rPr>
          <w:rFonts w:ascii="Arial" w:hAnsi="Arial" w:cs="Arial"/>
          <w:sz w:val="20"/>
          <w:szCs w:val="20"/>
        </w:rPr>
        <w:t xml:space="preserve">In conclusion, information available from clinical examination, blood analysis or from </w:t>
      </w:r>
      <w:r w:rsidR="00F71131" w:rsidRPr="0097679B">
        <w:rPr>
          <w:rFonts w:ascii="Arial" w:hAnsi="Arial" w:cs="Arial"/>
          <w:sz w:val="20"/>
          <w:szCs w:val="20"/>
        </w:rPr>
        <w:t>owner</w:t>
      </w:r>
      <w:r w:rsidR="00F71131">
        <w:rPr>
          <w:rFonts w:ascii="Arial" w:hAnsi="Arial" w:cs="Arial"/>
          <w:sz w:val="20"/>
          <w:szCs w:val="20"/>
        </w:rPr>
        <w:t>’s</w:t>
      </w:r>
      <w:r w:rsidR="007B17A3">
        <w:rPr>
          <w:rFonts w:ascii="Arial" w:hAnsi="Arial" w:cs="Arial"/>
          <w:sz w:val="20"/>
          <w:szCs w:val="20"/>
        </w:rPr>
        <w:t xml:space="preserve"> accounts of management</w:t>
      </w:r>
      <w:r w:rsidRPr="0097679B">
        <w:rPr>
          <w:rFonts w:ascii="Arial" w:hAnsi="Arial" w:cs="Arial"/>
          <w:sz w:val="20"/>
          <w:szCs w:val="20"/>
        </w:rPr>
        <w:t xml:space="preserve"> are all associated with </w:t>
      </w:r>
      <w:r w:rsidR="001C3BE8">
        <w:rPr>
          <w:rFonts w:ascii="Arial" w:hAnsi="Arial" w:cs="Arial"/>
          <w:sz w:val="20"/>
          <w:szCs w:val="20"/>
        </w:rPr>
        <w:t>laminitis</w:t>
      </w:r>
      <w:r w:rsidR="001C3BE8" w:rsidRPr="0097679B">
        <w:rPr>
          <w:rFonts w:ascii="Arial" w:hAnsi="Arial" w:cs="Arial"/>
          <w:sz w:val="20"/>
          <w:szCs w:val="20"/>
        </w:rPr>
        <w:t xml:space="preserve"> </w:t>
      </w:r>
      <w:r w:rsidRPr="0097679B">
        <w:rPr>
          <w:rFonts w:ascii="Arial" w:hAnsi="Arial" w:cs="Arial"/>
          <w:sz w:val="20"/>
          <w:szCs w:val="20"/>
        </w:rPr>
        <w:t xml:space="preserve">risk. </w:t>
      </w:r>
      <w:r w:rsidR="002C5068">
        <w:rPr>
          <w:rFonts w:ascii="Arial" w:hAnsi="Arial" w:cs="Arial"/>
          <w:sz w:val="20"/>
          <w:szCs w:val="20"/>
        </w:rPr>
        <w:t xml:space="preserve">Risk </w:t>
      </w:r>
      <w:r w:rsidR="00F22AB1">
        <w:rPr>
          <w:rFonts w:ascii="Arial" w:hAnsi="Arial" w:cs="Arial"/>
          <w:sz w:val="20"/>
          <w:szCs w:val="20"/>
        </w:rPr>
        <w:t xml:space="preserve">appears to be </w:t>
      </w:r>
      <w:r w:rsidR="002C5068">
        <w:rPr>
          <w:rFonts w:ascii="Arial" w:hAnsi="Arial" w:cs="Arial"/>
          <w:sz w:val="20"/>
          <w:szCs w:val="20"/>
        </w:rPr>
        <w:t>co</w:t>
      </w:r>
      <w:r w:rsidR="00B32BEF">
        <w:rPr>
          <w:rFonts w:ascii="Arial" w:hAnsi="Arial" w:cs="Arial"/>
          <w:sz w:val="20"/>
          <w:szCs w:val="20"/>
        </w:rPr>
        <w:t>ncentrated in a minority</w:t>
      </w:r>
      <w:r w:rsidR="002C5068">
        <w:rPr>
          <w:rFonts w:ascii="Arial" w:hAnsi="Arial" w:cs="Arial"/>
          <w:sz w:val="20"/>
          <w:szCs w:val="20"/>
        </w:rPr>
        <w:t xml:space="preserve"> of ponies that are best identified by </w:t>
      </w:r>
      <w:r w:rsidRPr="0097679B">
        <w:rPr>
          <w:rFonts w:ascii="Arial" w:hAnsi="Arial" w:cs="Arial"/>
          <w:sz w:val="20"/>
          <w:szCs w:val="20"/>
        </w:rPr>
        <w:t>basal or oral sugar test stimulated serum insulin concentrations. These</w:t>
      </w:r>
      <w:r w:rsidR="002C5068">
        <w:rPr>
          <w:rFonts w:ascii="Arial" w:hAnsi="Arial" w:cs="Arial"/>
          <w:sz w:val="20"/>
          <w:szCs w:val="20"/>
        </w:rPr>
        <w:t xml:space="preserve"> values</w:t>
      </w:r>
      <w:r w:rsidRPr="0097679B">
        <w:rPr>
          <w:rFonts w:ascii="Arial" w:hAnsi="Arial" w:cs="Arial"/>
          <w:sz w:val="20"/>
          <w:szCs w:val="20"/>
        </w:rPr>
        <w:t xml:space="preserve"> may</w:t>
      </w:r>
      <w:r w:rsidR="002C5068">
        <w:rPr>
          <w:rFonts w:ascii="Arial" w:hAnsi="Arial" w:cs="Arial"/>
          <w:sz w:val="20"/>
          <w:szCs w:val="20"/>
        </w:rPr>
        <w:t xml:space="preserve"> be used to classify ponies as</w:t>
      </w:r>
      <w:r w:rsidRPr="0097679B">
        <w:rPr>
          <w:rFonts w:ascii="Arial" w:hAnsi="Arial" w:cs="Arial"/>
          <w:sz w:val="20"/>
          <w:szCs w:val="20"/>
        </w:rPr>
        <w:t xml:space="preserve"> high, medium or low laminitis risk such that preventative strategies can be </w:t>
      </w:r>
      <w:r w:rsidR="001C3BE8">
        <w:rPr>
          <w:rFonts w:ascii="Arial" w:hAnsi="Arial" w:cs="Arial"/>
          <w:sz w:val="20"/>
          <w:szCs w:val="20"/>
        </w:rPr>
        <w:t>targeted on those at highest risk</w:t>
      </w:r>
      <w:r w:rsidRPr="0097679B">
        <w:rPr>
          <w:rFonts w:ascii="Arial" w:hAnsi="Arial" w:cs="Arial"/>
          <w:sz w:val="20"/>
          <w:szCs w:val="20"/>
        </w:rPr>
        <w:t xml:space="preserve">. </w:t>
      </w:r>
      <w:r w:rsidR="00FF4FAE" w:rsidRPr="0097679B">
        <w:rPr>
          <w:rFonts w:ascii="Arial" w:hAnsi="Arial" w:cs="Arial"/>
          <w:sz w:val="20"/>
          <w:szCs w:val="20"/>
        </w:rPr>
        <w:t xml:space="preserve"> </w:t>
      </w:r>
    </w:p>
    <w:p w14:paraId="1357EA3F" w14:textId="77777777" w:rsidR="004B5CF4" w:rsidRPr="0097679B" w:rsidRDefault="004B5CF4" w:rsidP="000617A0">
      <w:pPr>
        <w:spacing w:line="480" w:lineRule="auto"/>
        <w:rPr>
          <w:rFonts w:ascii="Arial" w:hAnsi="Arial" w:cs="Arial"/>
          <w:sz w:val="20"/>
          <w:szCs w:val="20"/>
        </w:rPr>
      </w:pPr>
    </w:p>
    <w:p w14:paraId="3BFEAAFB" w14:textId="77777777" w:rsidR="004B5CF4" w:rsidRPr="0097679B" w:rsidRDefault="004B5CF4" w:rsidP="000617A0">
      <w:pPr>
        <w:spacing w:line="480" w:lineRule="auto"/>
        <w:rPr>
          <w:rFonts w:ascii="Arial" w:hAnsi="Arial" w:cs="Arial"/>
          <w:sz w:val="20"/>
          <w:szCs w:val="20"/>
        </w:rPr>
      </w:pPr>
    </w:p>
    <w:p w14:paraId="42D159F2" w14:textId="77777777" w:rsidR="004B5CF4" w:rsidRPr="0097679B" w:rsidRDefault="004B5CF4" w:rsidP="000617A0">
      <w:pPr>
        <w:spacing w:line="480" w:lineRule="auto"/>
        <w:rPr>
          <w:rFonts w:ascii="Arial" w:hAnsi="Arial" w:cs="Arial"/>
          <w:i/>
          <w:sz w:val="20"/>
          <w:szCs w:val="20"/>
        </w:rPr>
      </w:pPr>
    </w:p>
    <w:p w14:paraId="66859729" w14:textId="77777777" w:rsidR="00C65253" w:rsidRPr="0097679B" w:rsidRDefault="00C65253" w:rsidP="000617A0">
      <w:pPr>
        <w:spacing w:line="480" w:lineRule="auto"/>
        <w:rPr>
          <w:rFonts w:ascii="Arial" w:hAnsi="Arial" w:cs="Arial"/>
          <w:sz w:val="20"/>
          <w:szCs w:val="20"/>
        </w:rPr>
      </w:pPr>
    </w:p>
    <w:p w14:paraId="2CF6CB13" w14:textId="5D141564" w:rsidR="00DB289B" w:rsidRPr="0097679B" w:rsidRDefault="00DB289B" w:rsidP="000617A0">
      <w:pPr>
        <w:spacing w:line="480" w:lineRule="auto"/>
        <w:rPr>
          <w:rFonts w:ascii="Arial" w:hAnsi="Arial" w:cs="Arial"/>
          <w:sz w:val="20"/>
          <w:szCs w:val="20"/>
        </w:rPr>
      </w:pPr>
      <w:r w:rsidRPr="0097679B">
        <w:rPr>
          <w:rFonts w:ascii="Arial" w:hAnsi="Arial" w:cs="Arial"/>
          <w:sz w:val="20"/>
          <w:szCs w:val="20"/>
        </w:rPr>
        <w:t xml:space="preserve"> </w:t>
      </w:r>
    </w:p>
    <w:p w14:paraId="5A4C3504" w14:textId="77777777" w:rsidR="00AA3803" w:rsidRDefault="00AA3803">
      <w:pPr>
        <w:rPr>
          <w:rFonts w:ascii="Arial" w:hAnsi="Arial" w:cs="Arial"/>
          <w:i/>
          <w:sz w:val="20"/>
          <w:szCs w:val="20"/>
        </w:rPr>
      </w:pPr>
      <w:r>
        <w:rPr>
          <w:rFonts w:ascii="Arial" w:hAnsi="Arial" w:cs="Arial"/>
          <w:i/>
          <w:sz w:val="20"/>
          <w:szCs w:val="20"/>
        </w:rPr>
        <w:br w:type="page"/>
      </w:r>
    </w:p>
    <w:p w14:paraId="25F4BA2E" w14:textId="77777777" w:rsidR="009C1635" w:rsidRDefault="009C1635" w:rsidP="009C1635">
      <w:pPr>
        <w:spacing w:line="480" w:lineRule="auto"/>
        <w:rPr>
          <w:rFonts w:ascii="Arial" w:hAnsi="Arial" w:cs="Arial"/>
          <w:i/>
          <w:sz w:val="20"/>
          <w:szCs w:val="20"/>
        </w:rPr>
      </w:pPr>
      <w:r w:rsidRPr="009A450D">
        <w:rPr>
          <w:rFonts w:ascii="Arial" w:hAnsi="Arial" w:cs="Arial"/>
          <w:i/>
          <w:sz w:val="20"/>
          <w:szCs w:val="20"/>
        </w:rPr>
        <w:lastRenderedPageBreak/>
        <w:t>Manufacturers addresses</w:t>
      </w:r>
    </w:p>
    <w:p w14:paraId="389747EF" w14:textId="77777777" w:rsidR="009C1635" w:rsidRDefault="009C1635" w:rsidP="009C1635">
      <w:pPr>
        <w:spacing w:line="480" w:lineRule="auto"/>
        <w:contextualSpacing/>
        <w:rPr>
          <w:rFonts w:ascii="Arial" w:hAnsi="Arial" w:cs="Arial"/>
          <w:sz w:val="20"/>
          <w:szCs w:val="20"/>
        </w:rPr>
      </w:pPr>
      <w:r>
        <w:rPr>
          <w:rFonts w:ascii="Arial" w:hAnsi="Arial" w:cs="Arial"/>
          <w:sz w:val="20"/>
          <w:szCs w:val="20"/>
        </w:rPr>
        <w:t xml:space="preserve">i </w:t>
      </w:r>
      <w:r w:rsidRPr="009A450D">
        <w:rPr>
          <w:rFonts w:ascii="Arial" w:hAnsi="Arial" w:cs="Arial"/>
          <w:sz w:val="20"/>
          <w:szCs w:val="20"/>
        </w:rPr>
        <w:t>Vacutainer tubes, BD (Beckton Dikinson), Wokingham,UK</w:t>
      </w:r>
    </w:p>
    <w:p w14:paraId="1EAF71C5" w14:textId="77777777" w:rsidR="009C1635" w:rsidRDefault="009C1635" w:rsidP="009C1635">
      <w:pPr>
        <w:spacing w:line="480" w:lineRule="auto"/>
        <w:contextualSpacing/>
        <w:rPr>
          <w:rFonts w:ascii="Arial" w:hAnsi="Arial" w:cs="Arial"/>
          <w:sz w:val="20"/>
          <w:szCs w:val="20"/>
        </w:rPr>
      </w:pPr>
      <w:r>
        <w:rPr>
          <w:rFonts w:ascii="Arial" w:hAnsi="Arial" w:cs="Arial"/>
        </w:rPr>
        <w:t>ii</w:t>
      </w:r>
      <w:r w:rsidRPr="009A450D">
        <w:rPr>
          <w:rFonts w:ascii="Arial" w:hAnsi="Arial" w:cs="Arial"/>
          <w:sz w:val="20"/>
          <w:szCs w:val="20"/>
        </w:rPr>
        <w:t xml:space="preserve"> Equestrian Weigh Platform, Equestrian Products, Catterick Garrison, UK</w:t>
      </w:r>
    </w:p>
    <w:p w14:paraId="4BAC5327" w14:textId="77777777" w:rsidR="009C1635" w:rsidRDefault="009C1635" w:rsidP="009C1635">
      <w:pPr>
        <w:spacing w:line="480" w:lineRule="auto"/>
        <w:contextualSpacing/>
        <w:rPr>
          <w:rFonts w:ascii="Arial" w:hAnsi="Arial" w:cs="Arial"/>
          <w:sz w:val="20"/>
          <w:szCs w:val="20"/>
        </w:rPr>
      </w:pPr>
      <w:r>
        <w:rPr>
          <w:rFonts w:ascii="Arial" w:hAnsi="Arial" w:cs="Arial"/>
          <w:sz w:val="20"/>
          <w:szCs w:val="20"/>
        </w:rPr>
        <w:t xml:space="preserve">iii </w:t>
      </w:r>
      <w:r w:rsidRPr="009A450D">
        <w:rPr>
          <w:rFonts w:ascii="Arial" w:hAnsi="Arial" w:cs="Arial"/>
          <w:sz w:val="20"/>
          <w:szCs w:val="20"/>
        </w:rPr>
        <w:t>Karo Light corn syrup, ACH Food Companies Inc, Illinois, UK</w:t>
      </w:r>
    </w:p>
    <w:p w14:paraId="2CFEEF0A" w14:textId="77777777" w:rsidR="009C1635" w:rsidRDefault="009C1635" w:rsidP="009C1635">
      <w:pPr>
        <w:spacing w:line="480" w:lineRule="auto"/>
        <w:contextualSpacing/>
        <w:rPr>
          <w:rFonts w:ascii="Arial" w:hAnsi="Arial" w:cs="Arial"/>
          <w:sz w:val="20"/>
          <w:szCs w:val="20"/>
        </w:rPr>
      </w:pPr>
      <w:r>
        <w:rPr>
          <w:rFonts w:ascii="Arial" w:hAnsi="Arial" w:cs="Arial"/>
          <w:sz w:val="20"/>
          <w:szCs w:val="20"/>
        </w:rPr>
        <w:t xml:space="preserve">iv </w:t>
      </w:r>
      <w:r w:rsidRPr="009A450D">
        <w:rPr>
          <w:rFonts w:ascii="Arial" w:hAnsi="Arial" w:cs="Arial"/>
          <w:sz w:val="20"/>
          <w:szCs w:val="20"/>
        </w:rPr>
        <w:t>Filemaker Pro 12, Claris International Inc, California, USA</w:t>
      </w:r>
    </w:p>
    <w:p w14:paraId="4B250D60" w14:textId="77777777" w:rsidR="009C1635" w:rsidRDefault="009C1635" w:rsidP="009C1635">
      <w:pPr>
        <w:spacing w:line="480" w:lineRule="auto"/>
        <w:contextualSpacing/>
        <w:rPr>
          <w:rFonts w:ascii="Arial" w:hAnsi="Arial" w:cs="Arial"/>
          <w:i/>
          <w:sz w:val="20"/>
          <w:szCs w:val="20"/>
        </w:rPr>
      </w:pPr>
      <w:r>
        <w:rPr>
          <w:rFonts w:ascii="Arial" w:hAnsi="Arial" w:cs="Arial"/>
          <w:sz w:val="20"/>
          <w:szCs w:val="20"/>
        </w:rPr>
        <w:t xml:space="preserve">v </w:t>
      </w:r>
      <w:r w:rsidRPr="009A450D">
        <w:rPr>
          <w:rFonts w:ascii="Arial" w:hAnsi="Arial" w:cs="Arial"/>
          <w:sz w:val="20"/>
          <w:szCs w:val="20"/>
        </w:rPr>
        <w:t>Microsoft Excel, Micorsoft, Washington, USA</w:t>
      </w:r>
    </w:p>
    <w:p w14:paraId="677F054C" w14:textId="77777777" w:rsidR="009C1635" w:rsidRPr="00135A40" w:rsidRDefault="009C1635" w:rsidP="009C1635">
      <w:pPr>
        <w:spacing w:line="480" w:lineRule="auto"/>
        <w:contextualSpacing/>
        <w:rPr>
          <w:rFonts w:ascii="Arial" w:hAnsi="Arial" w:cs="Arial"/>
          <w:i/>
          <w:sz w:val="20"/>
          <w:szCs w:val="20"/>
        </w:rPr>
      </w:pPr>
      <w:r>
        <w:rPr>
          <w:rFonts w:ascii="Arial" w:hAnsi="Arial" w:cs="Arial"/>
          <w:sz w:val="20"/>
          <w:szCs w:val="20"/>
        </w:rPr>
        <w:t>vi</w:t>
      </w:r>
      <w:r w:rsidRPr="009A450D">
        <w:rPr>
          <w:rFonts w:ascii="Arial" w:hAnsi="Arial" w:cs="Arial"/>
          <w:sz w:val="20"/>
          <w:szCs w:val="20"/>
        </w:rPr>
        <w:t xml:space="preserve"> R version 4.0.3, R a language and environment for statistical computing, R foundation for statistical computing, Vienna, Austria</w:t>
      </w:r>
    </w:p>
    <w:p w14:paraId="40458D83" w14:textId="77777777" w:rsidR="009C1635" w:rsidRDefault="009C1635">
      <w:pPr>
        <w:rPr>
          <w:rFonts w:ascii="Arial" w:hAnsi="Arial" w:cs="Arial"/>
          <w:i/>
          <w:sz w:val="20"/>
          <w:szCs w:val="20"/>
        </w:rPr>
      </w:pPr>
      <w:r>
        <w:rPr>
          <w:rFonts w:ascii="Arial" w:hAnsi="Arial" w:cs="Arial"/>
          <w:i/>
          <w:sz w:val="20"/>
          <w:szCs w:val="20"/>
        </w:rPr>
        <w:br w:type="page"/>
      </w:r>
    </w:p>
    <w:p w14:paraId="283B899D" w14:textId="136FBA2A" w:rsidR="001456F0" w:rsidRPr="0097679B" w:rsidRDefault="001456F0" w:rsidP="000617A0">
      <w:pPr>
        <w:spacing w:line="480" w:lineRule="auto"/>
        <w:rPr>
          <w:rFonts w:ascii="Arial" w:hAnsi="Arial" w:cs="Arial"/>
          <w:i/>
          <w:sz w:val="20"/>
          <w:szCs w:val="20"/>
        </w:rPr>
      </w:pPr>
      <w:bookmarkStart w:id="0" w:name="_GoBack"/>
      <w:bookmarkEnd w:id="0"/>
      <w:r w:rsidRPr="0097679B">
        <w:rPr>
          <w:rFonts w:ascii="Arial" w:hAnsi="Arial" w:cs="Arial"/>
          <w:i/>
          <w:sz w:val="20"/>
          <w:szCs w:val="20"/>
        </w:rPr>
        <w:lastRenderedPageBreak/>
        <w:t>Tables</w:t>
      </w:r>
    </w:p>
    <w:p w14:paraId="59EAEE6F" w14:textId="2AEB01D1" w:rsidR="00556208" w:rsidRPr="00AA3803" w:rsidRDefault="00556208" w:rsidP="00AA3803">
      <w:pPr>
        <w:pStyle w:val="Caption"/>
        <w:spacing w:line="480" w:lineRule="auto"/>
        <w:contextualSpacing/>
        <w:rPr>
          <w:rFonts w:ascii="Arial" w:hAnsi="Arial" w:cs="Arial"/>
          <w:i w:val="0"/>
          <w:sz w:val="20"/>
          <w:szCs w:val="20"/>
        </w:rPr>
      </w:pPr>
      <w:bookmarkStart w:id="1" w:name="_Toc60537346"/>
      <w:bookmarkStart w:id="2" w:name="_Toc65624486"/>
      <w:r w:rsidRPr="0097679B">
        <w:rPr>
          <w:rFonts w:ascii="Arial" w:hAnsi="Arial" w:cs="Arial"/>
          <w:i w:val="0"/>
          <w:sz w:val="20"/>
          <w:szCs w:val="20"/>
        </w:rPr>
        <w:t xml:space="preserve">Table 1: </w:t>
      </w:r>
      <w:r w:rsidR="00715015">
        <w:rPr>
          <w:rFonts w:ascii="Arial" w:hAnsi="Arial" w:cs="Arial"/>
          <w:i w:val="0"/>
          <w:sz w:val="20"/>
          <w:szCs w:val="20"/>
        </w:rPr>
        <w:t>N</w:t>
      </w:r>
      <w:r w:rsidRPr="0097679B">
        <w:rPr>
          <w:rFonts w:ascii="Arial" w:hAnsi="Arial" w:cs="Arial"/>
          <w:i w:val="0"/>
          <w:sz w:val="20"/>
          <w:szCs w:val="20"/>
        </w:rPr>
        <w:t xml:space="preserve">umber of ponies assessed at each data collection point, pony-years of follow-up, </w:t>
      </w:r>
      <w:bookmarkEnd w:id="1"/>
      <w:bookmarkEnd w:id="2"/>
      <w:r w:rsidR="00AA3803" w:rsidRPr="0097679B">
        <w:rPr>
          <w:rFonts w:ascii="Arial" w:hAnsi="Arial" w:cs="Arial"/>
          <w:i w:val="0"/>
          <w:sz w:val="20"/>
          <w:szCs w:val="20"/>
        </w:rPr>
        <w:t>laminitis cases, ponies lost from the cohort and laminitis incidence during the main study period 1/10/2015-30/9/2019).</w:t>
      </w:r>
    </w:p>
    <w:tbl>
      <w:tblPr>
        <w:tblW w:w="90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8"/>
        <w:gridCol w:w="1199"/>
        <w:gridCol w:w="1828"/>
        <w:gridCol w:w="1417"/>
        <w:gridCol w:w="1843"/>
        <w:gridCol w:w="1999"/>
      </w:tblGrid>
      <w:tr w:rsidR="00556208" w:rsidRPr="0097679B" w14:paraId="469925C3" w14:textId="77777777" w:rsidTr="000831D1">
        <w:trPr>
          <w:trHeight w:val="915"/>
        </w:trPr>
        <w:tc>
          <w:tcPr>
            <w:tcW w:w="778" w:type="dxa"/>
            <w:tcBorders>
              <w:top w:val="single" w:sz="18" w:space="0" w:color="000000"/>
              <w:left w:val="single" w:sz="18" w:space="0" w:color="000000"/>
              <w:bottom w:val="single" w:sz="4" w:space="0" w:color="auto"/>
              <w:right w:val="single" w:sz="6" w:space="0" w:color="000000"/>
            </w:tcBorders>
          </w:tcPr>
          <w:p w14:paraId="24C9FA68"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Year</w:t>
            </w:r>
          </w:p>
        </w:tc>
        <w:tc>
          <w:tcPr>
            <w:tcW w:w="1199" w:type="dxa"/>
            <w:tcBorders>
              <w:top w:val="single" w:sz="18" w:space="0" w:color="000000"/>
              <w:left w:val="single" w:sz="6" w:space="0" w:color="000000"/>
              <w:bottom w:val="single" w:sz="6" w:space="0" w:color="000000"/>
              <w:right w:val="single" w:sz="6" w:space="0" w:color="000000"/>
            </w:tcBorders>
            <w:shd w:val="clear" w:color="auto" w:fill="auto"/>
            <w:hideMark/>
          </w:tcPr>
          <w:p w14:paraId="739838B3"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Season​</w:t>
            </w:r>
          </w:p>
        </w:tc>
        <w:tc>
          <w:tcPr>
            <w:tcW w:w="1828" w:type="dxa"/>
            <w:tcBorders>
              <w:top w:val="single" w:sz="18" w:space="0" w:color="000000"/>
              <w:left w:val="single" w:sz="6" w:space="0" w:color="000000"/>
              <w:bottom w:val="single" w:sz="6" w:space="0" w:color="000000"/>
              <w:right w:val="single" w:sz="6" w:space="0" w:color="000000"/>
            </w:tcBorders>
            <w:shd w:val="clear" w:color="auto" w:fill="auto"/>
            <w:hideMark/>
          </w:tcPr>
          <w:p w14:paraId="31C431D3"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 xml:space="preserve">Ponies </w:t>
            </w:r>
          </w:p>
          <w:p w14:paraId="26B1965F" w14:textId="77777777" w:rsidR="00185D61" w:rsidRDefault="00556208" w:rsidP="00AA3803">
            <w:pPr>
              <w:pStyle w:val="tablecontents"/>
              <w:jc w:val="center"/>
              <w:rPr>
                <w:rFonts w:ascii="Arial" w:hAnsi="Arial" w:cs="Arial"/>
                <w:sz w:val="20"/>
                <w:szCs w:val="20"/>
              </w:rPr>
            </w:pPr>
            <w:r w:rsidRPr="0097679B">
              <w:rPr>
                <w:rFonts w:ascii="Arial" w:hAnsi="Arial" w:cs="Arial"/>
                <w:sz w:val="20"/>
                <w:szCs w:val="20"/>
              </w:rPr>
              <w:t>assessed​</w:t>
            </w:r>
          </w:p>
          <w:p w14:paraId="4EB83CCD" w14:textId="12261910" w:rsidR="00556208" w:rsidRPr="0097679B" w:rsidRDefault="00185D61" w:rsidP="00AA3803">
            <w:pPr>
              <w:pStyle w:val="tablecontents"/>
              <w:jc w:val="center"/>
              <w:rPr>
                <w:rFonts w:ascii="Arial" w:hAnsi="Arial" w:cs="Arial"/>
                <w:sz w:val="20"/>
                <w:szCs w:val="20"/>
              </w:rPr>
            </w:pPr>
            <w:r>
              <w:rPr>
                <w:rFonts w:ascii="Arial" w:hAnsi="Arial" w:cs="Arial"/>
                <w:sz w:val="20"/>
                <w:szCs w:val="20"/>
              </w:rPr>
              <w:t xml:space="preserve"> (of which </w:t>
            </w:r>
            <w:r w:rsidR="000831D1">
              <w:rPr>
                <w:rFonts w:ascii="Arial" w:hAnsi="Arial" w:cs="Arial"/>
                <w:sz w:val="20"/>
                <w:szCs w:val="20"/>
              </w:rPr>
              <w:t>n were newly recruited</w:t>
            </w:r>
            <w:r>
              <w:rPr>
                <w:rFonts w:ascii="Arial" w:hAnsi="Arial" w:cs="Arial"/>
                <w:sz w:val="20"/>
                <w:szCs w:val="20"/>
              </w:rPr>
              <w:t>)</w:t>
            </w:r>
          </w:p>
        </w:tc>
        <w:tc>
          <w:tcPr>
            <w:tcW w:w="1417" w:type="dxa"/>
            <w:tcBorders>
              <w:top w:val="single" w:sz="18" w:space="0" w:color="000000"/>
              <w:left w:val="single" w:sz="6" w:space="0" w:color="000000"/>
              <w:bottom w:val="single" w:sz="6" w:space="0" w:color="000000"/>
              <w:right w:val="single" w:sz="6" w:space="0" w:color="000000"/>
            </w:tcBorders>
            <w:shd w:val="clear" w:color="auto" w:fill="auto"/>
            <w:hideMark/>
          </w:tcPr>
          <w:p w14:paraId="0D015373"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Laminitis cases</w:t>
            </w:r>
          </w:p>
        </w:tc>
        <w:tc>
          <w:tcPr>
            <w:tcW w:w="1843" w:type="dxa"/>
            <w:tcBorders>
              <w:top w:val="single" w:sz="18" w:space="0" w:color="000000"/>
              <w:left w:val="single" w:sz="6" w:space="0" w:color="000000"/>
              <w:bottom w:val="single" w:sz="6" w:space="0" w:color="000000"/>
              <w:right w:val="single" w:sz="6" w:space="0" w:color="000000"/>
            </w:tcBorders>
            <w:shd w:val="clear" w:color="auto" w:fill="auto"/>
            <w:hideMark/>
          </w:tcPr>
          <w:p w14:paraId="06EB277E"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Pony- years at risk</w:t>
            </w:r>
          </w:p>
        </w:tc>
        <w:tc>
          <w:tcPr>
            <w:tcW w:w="1999" w:type="dxa"/>
            <w:tcBorders>
              <w:top w:val="single" w:sz="18" w:space="0" w:color="000000"/>
              <w:left w:val="single" w:sz="6" w:space="0" w:color="000000"/>
              <w:bottom w:val="single" w:sz="6" w:space="0" w:color="000000"/>
              <w:right w:val="single" w:sz="18" w:space="0" w:color="000000"/>
            </w:tcBorders>
          </w:tcPr>
          <w:p w14:paraId="0656AF8B" w14:textId="4BD9AB5F" w:rsidR="00556208" w:rsidRPr="0097679B" w:rsidRDefault="000831D1" w:rsidP="00AA3803">
            <w:pPr>
              <w:pStyle w:val="tablecontents"/>
              <w:jc w:val="center"/>
              <w:rPr>
                <w:rFonts w:ascii="Arial" w:hAnsi="Arial" w:cs="Arial"/>
                <w:sz w:val="20"/>
                <w:szCs w:val="20"/>
              </w:rPr>
            </w:pPr>
            <w:r>
              <w:rPr>
                <w:rFonts w:ascii="Arial" w:hAnsi="Arial" w:cs="Arial"/>
                <w:sz w:val="20"/>
                <w:szCs w:val="20"/>
              </w:rPr>
              <w:t>Non-laminitic p</w:t>
            </w:r>
            <w:r w:rsidR="00556208" w:rsidRPr="0097679B">
              <w:rPr>
                <w:rFonts w:ascii="Arial" w:hAnsi="Arial" w:cs="Arial"/>
                <w:sz w:val="20"/>
                <w:szCs w:val="20"/>
              </w:rPr>
              <w:t>onies that left the cohort</w:t>
            </w:r>
          </w:p>
        </w:tc>
      </w:tr>
      <w:tr w:rsidR="00556208" w:rsidRPr="0097679B" w14:paraId="00D37F47" w14:textId="77777777" w:rsidTr="000831D1">
        <w:trPr>
          <w:trHeight w:val="340"/>
        </w:trPr>
        <w:tc>
          <w:tcPr>
            <w:tcW w:w="778" w:type="dxa"/>
            <w:tcBorders>
              <w:top w:val="single" w:sz="4" w:space="0" w:color="auto"/>
              <w:left w:val="single" w:sz="18" w:space="0" w:color="000000"/>
              <w:bottom w:val="single" w:sz="6" w:space="0" w:color="000000"/>
              <w:right w:val="single" w:sz="6" w:space="0" w:color="000000"/>
            </w:tcBorders>
          </w:tcPr>
          <w:p w14:paraId="7C4A8181"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2015</w:t>
            </w: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51571FA2"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Autumn</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166567BD" w14:textId="6D5ABBF2"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207</w:t>
            </w:r>
            <w:r w:rsidR="00185D61">
              <w:rPr>
                <w:rFonts w:ascii="Arial" w:hAnsi="Arial" w:cs="Arial"/>
                <w:color w:val="000000"/>
                <w:sz w:val="20"/>
                <w:szCs w:val="20"/>
                <w:lang w:eastAsia="en-GB"/>
              </w:rPr>
              <w:t xml:space="preserve"> (207)</w:t>
            </w:r>
          </w:p>
        </w:tc>
        <w:tc>
          <w:tcPr>
            <w:tcW w:w="1417" w:type="dxa"/>
            <w:vMerge w:val="restart"/>
            <w:tcBorders>
              <w:top w:val="single" w:sz="6" w:space="0" w:color="000000"/>
              <w:left w:val="single" w:sz="6" w:space="0" w:color="000000"/>
              <w:right w:val="single" w:sz="6" w:space="0" w:color="000000"/>
            </w:tcBorders>
            <w:shd w:val="clear" w:color="auto" w:fill="auto"/>
            <w:hideMark/>
          </w:tcPr>
          <w:p w14:paraId="4B4987FD"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5EF2D5F1"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w:t>
            </w:r>
          </w:p>
        </w:tc>
        <w:tc>
          <w:tcPr>
            <w:tcW w:w="1843" w:type="dxa"/>
            <w:vMerge w:val="restart"/>
            <w:tcBorders>
              <w:top w:val="single" w:sz="6" w:space="0" w:color="000000"/>
              <w:left w:val="single" w:sz="6" w:space="0" w:color="000000"/>
              <w:right w:val="single" w:sz="6" w:space="0" w:color="000000"/>
            </w:tcBorders>
            <w:shd w:val="clear" w:color="auto" w:fill="auto"/>
            <w:hideMark/>
          </w:tcPr>
          <w:p w14:paraId="25066102"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00C45722"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sz w:val="20"/>
                <w:szCs w:val="20"/>
                <w:lang w:eastAsia="en-GB"/>
              </w:rPr>
              <w:t>101</w:t>
            </w:r>
          </w:p>
        </w:tc>
        <w:tc>
          <w:tcPr>
            <w:tcW w:w="1999" w:type="dxa"/>
            <w:vMerge w:val="restart"/>
            <w:tcBorders>
              <w:top w:val="single" w:sz="6" w:space="0" w:color="000000"/>
              <w:left w:val="single" w:sz="6" w:space="0" w:color="000000"/>
              <w:right w:val="single" w:sz="18" w:space="0" w:color="000000"/>
            </w:tcBorders>
          </w:tcPr>
          <w:p w14:paraId="074F58D2" w14:textId="77777777" w:rsidR="00556208" w:rsidRPr="0097679B" w:rsidRDefault="00556208" w:rsidP="00AA3803">
            <w:pPr>
              <w:pStyle w:val="tablecontents"/>
              <w:jc w:val="center"/>
              <w:rPr>
                <w:rFonts w:ascii="Arial" w:hAnsi="Arial" w:cs="Arial"/>
                <w:sz w:val="20"/>
                <w:szCs w:val="20"/>
              </w:rPr>
            </w:pPr>
          </w:p>
          <w:p w14:paraId="0A0F1CE0"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16</w:t>
            </w:r>
          </w:p>
        </w:tc>
      </w:tr>
      <w:tr w:rsidR="00556208" w:rsidRPr="0097679B" w14:paraId="2E8E2C57" w14:textId="77777777" w:rsidTr="000831D1">
        <w:trPr>
          <w:trHeight w:val="340"/>
        </w:trPr>
        <w:tc>
          <w:tcPr>
            <w:tcW w:w="778" w:type="dxa"/>
            <w:tcBorders>
              <w:top w:val="single" w:sz="6" w:space="0" w:color="000000"/>
              <w:left w:val="single" w:sz="18" w:space="0" w:color="000000"/>
              <w:bottom w:val="nil"/>
              <w:right w:val="single" w:sz="6" w:space="0" w:color="000000"/>
            </w:tcBorders>
          </w:tcPr>
          <w:p w14:paraId="4CC683F9"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76C1B9FD"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​Winter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01091A6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5546555B"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06455489"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2CC8CDDC" w14:textId="77777777" w:rsidR="00556208" w:rsidRPr="0097679B" w:rsidRDefault="00556208" w:rsidP="00AA3803">
            <w:pPr>
              <w:pStyle w:val="tablecontents"/>
              <w:jc w:val="center"/>
              <w:rPr>
                <w:rFonts w:ascii="Arial" w:hAnsi="Arial" w:cs="Arial"/>
                <w:sz w:val="20"/>
                <w:szCs w:val="20"/>
              </w:rPr>
            </w:pPr>
          </w:p>
        </w:tc>
      </w:tr>
      <w:tr w:rsidR="00556208" w:rsidRPr="0097679B" w14:paraId="6BB6283A" w14:textId="77777777" w:rsidTr="000831D1">
        <w:trPr>
          <w:trHeight w:val="340"/>
        </w:trPr>
        <w:tc>
          <w:tcPr>
            <w:tcW w:w="778" w:type="dxa"/>
            <w:tcBorders>
              <w:top w:val="nil"/>
              <w:left w:val="single" w:sz="18" w:space="0" w:color="000000"/>
              <w:right w:val="single" w:sz="6" w:space="0" w:color="000000"/>
            </w:tcBorders>
          </w:tcPr>
          <w:p w14:paraId="1F47E105"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2016</w:t>
            </w: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2390475F"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Spring</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710ED715" w14:textId="2305D51D"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239</w:t>
            </w:r>
            <w:r w:rsidR="00185D61">
              <w:rPr>
                <w:rFonts w:ascii="Arial" w:hAnsi="Arial" w:cs="Arial"/>
                <w:color w:val="000000"/>
                <w:sz w:val="20"/>
                <w:szCs w:val="20"/>
                <w:lang w:eastAsia="en-GB"/>
              </w:rPr>
              <w:t xml:space="preserve"> </w:t>
            </w:r>
            <w:r w:rsidR="000831D1">
              <w:rPr>
                <w:rFonts w:ascii="Arial" w:hAnsi="Arial" w:cs="Arial"/>
                <w:color w:val="000000"/>
                <w:sz w:val="20"/>
                <w:szCs w:val="20"/>
                <w:lang w:eastAsia="en-GB"/>
              </w:rPr>
              <w:t>(50)</w:t>
            </w:r>
          </w:p>
        </w:tc>
        <w:tc>
          <w:tcPr>
            <w:tcW w:w="1417" w:type="dxa"/>
            <w:vMerge w:val="restart"/>
            <w:tcBorders>
              <w:top w:val="single" w:sz="6" w:space="0" w:color="000000"/>
              <w:left w:val="single" w:sz="6" w:space="0" w:color="000000"/>
              <w:right w:val="single" w:sz="6" w:space="0" w:color="000000"/>
            </w:tcBorders>
            <w:shd w:val="clear" w:color="auto" w:fill="auto"/>
            <w:hideMark/>
          </w:tcPr>
          <w:p w14:paraId="615E3D1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775A4397"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7​</w:t>
            </w:r>
          </w:p>
        </w:tc>
        <w:tc>
          <w:tcPr>
            <w:tcW w:w="1843" w:type="dxa"/>
            <w:vMerge w:val="restart"/>
            <w:tcBorders>
              <w:top w:val="single" w:sz="6" w:space="0" w:color="000000"/>
              <w:left w:val="single" w:sz="6" w:space="0" w:color="000000"/>
              <w:right w:val="single" w:sz="6" w:space="0" w:color="000000"/>
            </w:tcBorders>
            <w:shd w:val="clear" w:color="auto" w:fill="auto"/>
            <w:hideMark/>
          </w:tcPr>
          <w:p w14:paraId="5CDFE673"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1498A784"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115</w:t>
            </w:r>
          </w:p>
        </w:tc>
        <w:tc>
          <w:tcPr>
            <w:tcW w:w="1999" w:type="dxa"/>
            <w:vMerge w:val="restart"/>
            <w:tcBorders>
              <w:top w:val="single" w:sz="6" w:space="0" w:color="000000"/>
              <w:left w:val="single" w:sz="6" w:space="0" w:color="000000"/>
              <w:right w:val="single" w:sz="18" w:space="0" w:color="000000"/>
            </w:tcBorders>
          </w:tcPr>
          <w:p w14:paraId="3F5F2F58" w14:textId="77777777" w:rsidR="00556208" w:rsidRPr="0097679B" w:rsidRDefault="00556208" w:rsidP="00AA3803">
            <w:pPr>
              <w:pStyle w:val="tablecontents"/>
              <w:jc w:val="center"/>
              <w:rPr>
                <w:rFonts w:ascii="Arial" w:hAnsi="Arial" w:cs="Arial"/>
                <w:sz w:val="20"/>
                <w:szCs w:val="20"/>
              </w:rPr>
            </w:pPr>
          </w:p>
          <w:p w14:paraId="41A82C3E"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16</w:t>
            </w:r>
          </w:p>
        </w:tc>
      </w:tr>
      <w:tr w:rsidR="00556208" w:rsidRPr="0097679B" w14:paraId="0931B7DF" w14:textId="77777777" w:rsidTr="000831D1">
        <w:trPr>
          <w:trHeight w:val="340"/>
        </w:trPr>
        <w:tc>
          <w:tcPr>
            <w:tcW w:w="778" w:type="dxa"/>
            <w:tcBorders>
              <w:left w:val="single" w:sz="18" w:space="0" w:color="000000"/>
              <w:right w:val="single" w:sz="6" w:space="0" w:color="000000"/>
            </w:tcBorders>
          </w:tcPr>
          <w:p w14:paraId="463233E1"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0EFD0D7E"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Summer​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1CFB4A9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6F68E542"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262FF87C"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195C68EB" w14:textId="77777777" w:rsidR="00556208" w:rsidRPr="0097679B" w:rsidRDefault="00556208" w:rsidP="00AA3803">
            <w:pPr>
              <w:pStyle w:val="tablecontents"/>
              <w:jc w:val="center"/>
              <w:rPr>
                <w:rFonts w:ascii="Arial" w:hAnsi="Arial" w:cs="Arial"/>
                <w:sz w:val="20"/>
                <w:szCs w:val="20"/>
              </w:rPr>
            </w:pPr>
          </w:p>
        </w:tc>
      </w:tr>
      <w:tr w:rsidR="00556208" w:rsidRPr="0097679B" w14:paraId="6D26FAFE" w14:textId="77777777" w:rsidTr="000831D1">
        <w:trPr>
          <w:trHeight w:val="340"/>
        </w:trPr>
        <w:tc>
          <w:tcPr>
            <w:tcW w:w="778" w:type="dxa"/>
            <w:tcBorders>
              <w:left w:val="single" w:sz="18" w:space="0" w:color="000000"/>
              <w:bottom w:val="single" w:sz="4" w:space="0" w:color="auto"/>
              <w:right w:val="single" w:sz="6" w:space="0" w:color="000000"/>
            </w:tcBorders>
          </w:tcPr>
          <w:p w14:paraId="536797D7"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4838E4ED"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Autumn</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49B33F6C" w14:textId="201CD57F"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242</w:t>
            </w:r>
            <w:r w:rsidR="000831D1">
              <w:rPr>
                <w:rFonts w:ascii="Arial" w:hAnsi="Arial" w:cs="Arial"/>
                <w:color w:val="000000"/>
                <w:sz w:val="20"/>
                <w:szCs w:val="20"/>
                <w:lang w:eastAsia="en-GB"/>
              </w:rPr>
              <w:t xml:space="preserve"> (26)</w:t>
            </w:r>
          </w:p>
        </w:tc>
        <w:tc>
          <w:tcPr>
            <w:tcW w:w="1417" w:type="dxa"/>
            <w:vMerge w:val="restart"/>
            <w:tcBorders>
              <w:top w:val="single" w:sz="6" w:space="0" w:color="000000"/>
              <w:left w:val="single" w:sz="6" w:space="0" w:color="000000"/>
              <w:right w:val="single" w:sz="6" w:space="0" w:color="000000"/>
            </w:tcBorders>
            <w:shd w:val="clear" w:color="auto" w:fill="auto"/>
            <w:hideMark/>
          </w:tcPr>
          <w:p w14:paraId="7C94FE94"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7AF766A1"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w:t>
            </w:r>
          </w:p>
        </w:tc>
        <w:tc>
          <w:tcPr>
            <w:tcW w:w="1843" w:type="dxa"/>
            <w:vMerge w:val="restart"/>
            <w:tcBorders>
              <w:top w:val="single" w:sz="6" w:space="0" w:color="000000"/>
              <w:left w:val="single" w:sz="6" w:space="0" w:color="000000"/>
              <w:right w:val="single" w:sz="6" w:space="0" w:color="000000"/>
            </w:tcBorders>
            <w:shd w:val="clear" w:color="auto" w:fill="auto"/>
            <w:hideMark/>
          </w:tcPr>
          <w:p w14:paraId="002919DD"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43D1F200"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117</w:t>
            </w:r>
          </w:p>
        </w:tc>
        <w:tc>
          <w:tcPr>
            <w:tcW w:w="1999" w:type="dxa"/>
            <w:vMerge w:val="restart"/>
            <w:tcBorders>
              <w:top w:val="single" w:sz="6" w:space="0" w:color="000000"/>
              <w:left w:val="single" w:sz="6" w:space="0" w:color="000000"/>
              <w:right w:val="single" w:sz="18" w:space="0" w:color="000000"/>
            </w:tcBorders>
          </w:tcPr>
          <w:p w14:paraId="683DC51D" w14:textId="77777777" w:rsidR="00556208" w:rsidRPr="0097679B" w:rsidRDefault="00556208" w:rsidP="00AA3803">
            <w:pPr>
              <w:pStyle w:val="tablecontents"/>
              <w:jc w:val="center"/>
              <w:rPr>
                <w:rFonts w:ascii="Arial" w:hAnsi="Arial" w:cs="Arial"/>
                <w:sz w:val="20"/>
                <w:szCs w:val="20"/>
              </w:rPr>
            </w:pPr>
          </w:p>
          <w:p w14:paraId="24BFCCF8"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15</w:t>
            </w:r>
          </w:p>
        </w:tc>
      </w:tr>
      <w:tr w:rsidR="00556208" w:rsidRPr="0097679B" w14:paraId="5AB6E3D4" w14:textId="77777777" w:rsidTr="000831D1">
        <w:trPr>
          <w:trHeight w:val="340"/>
        </w:trPr>
        <w:tc>
          <w:tcPr>
            <w:tcW w:w="778" w:type="dxa"/>
            <w:tcBorders>
              <w:top w:val="single" w:sz="4" w:space="0" w:color="auto"/>
              <w:left w:val="single" w:sz="18" w:space="0" w:color="000000"/>
              <w:bottom w:val="nil"/>
              <w:right w:val="single" w:sz="6" w:space="0" w:color="000000"/>
            </w:tcBorders>
          </w:tcPr>
          <w:p w14:paraId="0B77C542"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0CD72682"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Winter ​</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34ECFF2D"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030632CC"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1FD78099"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296D21D0" w14:textId="77777777" w:rsidR="00556208" w:rsidRPr="0097679B" w:rsidRDefault="00556208" w:rsidP="00AA3803">
            <w:pPr>
              <w:pStyle w:val="tablecontents"/>
              <w:jc w:val="center"/>
              <w:rPr>
                <w:rFonts w:ascii="Arial" w:hAnsi="Arial" w:cs="Arial"/>
                <w:sz w:val="20"/>
                <w:szCs w:val="20"/>
              </w:rPr>
            </w:pPr>
          </w:p>
        </w:tc>
      </w:tr>
      <w:tr w:rsidR="00556208" w:rsidRPr="0097679B" w14:paraId="5D4D3193" w14:textId="77777777" w:rsidTr="000831D1">
        <w:trPr>
          <w:trHeight w:val="340"/>
        </w:trPr>
        <w:tc>
          <w:tcPr>
            <w:tcW w:w="778" w:type="dxa"/>
            <w:tcBorders>
              <w:top w:val="nil"/>
              <w:left w:val="single" w:sz="18" w:space="0" w:color="000000"/>
              <w:right w:val="single" w:sz="6" w:space="0" w:color="000000"/>
            </w:tcBorders>
          </w:tcPr>
          <w:p w14:paraId="354F2FDB"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2017</w:t>
            </w: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39EBB75B"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Spring</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22E5ECE3" w14:textId="5D6EEF60"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238</w:t>
            </w:r>
            <w:r w:rsidR="000831D1">
              <w:rPr>
                <w:rFonts w:ascii="Arial" w:hAnsi="Arial" w:cs="Arial"/>
                <w:color w:val="000000"/>
                <w:sz w:val="20"/>
                <w:szCs w:val="20"/>
                <w:lang w:eastAsia="en-GB"/>
              </w:rPr>
              <w:t xml:space="preserve"> (13)</w:t>
            </w:r>
          </w:p>
        </w:tc>
        <w:tc>
          <w:tcPr>
            <w:tcW w:w="1417" w:type="dxa"/>
            <w:vMerge w:val="restart"/>
            <w:tcBorders>
              <w:top w:val="single" w:sz="6" w:space="0" w:color="000000"/>
              <w:left w:val="single" w:sz="6" w:space="0" w:color="000000"/>
              <w:right w:val="single" w:sz="6" w:space="0" w:color="000000"/>
            </w:tcBorders>
            <w:shd w:val="clear" w:color="auto" w:fill="auto"/>
            <w:hideMark/>
          </w:tcPr>
          <w:p w14:paraId="69BD773C"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24943089"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5​</w:t>
            </w:r>
          </w:p>
        </w:tc>
        <w:tc>
          <w:tcPr>
            <w:tcW w:w="1843" w:type="dxa"/>
            <w:vMerge w:val="restart"/>
            <w:tcBorders>
              <w:top w:val="single" w:sz="6" w:space="0" w:color="000000"/>
              <w:left w:val="single" w:sz="6" w:space="0" w:color="000000"/>
              <w:right w:val="single" w:sz="6" w:space="0" w:color="000000"/>
            </w:tcBorders>
            <w:shd w:val="clear" w:color="auto" w:fill="auto"/>
            <w:hideMark/>
          </w:tcPr>
          <w:p w14:paraId="6416B549"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5635903A"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115</w:t>
            </w:r>
          </w:p>
        </w:tc>
        <w:tc>
          <w:tcPr>
            <w:tcW w:w="1999" w:type="dxa"/>
            <w:vMerge w:val="restart"/>
            <w:tcBorders>
              <w:top w:val="single" w:sz="6" w:space="0" w:color="000000"/>
              <w:left w:val="single" w:sz="6" w:space="0" w:color="000000"/>
              <w:right w:val="single" w:sz="18" w:space="0" w:color="000000"/>
            </w:tcBorders>
          </w:tcPr>
          <w:p w14:paraId="5FEAF1B0" w14:textId="77777777" w:rsidR="00556208" w:rsidRPr="0097679B" w:rsidRDefault="00556208" w:rsidP="00AA3803">
            <w:pPr>
              <w:pStyle w:val="tablecontents"/>
              <w:jc w:val="center"/>
              <w:rPr>
                <w:rFonts w:ascii="Arial" w:hAnsi="Arial" w:cs="Arial"/>
                <w:sz w:val="20"/>
                <w:szCs w:val="20"/>
              </w:rPr>
            </w:pPr>
          </w:p>
          <w:p w14:paraId="5346C700"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23</w:t>
            </w:r>
          </w:p>
        </w:tc>
      </w:tr>
      <w:tr w:rsidR="00556208" w:rsidRPr="0097679B" w14:paraId="0C7E4849" w14:textId="77777777" w:rsidTr="000831D1">
        <w:trPr>
          <w:trHeight w:val="340"/>
        </w:trPr>
        <w:tc>
          <w:tcPr>
            <w:tcW w:w="778" w:type="dxa"/>
            <w:tcBorders>
              <w:left w:val="single" w:sz="18" w:space="0" w:color="000000"/>
              <w:right w:val="single" w:sz="6" w:space="0" w:color="000000"/>
            </w:tcBorders>
          </w:tcPr>
          <w:p w14:paraId="7573C7CA"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75C48618"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​Summer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0F592E59"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6B53C7E6"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0828ABE8"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1B57A5BF" w14:textId="77777777" w:rsidR="00556208" w:rsidRPr="0097679B" w:rsidRDefault="00556208" w:rsidP="00AA3803">
            <w:pPr>
              <w:pStyle w:val="tablecontents"/>
              <w:jc w:val="center"/>
              <w:rPr>
                <w:rFonts w:ascii="Arial" w:hAnsi="Arial" w:cs="Arial"/>
                <w:sz w:val="20"/>
                <w:szCs w:val="20"/>
              </w:rPr>
            </w:pPr>
          </w:p>
        </w:tc>
      </w:tr>
      <w:tr w:rsidR="00556208" w:rsidRPr="0097679B" w14:paraId="25EB2A96" w14:textId="77777777" w:rsidTr="000831D1">
        <w:trPr>
          <w:trHeight w:val="340"/>
        </w:trPr>
        <w:tc>
          <w:tcPr>
            <w:tcW w:w="778" w:type="dxa"/>
            <w:tcBorders>
              <w:left w:val="single" w:sz="18" w:space="0" w:color="000000"/>
              <w:bottom w:val="single" w:sz="4" w:space="0" w:color="auto"/>
              <w:right w:val="single" w:sz="6" w:space="0" w:color="000000"/>
            </w:tcBorders>
          </w:tcPr>
          <w:p w14:paraId="63A7DF53"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3A2F65F1"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Autumn</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4766B2E1" w14:textId="0E0C21F0"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250</w:t>
            </w:r>
            <w:r w:rsidR="000831D1">
              <w:rPr>
                <w:rFonts w:ascii="Arial" w:hAnsi="Arial" w:cs="Arial"/>
                <w:color w:val="000000"/>
                <w:sz w:val="20"/>
                <w:szCs w:val="20"/>
                <w:lang w:eastAsia="en-GB"/>
              </w:rPr>
              <w:t xml:space="preserve"> (40)</w:t>
            </w:r>
          </w:p>
        </w:tc>
        <w:tc>
          <w:tcPr>
            <w:tcW w:w="1417" w:type="dxa"/>
            <w:vMerge w:val="restart"/>
            <w:tcBorders>
              <w:top w:val="single" w:sz="6" w:space="0" w:color="000000"/>
              <w:left w:val="single" w:sz="6" w:space="0" w:color="000000"/>
              <w:right w:val="single" w:sz="6" w:space="0" w:color="000000"/>
            </w:tcBorders>
            <w:shd w:val="clear" w:color="auto" w:fill="auto"/>
            <w:hideMark/>
          </w:tcPr>
          <w:p w14:paraId="49E943E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14DE8016"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5​</w:t>
            </w:r>
          </w:p>
        </w:tc>
        <w:tc>
          <w:tcPr>
            <w:tcW w:w="1843" w:type="dxa"/>
            <w:vMerge w:val="restart"/>
            <w:tcBorders>
              <w:top w:val="single" w:sz="6" w:space="0" w:color="000000"/>
              <w:left w:val="single" w:sz="6" w:space="0" w:color="000000"/>
              <w:right w:val="single" w:sz="6" w:space="0" w:color="000000"/>
            </w:tcBorders>
            <w:shd w:val="clear" w:color="auto" w:fill="auto"/>
            <w:hideMark/>
          </w:tcPr>
          <w:p w14:paraId="36E481F1"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7759CBFF"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sz w:val="20"/>
                <w:szCs w:val="20"/>
                <w:lang w:eastAsia="en-GB"/>
              </w:rPr>
              <w:t>119</w:t>
            </w:r>
          </w:p>
        </w:tc>
        <w:tc>
          <w:tcPr>
            <w:tcW w:w="1999" w:type="dxa"/>
            <w:vMerge w:val="restart"/>
            <w:tcBorders>
              <w:top w:val="single" w:sz="6" w:space="0" w:color="000000"/>
              <w:left w:val="single" w:sz="6" w:space="0" w:color="000000"/>
              <w:right w:val="single" w:sz="18" w:space="0" w:color="000000"/>
            </w:tcBorders>
          </w:tcPr>
          <w:p w14:paraId="4AF3E07C" w14:textId="77777777" w:rsidR="00556208" w:rsidRPr="0097679B" w:rsidRDefault="00556208" w:rsidP="00AA3803">
            <w:pPr>
              <w:pStyle w:val="tablecontents"/>
              <w:jc w:val="center"/>
              <w:rPr>
                <w:rFonts w:ascii="Arial" w:hAnsi="Arial" w:cs="Arial"/>
                <w:sz w:val="20"/>
                <w:szCs w:val="20"/>
              </w:rPr>
            </w:pPr>
          </w:p>
          <w:p w14:paraId="08F7CFCA"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8</w:t>
            </w:r>
          </w:p>
        </w:tc>
      </w:tr>
      <w:tr w:rsidR="00556208" w:rsidRPr="0097679B" w14:paraId="3A057EF7" w14:textId="77777777" w:rsidTr="000831D1">
        <w:trPr>
          <w:trHeight w:val="340"/>
        </w:trPr>
        <w:tc>
          <w:tcPr>
            <w:tcW w:w="778" w:type="dxa"/>
            <w:tcBorders>
              <w:top w:val="single" w:sz="4" w:space="0" w:color="auto"/>
              <w:left w:val="single" w:sz="18" w:space="0" w:color="000000"/>
              <w:bottom w:val="nil"/>
              <w:right w:val="single" w:sz="6" w:space="0" w:color="000000"/>
            </w:tcBorders>
          </w:tcPr>
          <w:p w14:paraId="49CD8ACB"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6D526077"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​Winter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0C4BA374"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4CCA541C"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09098E24"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4E9EB7FF" w14:textId="77777777" w:rsidR="00556208" w:rsidRPr="0097679B" w:rsidRDefault="00556208" w:rsidP="00AA3803">
            <w:pPr>
              <w:pStyle w:val="tablecontents"/>
              <w:jc w:val="center"/>
              <w:rPr>
                <w:rFonts w:ascii="Arial" w:hAnsi="Arial" w:cs="Arial"/>
                <w:sz w:val="20"/>
                <w:szCs w:val="20"/>
              </w:rPr>
            </w:pPr>
          </w:p>
        </w:tc>
      </w:tr>
      <w:tr w:rsidR="00556208" w:rsidRPr="0097679B" w14:paraId="65F78619" w14:textId="77777777" w:rsidTr="000831D1">
        <w:trPr>
          <w:trHeight w:val="340"/>
        </w:trPr>
        <w:tc>
          <w:tcPr>
            <w:tcW w:w="778" w:type="dxa"/>
            <w:tcBorders>
              <w:top w:val="nil"/>
              <w:left w:val="single" w:sz="18" w:space="0" w:color="000000"/>
              <w:right w:val="single" w:sz="6" w:space="0" w:color="000000"/>
            </w:tcBorders>
          </w:tcPr>
          <w:p w14:paraId="7FE48E96"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2018</w:t>
            </w: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7E3F0DEB"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Spring</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5405F345" w14:textId="3C908AB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237</w:t>
            </w:r>
            <w:r w:rsidR="000831D1">
              <w:rPr>
                <w:rFonts w:ascii="Arial" w:hAnsi="Arial" w:cs="Arial"/>
                <w:color w:val="000000"/>
                <w:sz w:val="20"/>
                <w:szCs w:val="20"/>
                <w:lang w:eastAsia="en-GB"/>
              </w:rPr>
              <w:t xml:space="preserve"> (0)</w:t>
            </w:r>
          </w:p>
        </w:tc>
        <w:tc>
          <w:tcPr>
            <w:tcW w:w="1417" w:type="dxa"/>
            <w:vMerge w:val="restart"/>
            <w:tcBorders>
              <w:top w:val="single" w:sz="6" w:space="0" w:color="000000"/>
              <w:left w:val="single" w:sz="6" w:space="0" w:color="000000"/>
              <w:right w:val="single" w:sz="6" w:space="0" w:color="000000"/>
            </w:tcBorders>
            <w:shd w:val="clear" w:color="auto" w:fill="auto"/>
            <w:hideMark/>
          </w:tcPr>
          <w:p w14:paraId="0352847F"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0FB1BB3B"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11​</w:t>
            </w:r>
          </w:p>
        </w:tc>
        <w:tc>
          <w:tcPr>
            <w:tcW w:w="1843" w:type="dxa"/>
            <w:vMerge w:val="restart"/>
            <w:tcBorders>
              <w:top w:val="single" w:sz="6" w:space="0" w:color="000000"/>
              <w:left w:val="single" w:sz="6" w:space="0" w:color="000000"/>
              <w:right w:val="single" w:sz="6" w:space="0" w:color="000000"/>
            </w:tcBorders>
            <w:shd w:val="clear" w:color="auto" w:fill="auto"/>
            <w:hideMark/>
          </w:tcPr>
          <w:p w14:paraId="306877AA"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32C38C33"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112</w:t>
            </w:r>
          </w:p>
        </w:tc>
        <w:tc>
          <w:tcPr>
            <w:tcW w:w="1999" w:type="dxa"/>
            <w:vMerge w:val="restart"/>
            <w:tcBorders>
              <w:top w:val="single" w:sz="6" w:space="0" w:color="000000"/>
              <w:left w:val="single" w:sz="6" w:space="0" w:color="000000"/>
              <w:right w:val="single" w:sz="18" w:space="0" w:color="000000"/>
            </w:tcBorders>
          </w:tcPr>
          <w:p w14:paraId="12E65965" w14:textId="77777777" w:rsidR="00556208" w:rsidRPr="0097679B" w:rsidRDefault="00556208" w:rsidP="00AA3803">
            <w:pPr>
              <w:pStyle w:val="tablecontents"/>
              <w:jc w:val="center"/>
              <w:rPr>
                <w:rFonts w:ascii="Arial" w:hAnsi="Arial" w:cs="Arial"/>
                <w:sz w:val="20"/>
                <w:szCs w:val="20"/>
              </w:rPr>
            </w:pPr>
          </w:p>
          <w:p w14:paraId="2A003B81"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15</w:t>
            </w:r>
          </w:p>
        </w:tc>
      </w:tr>
      <w:tr w:rsidR="00556208" w:rsidRPr="0097679B" w14:paraId="72A0E264" w14:textId="77777777" w:rsidTr="000831D1">
        <w:trPr>
          <w:trHeight w:val="340"/>
        </w:trPr>
        <w:tc>
          <w:tcPr>
            <w:tcW w:w="778" w:type="dxa"/>
            <w:tcBorders>
              <w:left w:val="single" w:sz="18" w:space="0" w:color="000000"/>
              <w:right w:val="single" w:sz="6" w:space="0" w:color="000000"/>
            </w:tcBorders>
          </w:tcPr>
          <w:p w14:paraId="63E05CCC"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3154F7A5"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​Summer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23AD403F"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4886796B"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69ECD11D"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3D1F3E2C" w14:textId="77777777" w:rsidR="00556208" w:rsidRPr="0097679B" w:rsidRDefault="00556208" w:rsidP="00AA3803">
            <w:pPr>
              <w:pStyle w:val="tablecontents"/>
              <w:jc w:val="center"/>
              <w:rPr>
                <w:rFonts w:ascii="Arial" w:hAnsi="Arial" w:cs="Arial"/>
                <w:sz w:val="20"/>
                <w:szCs w:val="20"/>
              </w:rPr>
            </w:pPr>
          </w:p>
        </w:tc>
      </w:tr>
      <w:tr w:rsidR="00556208" w:rsidRPr="0097679B" w14:paraId="50FA49EE" w14:textId="77777777" w:rsidTr="000831D1">
        <w:trPr>
          <w:trHeight w:val="340"/>
        </w:trPr>
        <w:tc>
          <w:tcPr>
            <w:tcW w:w="778" w:type="dxa"/>
            <w:tcBorders>
              <w:left w:val="single" w:sz="18" w:space="0" w:color="000000"/>
              <w:bottom w:val="single" w:sz="4" w:space="0" w:color="auto"/>
              <w:right w:val="single" w:sz="6" w:space="0" w:color="000000"/>
            </w:tcBorders>
          </w:tcPr>
          <w:p w14:paraId="211A1050"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7FF09BCF"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Autumn</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4C9650BB" w14:textId="2E1C402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223​</w:t>
            </w:r>
            <w:r w:rsidR="000831D1">
              <w:rPr>
                <w:rFonts w:ascii="Arial" w:hAnsi="Arial" w:cs="Arial"/>
                <w:color w:val="000000"/>
                <w:sz w:val="20"/>
                <w:szCs w:val="20"/>
                <w:lang w:eastAsia="en-GB"/>
              </w:rPr>
              <w:t xml:space="preserve"> (12)</w:t>
            </w:r>
          </w:p>
        </w:tc>
        <w:tc>
          <w:tcPr>
            <w:tcW w:w="1417" w:type="dxa"/>
            <w:vMerge w:val="restart"/>
            <w:tcBorders>
              <w:top w:val="single" w:sz="6" w:space="0" w:color="000000"/>
              <w:left w:val="single" w:sz="6" w:space="0" w:color="000000"/>
              <w:right w:val="single" w:sz="6" w:space="0" w:color="000000"/>
            </w:tcBorders>
            <w:shd w:val="clear" w:color="auto" w:fill="auto"/>
            <w:hideMark/>
          </w:tcPr>
          <w:p w14:paraId="3DA3EB94"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549157D8"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1 ​</w:t>
            </w:r>
          </w:p>
        </w:tc>
        <w:tc>
          <w:tcPr>
            <w:tcW w:w="1843" w:type="dxa"/>
            <w:vMerge w:val="restart"/>
            <w:tcBorders>
              <w:top w:val="single" w:sz="6" w:space="0" w:color="000000"/>
              <w:left w:val="single" w:sz="6" w:space="0" w:color="000000"/>
              <w:right w:val="single" w:sz="6" w:space="0" w:color="000000"/>
            </w:tcBorders>
            <w:shd w:val="clear" w:color="auto" w:fill="auto"/>
            <w:hideMark/>
          </w:tcPr>
          <w:p w14:paraId="66E3D37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p w14:paraId="4D340F1D"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105</w:t>
            </w:r>
          </w:p>
        </w:tc>
        <w:tc>
          <w:tcPr>
            <w:tcW w:w="1999" w:type="dxa"/>
            <w:vMerge w:val="restart"/>
            <w:tcBorders>
              <w:top w:val="single" w:sz="6" w:space="0" w:color="000000"/>
              <w:left w:val="single" w:sz="6" w:space="0" w:color="000000"/>
              <w:right w:val="single" w:sz="18" w:space="0" w:color="000000"/>
            </w:tcBorders>
          </w:tcPr>
          <w:p w14:paraId="61349CAE" w14:textId="77777777" w:rsidR="00556208" w:rsidRPr="0097679B" w:rsidRDefault="00556208" w:rsidP="00AA3803">
            <w:pPr>
              <w:pStyle w:val="tablecontents"/>
              <w:jc w:val="center"/>
              <w:rPr>
                <w:rFonts w:ascii="Arial" w:hAnsi="Arial" w:cs="Arial"/>
                <w:sz w:val="20"/>
                <w:szCs w:val="20"/>
              </w:rPr>
            </w:pPr>
          </w:p>
          <w:p w14:paraId="3A6BB48D"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16</w:t>
            </w:r>
          </w:p>
        </w:tc>
      </w:tr>
      <w:tr w:rsidR="00556208" w:rsidRPr="0097679B" w14:paraId="18D1D74C" w14:textId="77777777" w:rsidTr="000831D1">
        <w:trPr>
          <w:trHeight w:val="340"/>
        </w:trPr>
        <w:tc>
          <w:tcPr>
            <w:tcW w:w="778" w:type="dxa"/>
            <w:tcBorders>
              <w:top w:val="single" w:sz="4" w:space="0" w:color="auto"/>
              <w:left w:val="single" w:sz="18" w:space="0" w:color="000000"/>
              <w:bottom w:val="nil"/>
              <w:right w:val="single" w:sz="6" w:space="0" w:color="000000"/>
            </w:tcBorders>
          </w:tcPr>
          <w:p w14:paraId="2CF31EF5"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6" w:space="0" w:color="000000"/>
              <w:bottom w:val="single" w:sz="6" w:space="0" w:color="000000"/>
              <w:right w:val="single" w:sz="6" w:space="0" w:color="000000"/>
            </w:tcBorders>
            <w:shd w:val="clear" w:color="auto" w:fill="auto"/>
            <w:hideMark/>
          </w:tcPr>
          <w:p w14:paraId="05F75B46"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​Winter</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7D753DBB"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6" w:space="0" w:color="000000"/>
              <w:right w:val="single" w:sz="6" w:space="0" w:color="000000"/>
            </w:tcBorders>
            <w:shd w:val="clear" w:color="auto" w:fill="auto"/>
            <w:hideMark/>
          </w:tcPr>
          <w:p w14:paraId="15CE1CB5"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6" w:space="0" w:color="000000"/>
              <w:right w:val="single" w:sz="6" w:space="0" w:color="000000"/>
            </w:tcBorders>
            <w:shd w:val="clear" w:color="auto" w:fill="auto"/>
            <w:hideMark/>
          </w:tcPr>
          <w:p w14:paraId="1F300347"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6" w:space="0" w:color="000000"/>
              <w:right w:val="single" w:sz="18" w:space="0" w:color="000000"/>
            </w:tcBorders>
          </w:tcPr>
          <w:p w14:paraId="0FFA8520" w14:textId="77777777" w:rsidR="00556208" w:rsidRPr="0097679B" w:rsidRDefault="00556208" w:rsidP="00AA3803">
            <w:pPr>
              <w:pStyle w:val="tablecontents"/>
              <w:jc w:val="center"/>
              <w:rPr>
                <w:rFonts w:ascii="Arial" w:hAnsi="Arial" w:cs="Arial"/>
                <w:sz w:val="20"/>
                <w:szCs w:val="20"/>
              </w:rPr>
            </w:pPr>
          </w:p>
        </w:tc>
      </w:tr>
      <w:tr w:rsidR="00556208" w:rsidRPr="0097679B" w14:paraId="0BEE93F7" w14:textId="77777777" w:rsidTr="000831D1">
        <w:trPr>
          <w:trHeight w:val="340"/>
        </w:trPr>
        <w:tc>
          <w:tcPr>
            <w:tcW w:w="778" w:type="dxa"/>
            <w:vMerge w:val="restart"/>
            <w:tcBorders>
              <w:top w:val="nil"/>
              <w:left w:val="single" w:sz="18" w:space="0" w:color="000000"/>
              <w:bottom w:val="single" w:sz="8" w:space="0" w:color="auto"/>
              <w:right w:val="single" w:sz="8" w:space="0" w:color="auto"/>
            </w:tcBorders>
          </w:tcPr>
          <w:p w14:paraId="453D3AB4"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2019</w:t>
            </w:r>
          </w:p>
        </w:tc>
        <w:tc>
          <w:tcPr>
            <w:tcW w:w="1199" w:type="dxa"/>
            <w:tcBorders>
              <w:top w:val="single" w:sz="6" w:space="0" w:color="000000"/>
              <w:left w:val="single" w:sz="8" w:space="0" w:color="auto"/>
              <w:bottom w:val="single" w:sz="6" w:space="0" w:color="000000"/>
              <w:right w:val="single" w:sz="6" w:space="0" w:color="000000"/>
            </w:tcBorders>
            <w:shd w:val="clear" w:color="auto" w:fill="auto"/>
            <w:hideMark/>
          </w:tcPr>
          <w:p w14:paraId="5901D8CA"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Spring ​</w:t>
            </w:r>
          </w:p>
        </w:tc>
        <w:tc>
          <w:tcPr>
            <w:tcW w:w="1828" w:type="dxa"/>
            <w:tcBorders>
              <w:top w:val="single" w:sz="6" w:space="0" w:color="000000"/>
              <w:left w:val="single" w:sz="6" w:space="0" w:color="000000"/>
              <w:bottom w:val="single" w:sz="6" w:space="0" w:color="000000"/>
              <w:right w:val="single" w:sz="6" w:space="0" w:color="000000"/>
            </w:tcBorders>
            <w:shd w:val="clear" w:color="auto" w:fill="auto"/>
            <w:hideMark/>
          </w:tcPr>
          <w:p w14:paraId="36E6AF93" w14:textId="217B8496"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232</w:t>
            </w:r>
            <w:r w:rsidR="000831D1">
              <w:rPr>
                <w:rFonts w:ascii="Arial" w:hAnsi="Arial" w:cs="Arial"/>
                <w:color w:val="000000"/>
                <w:sz w:val="20"/>
                <w:szCs w:val="20"/>
                <w:lang w:eastAsia="en-GB"/>
              </w:rPr>
              <w:t xml:space="preserve"> (26)</w:t>
            </w:r>
          </w:p>
        </w:tc>
        <w:tc>
          <w:tcPr>
            <w:tcW w:w="1417" w:type="dxa"/>
            <w:vMerge w:val="restart"/>
            <w:tcBorders>
              <w:top w:val="single" w:sz="6" w:space="0" w:color="000000"/>
              <w:left w:val="single" w:sz="6" w:space="0" w:color="000000"/>
              <w:right w:val="single" w:sz="6" w:space="0" w:color="000000"/>
            </w:tcBorders>
            <w:shd w:val="clear" w:color="auto" w:fill="auto"/>
            <w:hideMark/>
          </w:tcPr>
          <w:p w14:paraId="4AEA6D59" w14:textId="77777777" w:rsidR="00556208" w:rsidRPr="0097679B" w:rsidRDefault="00556208" w:rsidP="00AA3803">
            <w:pPr>
              <w:pStyle w:val="tablecontents"/>
              <w:jc w:val="center"/>
              <w:rPr>
                <w:rFonts w:ascii="Arial" w:hAnsi="Arial" w:cs="Arial"/>
                <w:color w:val="000000"/>
                <w:sz w:val="20"/>
                <w:szCs w:val="20"/>
                <w:lang w:eastAsia="en-GB"/>
              </w:rPr>
            </w:pPr>
          </w:p>
          <w:p w14:paraId="1E71CC18"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10</w:t>
            </w:r>
          </w:p>
        </w:tc>
        <w:tc>
          <w:tcPr>
            <w:tcW w:w="1843" w:type="dxa"/>
            <w:vMerge w:val="restart"/>
            <w:tcBorders>
              <w:top w:val="single" w:sz="6" w:space="0" w:color="000000"/>
              <w:left w:val="single" w:sz="6" w:space="0" w:color="000000"/>
              <w:right w:val="single" w:sz="6" w:space="0" w:color="000000"/>
            </w:tcBorders>
            <w:shd w:val="clear" w:color="auto" w:fill="auto"/>
            <w:hideMark/>
          </w:tcPr>
          <w:p w14:paraId="0EAF899E"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color w:val="000000"/>
                <w:sz w:val="20"/>
                <w:szCs w:val="20"/>
                <w:lang w:eastAsia="en-GB"/>
              </w:rPr>
              <w:t>​</w:t>
            </w:r>
          </w:p>
          <w:p w14:paraId="7F3F1E27"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color w:val="000000"/>
                <w:sz w:val="20"/>
                <w:szCs w:val="20"/>
                <w:lang w:val="en-US" w:eastAsia="en-GB"/>
              </w:rPr>
              <w:t>​</w:t>
            </w:r>
            <w:r w:rsidRPr="0097679B">
              <w:rPr>
                <w:rFonts w:ascii="Arial" w:hAnsi="Arial" w:cs="Arial"/>
                <w:sz w:val="20"/>
                <w:szCs w:val="20"/>
                <w:lang w:eastAsia="en-GB"/>
              </w:rPr>
              <w:t>106</w:t>
            </w:r>
          </w:p>
        </w:tc>
        <w:tc>
          <w:tcPr>
            <w:tcW w:w="1999" w:type="dxa"/>
            <w:vMerge w:val="restart"/>
            <w:tcBorders>
              <w:top w:val="single" w:sz="6" w:space="0" w:color="000000"/>
              <w:left w:val="single" w:sz="6" w:space="0" w:color="000000"/>
              <w:right w:val="single" w:sz="18" w:space="0" w:color="000000"/>
            </w:tcBorders>
          </w:tcPr>
          <w:p w14:paraId="3374C15E" w14:textId="77777777" w:rsidR="00556208" w:rsidRPr="0097679B" w:rsidRDefault="00556208" w:rsidP="00AA3803">
            <w:pPr>
              <w:pStyle w:val="tablecontents"/>
              <w:jc w:val="center"/>
              <w:rPr>
                <w:rFonts w:ascii="Arial" w:hAnsi="Arial" w:cs="Arial"/>
                <w:sz w:val="20"/>
                <w:szCs w:val="20"/>
              </w:rPr>
            </w:pPr>
          </w:p>
          <w:p w14:paraId="212B0F16"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sz w:val="20"/>
                <w:szCs w:val="20"/>
              </w:rPr>
              <w:t>16</w:t>
            </w:r>
          </w:p>
        </w:tc>
      </w:tr>
      <w:tr w:rsidR="00556208" w:rsidRPr="0097679B" w14:paraId="6E3189E0" w14:textId="77777777" w:rsidTr="000831D1">
        <w:trPr>
          <w:trHeight w:val="340"/>
        </w:trPr>
        <w:tc>
          <w:tcPr>
            <w:tcW w:w="778" w:type="dxa"/>
            <w:vMerge/>
            <w:tcBorders>
              <w:top w:val="nil"/>
              <w:left w:val="single" w:sz="18" w:space="0" w:color="000000"/>
              <w:bottom w:val="single" w:sz="18" w:space="0" w:color="auto"/>
              <w:right w:val="single" w:sz="8" w:space="0" w:color="auto"/>
            </w:tcBorders>
          </w:tcPr>
          <w:p w14:paraId="5AAF1D75" w14:textId="77777777" w:rsidR="00556208" w:rsidRPr="0097679B" w:rsidRDefault="00556208" w:rsidP="00AA3803">
            <w:pPr>
              <w:pStyle w:val="tablecontents"/>
              <w:jc w:val="center"/>
              <w:rPr>
                <w:rFonts w:ascii="Arial" w:hAnsi="Arial" w:cs="Arial"/>
                <w:sz w:val="20"/>
                <w:szCs w:val="20"/>
                <w:lang w:eastAsia="en-GB"/>
              </w:rPr>
            </w:pPr>
          </w:p>
        </w:tc>
        <w:tc>
          <w:tcPr>
            <w:tcW w:w="1199" w:type="dxa"/>
            <w:tcBorders>
              <w:top w:val="single" w:sz="6" w:space="0" w:color="000000"/>
              <w:left w:val="single" w:sz="8" w:space="0" w:color="auto"/>
              <w:bottom w:val="single" w:sz="18" w:space="0" w:color="auto"/>
              <w:right w:val="single" w:sz="6" w:space="0" w:color="000000"/>
            </w:tcBorders>
            <w:shd w:val="clear" w:color="auto" w:fill="auto"/>
            <w:hideMark/>
          </w:tcPr>
          <w:p w14:paraId="0B09EA39"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​Summer</w:t>
            </w:r>
          </w:p>
        </w:tc>
        <w:tc>
          <w:tcPr>
            <w:tcW w:w="1828" w:type="dxa"/>
            <w:tcBorders>
              <w:top w:val="single" w:sz="6" w:space="0" w:color="000000"/>
              <w:left w:val="single" w:sz="6" w:space="0" w:color="000000"/>
              <w:bottom w:val="single" w:sz="18" w:space="0" w:color="auto"/>
              <w:right w:val="single" w:sz="6" w:space="0" w:color="000000"/>
            </w:tcBorders>
            <w:shd w:val="clear" w:color="auto" w:fill="auto"/>
            <w:hideMark/>
          </w:tcPr>
          <w:p w14:paraId="166B4295"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w:t>
            </w:r>
          </w:p>
        </w:tc>
        <w:tc>
          <w:tcPr>
            <w:tcW w:w="1417" w:type="dxa"/>
            <w:vMerge/>
            <w:tcBorders>
              <w:left w:val="single" w:sz="6" w:space="0" w:color="000000"/>
              <w:bottom w:val="single" w:sz="18" w:space="0" w:color="auto"/>
              <w:right w:val="single" w:sz="6" w:space="0" w:color="000000"/>
            </w:tcBorders>
            <w:shd w:val="clear" w:color="auto" w:fill="auto"/>
            <w:hideMark/>
          </w:tcPr>
          <w:p w14:paraId="2BE6189C" w14:textId="77777777" w:rsidR="00556208" w:rsidRPr="0097679B" w:rsidRDefault="00556208" w:rsidP="00AA3803">
            <w:pPr>
              <w:pStyle w:val="tablecontents"/>
              <w:jc w:val="center"/>
              <w:rPr>
                <w:rFonts w:ascii="Arial" w:hAnsi="Arial" w:cs="Arial"/>
                <w:color w:val="000000"/>
                <w:sz w:val="20"/>
                <w:szCs w:val="20"/>
                <w:lang w:eastAsia="en-GB"/>
              </w:rPr>
            </w:pPr>
          </w:p>
        </w:tc>
        <w:tc>
          <w:tcPr>
            <w:tcW w:w="1843" w:type="dxa"/>
            <w:vMerge/>
            <w:tcBorders>
              <w:left w:val="single" w:sz="6" w:space="0" w:color="000000"/>
              <w:bottom w:val="single" w:sz="18" w:space="0" w:color="auto"/>
              <w:right w:val="single" w:sz="6" w:space="0" w:color="000000"/>
            </w:tcBorders>
            <w:shd w:val="clear" w:color="auto" w:fill="auto"/>
            <w:hideMark/>
          </w:tcPr>
          <w:p w14:paraId="354AE147" w14:textId="77777777" w:rsidR="00556208" w:rsidRPr="0097679B" w:rsidRDefault="00556208" w:rsidP="00AA3803">
            <w:pPr>
              <w:pStyle w:val="tablecontents"/>
              <w:jc w:val="center"/>
              <w:rPr>
                <w:rFonts w:ascii="Arial" w:hAnsi="Arial" w:cs="Arial"/>
                <w:color w:val="000000"/>
                <w:sz w:val="20"/>
                <w:szCs w:val="20"/>
                <w:lang w:val="en-US" w:eastAsia="en-GB"/>
              </w:rPr>
            </w:pPr>
          </w:p>
        </w:tc>
        <w:tc>
          <w:tcPr>
            <w:tcW w:w="1999" w:type="dxa"/>
            <w:vMerge/>
            <w:tcBorders>
              <w:left w:val="single" w:sz="6" w:space="0" w:color="000000"/>
              <w:bottom w:val="single" w:sz="18" w:space="0" w:color="auto"/>
              <w:right w:val="single" w:sz="18" w:space="0" w:color="000000"/>
            </w:tcBorders>
          </w:tcPr>
          <w:p w14:paraId="14B13B02" w14:textId="77777777" w:rsidR="00556208" w:rsidRPr="0097679B" w:rsidRDefault="00556208" w:rsidP="00AA3803">
            <w:pPr>
              <w:pStyle w:val="tablecontents"/>
              <w:jc w:val="center"/>
              <w:rPr>
                <w:rFonts w:ascii="Arial" w:hAnsi="Arial" w:cs="Arial"/>
                <w:sz w:val="20"/>
                <w:szCs w:val="20"/>
              </w:rPr>
            </w:pPr>
          </w:p>
        </w:tc>
      </w:tr>
      <w:tr w:rsidR="000831D1" w:rsidRPr="0097679B" w14:paraId="086E5A54" w14:textId="77777777" w:rsidTr="003A0C1B">
        <w:trPr>
          <w:trHeight w:val="292"/>
        </w:trPr>
        <w:tc>
          <w:tcPr>
            <w:tcW w:w="1977" w:type="dxa"/>
            <w:gridSpan w:val="2"/>
            <w:tcBorders>
              <w:top w:val="single" w:sz="18" w:space="0" w:color="auto"/>
              <w:left w:val="single" w:sz="18" w:space="0" w:color="000000"/>
              <w:bottom w:val="single" w:sz="4" w:space="0" w:color="auto"/>
              <w:right w:val="single" w:sz="8" w:space="0" w:color="auto"/>
            </w:tcBorders>
          </w:tcPr>
          <w:p w14:paraId="7D834185" w14:textId="77777777" w:rsidR="000831D1" w:rsidRPr="0097679B" w:rsidRDefault="000831D1" w:rsidP="00AA3803">
            <w:pPr>
              <w:pStyle w:val="tablecontents"/>
              <w:jc w:val="center"/>
              <w:rPr>
                <w:rFonts w:ascii="Arial" w:hAnsi="Arial" w:cs="Arial"/>
                <w:sz w:val="20"/>
                <w:szCs w:val="20"/>
                <w:lang w:eastAsia="en-GB"/>
              </w:rPr>
            </w:pPr>
            <w:r w:rsidRPr="0097679B">
              <w:rPr>
                <w:rFonts w:ascii="Arial" w:hAnsi="Arial" w:cs="Arial"/>
                <w:sz w:val="20"/>
                <w:szCs w:val="20"/>
                <w:lang w:eastAsia="en-GB"/>
              </w:rPr>
              <w:t>Totals</w:t>
            </w:r>
          </w:p>
        </w:tc>
        <w:tc>
          <w:tcPr>
            <w:tcW w:w="1828" w:type="dxa"/>
            <w:tcBorders>
              <w:top w:val="single" w:sz="18" w:space="0" w:color="auto"/>
              <w:left w:val="single" w:sz="8" w:space="0" w:color="auto"/>
              <w:bottom w:val="single" w:sz="4" w:space="0" w:color="auto"/>
              <w:right w:val="single" w:sz="8" w:space="0" w:color="auto"/>
            </w:tcBorders>
            <w:shd w:val="clear" w:color="auto" w:fill="auto"/>
          </w:tcPr>
          <w:p w14:paraId="2F7581EE" w14:textId="6346911D" w:rsidR="000831D1" w:rsidRPr="0097679B" w:rsidRDefault="00BC6AF8" w:rsidP="00AA3803">
            <w:pPr>
              <w:pStyle w:val="tablecontents"/>
              <w:jc w:val="center"/>
              <w:rPr>
                <w:rFonts w:ascii="Arial" w:hAnsi="Arial" w:cs="Arial"/>
                <w:color w:val="000000"/>
                <w:sz w:val="20"/>
                <w:szCs w:val="20"/>
                <w:lang w:eastAsia="en-GB"/>
              </w:rPr>
            </w:pPr>
            <w:r>
              <w:rPr>
                <w:rFonts w:ascii="Arial" w:hAnsi="Arial" w:cs="Arial"/>
                <w:color w:val="000000"/>
                <w:sz w:val="20"/>
                <w:szCs w:val="20"/>
                <w:lang w:eastAsia="en-GB"/>
              </w:rPr>
              <w:t>1868</w:t>
            </w:r>
          </w:p>
        </w:tc>
        <w:tc>
          <w:tcPr>
            <w:tcW w:w="1417" w:type="dxa"/>
            <w:tcBorders>
              <w:top w:val="single" w:sz="18" w:space="0" w:color="auto"/>
              <w:left w:val="single" w:sz="8" w:space="0" w:color="auto"/>
              <w:bottom w:val="single" w:sz="4" w:space="0" w:color="auto"/>
              <w:right w:val="single" w:sz="8" w:space="0" w:color="auto"/>
            </w:tcBorders>
            <w:shd w:val="clear" w:color="auto" w:fill="auto"/>
          </w:tcPr>
          <w:p w14:paraId="4A064F9E" w14:textId="77777777" w:rsidR="000831D1" w:rsidRPr="0097679B" w:rsidRDefault="000831D1"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43</w:t>
            </w:r>
          </w:p>
        </w:tc>
        <w:tc>
          <w:tcPr>
            <w:tcW w:w="1843" w:type="dxa"/>
            <w:tcBorders>
              <w:top w:val="single" w:sz="18" w:space="0" w:color="auto"/>
              <w:left w:val="single" w:sz="8" w:space="0" w:color="auto"/>
              <w:bottom w:val="single" w:sz="4" w:space="0" w:color="auto"/>
              <w:right w:val="single" w:sz="6" w:space="0" w:color="000000"/>
            </w:tcBorders>
            <w:shd w:val="clear" w:color="auto" w:fill="auto"/>
          </w:tcPr>
          <w:p w14:paraId="6F29372A" w14:textId="77777777" w:rsidR="000831D1" w:rsidRPr="0097679B" w:rsidRDefault="000831D1" w:rsidP="00AA3803">
            <w:pPr>
              <w:pStyle w:val="tablecontents"/>
              <w:jc w:val="center"/>
              <w:rPr>
                <w:rFonts w:ascii="Arial" w:hAnsi="Arial" w:cs="Arial"/>
                <w:color w:val="000000"/>
                <w:sz w:val="20"/>
                <w:szCs w:val="20"/>
                <w:lang w:val="en-US" w:eastAsia="en-GB"/>
              </w:rPr>
            </w:pPr>
            <w:r w:rsidRPr="0097679B">
              <w:rPr>
                <w:rFonts w:ascii="Arial" w:hAnsi="Arial" w:cs="Arial"/>
                <w:color w:val="000000"/>
                <w:sz w:val="20"/>
                <w:szCs w:val="20"/>
                <w:lang w:val="en-US" w:eastAsia="en-GB"/>
              </w:rPr>
              <w:t>891</w:t>
            </w:r>
          </w:p>
        </w:tc>
        <w:tc>
          <w:tcPr>
            <w:tcW w:w="1999" w:type="dxa"/>
            <w:tcBorders>
              <w:top w:val="single" w:sz="18" w:space="0" w:color="auto"/>
              <w:left w:val="single" w:sz="8" w:space="0" w:color="auto"/>
              <w:bottom w:val="single" w:sz="4" w:space="0" w:color="auto"/>
              <w:right w:val="single" w:sz="18" w:space="0" w:color="000000"/>
            </w:tcBorders>
          </w:tcPr>
          <w:p w14:paraId="1B362D23" w14:textId="776448FF" w:rsidR="000831D1" w:rsidRPr="0097679B" w:rsidRDefault="000831D1" w:rsidP="00AA3803">
            <w:pPr>
              <w:pStyle w:val="tablecontents"/>
              <w:jc w:val="center"/>
              <w:rPr>
                <w:rFonts w:ascii="Arial" w:hAnsi="Arial" w:cs="Arial"/>
                <w:sz w:val="20"/>
                <w:szCs w:val="20"/>
              </w:rPr>
            </w:pPr>
            <w:r w:rsidRPr="0097679B">
              <w:rPr>
                <w:rFonts w:ascii="Arial" w:hAnsi="Arial" w:cs="Arial"/>
                <w:sz w:val="20"/>
                <w:szCs w:val="20"/>
              </w:rPr>
              <w:t>125</w:t>
            </w:r>
          </w:p>
        </w:tc>
      </w:tr>
      <w:tr w:rsidR="00556208" w:rsidRPr="0097679B" w14:paraId="0AAD4485" w14:textId="77777777" w:rsidTr="000831D1">
        <w:trPr>
          <w:trHeight w:val="292"/>
        </w:trPr>
        <w:tc>
          <w:tcPr>
            <w:tcW w:w="3805" w:type="dxa"/>
            <w:gridSpan w:val="3"/>
            <w:tcBorders>
              <w:top w:val="single" w:sz="4" w:space="0" w:color="auto"/>
              <w:left w:val="single" w:sz="18" w:space="0" w:color="000000"/>
              <w:bottom w:val="single" w:sz="8" w:space="0" w:color="auto"/>
              <w:right w:val="single" w:sz="8" w:space="0" w:color="auto"/>
            </w:tcBorders>
          </w:tcPr>
          <w:p w14:paraId="0C8C0E5A"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 xml:space="preserve">Incidence </w:t>
            </w:r>
          </w:p>
        </w:tc>
        <w:tc>
          <w:tcPr>
            <w:tcW w:w="5259" w:type="dxa"/>
            <w:gridSpan w:val="3"/>
            <w:tcBorders>
              <w:top w:val="single" w:sz="4" w:space="0" w:color="auto"/>
              <w:left w:val="single" w:sz="8" w:space="0" w:color="auto"/>
              <w:bottom w:val="single" w:sz="8" w:space="0" w:color="auto"/>
              <w:right w:val="single" w:sz="18" w:space="0" w:color="000000"/>
            </w:tcBorders>
            <w:shd w:val="clear" w:color="auto" w:fill="auto"/>
          </w:tcPr>
          <w:p w14:paraId="740F5142"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color w:val="000000"/>
                <w:sz w:val="20"/>
                <w:szCs w:val="20"/>
                <w:lang w:eastAsia="en-GB"/>
              </w:rPr>
              <w:t xml:space="preserve">4.8 (3.5-6.5) </w:t>
            </w:r>
            <w:r w:rsidRPr="0097679B">
              <w:rPr>
                <w:rFonts w:ascii="Arial" w:hAnsi="Arial" w:cs="Arial"/>
                <w:sz w:val="20"/>
                <w:szCs w:val="20"/>
                <w:lang w:eastAsia="en-GB"/>
              </w:rPr>
              <w:t xml:space="preserve"> Cases/100 pony years (95% CI)</w:t>
            </w:r>
          </w:p>
        </w:tc>
      </w:tr>
      <w:tr w:rsidR="00556208" w:rsidRPr="0097679B" w14:paraId="24716824" w14:textId="77777777" w:rsidTr="000831D1">
        <w:trPr>
          <w:trHeight w:val="660"/>
        </w:trPr>
        <w:tc>
          <w:tcPr>
            <w:tcW w:w="3805" w:type="dxa"/>
            <w:gridSpan w:val="3"/>
            <w:tcBorders>
              <w:top w:val="single" w:sz="18" w:space="0" w:color="auto"/>
              <w:left w:val="single" w:sz="18" w:space="0" w:color="000000"/>
              <w:bottom w:val="single" w:sz="4" w:space="0" w:color="auto"/>
              <w:right w:val="single" w:sz="8" w:space="0" w:color="auto"/>
            </w:tcBorders>
          </w:tcPr>
          <w:p w14:paraId="342A5964"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Summer (spring- autumn)</w:t>
            </w:r>
          </w:p>
        </w:tc>
        <w:tc>
          <w:tcPr>
            <w:tcW w:w="1417" w:type="dxa"/>
            <w:tcBorders>
              <w:top w:val="single" w:sz="18" w:space="0" w:color="auto"/>
              <w:left w:val="single" w:sz="8" w:space="0" w:color="auto"/>
              <w:bottom w:val="single" w:sz="4" w:space="0" w:color="auto"/>
              <w:right w:val="single" w:sz="8" w:space="0" w:color="auto"/>
            </w:tcBorders>
            <w:shd w:val="clear" w:color="auto" w:fill="auto"/>
          </w:tcPr>
          <w:p w14:paraId="57B41836"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 xml:space="preserve">33 </w:t>
            </w:r>
          </w:p>
        </w:tc>
        <w:tc>
          <w:tcPr>
            <w:tcW w:w="1843" w:type="dxa"/>
            <w:tcBorders>
              <w:top w:val="single" w:sz="18" w:space="0" w:color="auto"/>
              <w:left w:val="single" w:sz="8" w:space="0" w:color="auto"/>
              <w:bottom w:val="single" w:sz="4" w:space="0" w:color="auto"/>
              <w:right w:val="single" w:sz="6" w:space="0" w:color="000000"/>
            </w:tcBorders>
            <w:shd w:val="clear" w:color="auto" w:fill="auto"/>
          </w:tcPr>
          <w:p w14:paraId="3311A303" w14:textId="77777777" w:rsidR="00556208" w:rsidRPr="0097679B" w:rsidRDefault="00556208" w:rsidP="00AA3803">
            <w:pPr>
              <w:pStyle w:val="tablecontents"/>
              <w:jc w:val="center"/>
              <w:rPr>
                <w:rFonts w:ascii="Arial" w:hAnsi="Arial" w:cs="Arial"/>
                <w:color w:val="000000"/>
                <w:sz w:val="20"/>
                <w:szCs w:val="20"/>
                <w:lang w:val="en-US" w:eastAsia="en-GB"/>
              </w:rPr>
            </w:pPr>
            <w:r w:rsidRPr="0097679B">
              <w:rPr>
                <w:rFonts w:ascii="Arial" w:hAnsi="Arial" w:cs="Arial"/>
                <w:color w:val="000000"/>
                <w:sz w:val="20"/>
                <w:szCs w:val="20"/>
                <w:lang w:val="en-US" w:eastAsia="en-GB"/>
              </w:rPr>
              <w:t>449</w:t>
            </w:r>
          </w:p>
        </w:tc>
        <w:tc>
          <w:tcPr>
            <w:tcW w:w="1999" w:type="dxa"/>
            <w:tcBorders>
              <w:top w:val="single" w:sz="18" w:space="0" w:color="auto"/>
              <w:left w:val="single" w:sz="8" w:space="0" w:color="auto"/>
              <w:bottom w:val="single" w:sz="4" w:space="0" w:color="auto"/>
              <w:right w:val="single" w:sz="18" w:space="0" w:color="000000"/>
            </w:tcBorders>
          </w:tcPr>
          <w:p w14:paraId="46A78A4C" w14:textId="77777777" w:rsidR="00556208" w:rsidRPr="0097679B" w:rsidRDefault="00556208" w:rsidP="00AA3803">
            <w:pPr>
              <w:pStyle w:val="tablecontents"/>
              <w:jc w:val="center"/>
              <w:rPr>
                <w:rFonts w:ascii="Arial" w:hAnsi="Arial" w:cs="Arial"/>
                <w:sz w:val="20"/>
                <w:szCs w:val="20"/>
              </w:rPr>
            </w:pPr>
          </w:p>
        </w:tc>
      </w:tr>
      <w:tr w:rsidR="00556208" w:rsidRPr="0097679B" w14:paraId="2D53485E" w14:textId="77777777" w:rsidTr="000831D1">
        <w:trPr>
          <w:trHeight w:val="341"/>
        </w:trPr>
        <w:tc>
          <w:tcPr>
            <w:tcW w:w="3805" w:type="dxa"/>
            <w:gridSpan w:val="3"/>
            <w:tcBorders>
              <w:top w:val="single" w:sz="4" w:space="0" w:color="auto"/>
              <w:left w:val="single" w:sz="18" w:space="0" w:color="000000"/>
              <w:bottom w:val="single" w:sz="18" w:space="0" w:color="auto"/>
              <w:right w:val="single" w:sz="8" w:space="0" w:color="auto"/>
            </w:tcBorders>
          </w:tcPr>
          <w:p w14:paraId="2DB50173"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 xml:space="preserve">Incidence </w:t>
            </w:r>
          </w:p>
        </w:tc>
        <w:tc>
          <w:tcPr>
            <w:tcW w:w="5259" w:type="dxa"/>
            <w:gridSpan w:val="3"/>
            <w:tcBorders>
              <w:top w:val="single" w:sz="4" w:space="0" w:color="auto"/>
              <w:left w:val="single" w:sz="8" w:space="0" w:color="auto"/>
              <w:bottom w:val="single" w:sz="18" w:space="0" w:color="auto"/>
              <w:right w:val="single" w:sz="18" w:space="0" w:color="000000"/>
            </w:tcBorders>
            <w:shd w:val="clear" w:color="auto" w:fill="auto"/>
          </w:tcPr>
          <w:p w14:paraId="1405607D"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color w:val="000000"/>
                <w:sz w:val="20"/>
                <w:szCs w:val="20"/>
                <w:lang w:eastAsia="en-GB"/>
              </w:rPr>
              <w:t xml:space="preserve">7.3 (5.1-10.3) </w:t>
            </w:r>
            <w:r w:rsidRPr="0097679B">
              <w:rPr>
                <w:rFonts w:ascii="Arial" w:hAnsi="Arial" w:cs="Arial"/>
                <w:sz w:val="20"/>
                <w:szCs w:val="20"/>
                <w:lang w:eastAsia="en-GB"/>
              </w:rPr>
              <w:t xml:space="preserve"> Cases/100 pony years (95% CI)</w:t>
            </w:r>
          </w:p>
        </w:tc>
      </w:tr>
      <w:tr w:rsidR="00556208" w:rsidRPr="0097679B" w14:paraId="0480C815" w14:textId="77777777" w:rsidTr="000831D1">
        <w:trPr>
          <w:trHeight w:val="660"/>
        </w:trPr>
        <w:tc>
          <w:tcPr>
            <w:tcW w:w="3805" w:type="dxa"/>
            <w:gridSpan w:val="3"/>
            <w:tcBorders>
              <w:top w:val="single" w:sz="18" w:space="0" w:color="auto"/>
              <w:left w:val="single" w:sz="18" w:space="0" w:color="000000"/>
              <w:bottom w:val="single" w:sz="4" w:space="0" w:color="auto"/>
              <w:right w:val="single" w:sz="8" w:space="0" w:color="auto"/>
            </w:tcBorders>
          </w:tcPr>
          <w:p w14:paraId="6F0C1763"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Winter (autumn-spring)</w:t>
            </w:r>
          </w:p>
        </w:tc>
        <w:tc>
          <w:tcPr>
            <w:tcW w:w="1417" w:type="dxa"/>
            <w:tcBorders>
              <w:top w:val="single" w:sz="18" w:space="0" w:color="auto"/>
              <w:left w:val="single" w:sz="8" w:space="0" w:color="auto"/>
              <w:bottom w:val="single" w:sz="4" w:space="0" w:color="auto"/>
              <w:right w:val="single" w:sz="8" w:space="0" w:color="auto"/>
            </w:tcBorders>
            <w:shd w:val="clear" w:color="auto" w:fill="auto"/>
          </w:tcPr>
          <w:p w14:paraId="3DEA179E" w14:textId="77777777" w:rsidR="00556208" w:rsidRPr="0097679B" w:rsidRDefault="00556208" w:rsidP="00AA3803">
            <w:pPr>
              <w:pStyle w:val="tablecontents"/>
              <w:jc w:val="center"/>
              <w:rPr>
                <w:rFonts w:ascii="Arial" w:hAnsi="Arial" w:cs="Arial"/>
                <w:color w:val="000000"/>
                <w:sz w:val="20"/>
                <w:szCs w:val="20"/>
                <w:lang w:eastAsia="en-GB"/>
              </w:rPr>
            </w:pPr>
            <w:r w:rsidRPr="0097679B">
              <w:rPr>
                <w:rFonts w:ascii="Arial" w:hAnsi="Arial" w:cs="Arial"/>
                <w:color w:val="000000"/>
                <w:sz w:val="20"/>
                <w:szCs w:val="20"/>
                <w:lang w:eastAsia="en-GB"/>
              </w:rPr>
              <w:t>10</w:t>
            </w:r>
          </w:p>
        </w:tc>
        <w:tc>
          <w:tcPr>
            <w:tcW w:w="1843" w:type="dxa"/>
            <w:tcBorders>
              <w:top w:val="single" w:sz="18" w:space="0" w:color="auto"/>
              <w:left w:val="single" w:sz="8" w:space="0" w:color="auto"/>
              <w:bottom w:val="single" w:sz="4" w:space="0" w:color="auto"/>
              <w:right w:val="single" w:sz="6" w:space="0" w:color="000000"/>
            </w:tcBorders>
            <w:shd w:val="clear" w:color="auto" w:fill="auto"/>
          </w:tcPr>
          <w:p w14:paraId="5898DC8B" w14:textId="77777777" w:rsidR="00556208" w:rsidRPr="0097679B" w:rsidRDefault="00556208" w:rsidP="00AA3803">
            <w:pPr>
              <w:pStyle w:val="tablecontents"/>
              <w:jc w:val="center"/>
              <w:rPr>
                <w:rFonts w:ascii="Arial" w:hAnsi="Arial" w:cs="Arial"/>
                <w:color w:val="000000"/>
                <w:sz w:val="20"/>
                <w:szCs w:val="20"/>
                <w:lang w:val="en-US" w:eastAsia="en-GB"/>
              </w:rPr>
            </w:pPr>
            <w:r w:rsidRPr="0097679B">
              <w:rPr>
                <w:rFonts w:ascii="Arial" w:hAnsi="Arial" w:cs="Arial"/>
                <w:color w:val="000000"/>
                <w:sz w:val="20"/>
                <w:szCs w:val="20"/>
                <w:lang w:val="en-US" w:eastAsia="en-GB"/>
              </w:rPr>
              <w:t>442</w:t>
            </w:r>
          </w:p>
        </w:tc>
        <w:tc>
          <w:tcPr>
            <w:tcW w:w="1999" w:type="dxa"/>
            <w:tcBorders>
              <w:top w:val="single" w:sz="18" w:space="0" w:color="auto"/>
              <w:left w:val="single" w:sz="8" w:space="0" w:color="auto"/>
              <w:bottom w:val="single" w:sz="4" w:space="0" w:color="auto"/>
              <w:right w:val="single" w:sz="18" w:space="0" w:color="000000"/>
            </w:tcBorders>
          </w:tcPr>
          <w:p w14:paraId="7B5199A8" w14:textId="77777777" w:rsidR="00556208" w:rsidRPr="0097679B" w:rsidRDefault="00556208" w:rsidP="00AA3803">
            <w:pPr>
              <w:pStyle w:val="tablecontents"/>
              <w:jc w:val="center"/>
              <w:rPr>
                <w:rFonts w:ascii="Arial" w:hAnsi="Arial" w:cs="Arial"/>
                <w:sz w:val="20"/>
                <w:szCs w:val="20"/>
              </w:rPr>
            </w:pPr>
          </w:p>
        </w:tc>
      </w:tr>
      <w:tr w:rsidR="00556208" w:rsidRPr="0097679B" w14:paraId="5B6AC07A" w14:textId="77777777" w:rsidTr="000831D1">
        <w:trPr>
          <w:trHeight w:val="419"/>
        </w:trPr>
        <w:tc>
          <w:tcPr>
            <w:tcW w:w="3805" w:type="dxa"/>
            <w:gridSpan w:val="3"/>
            <w:tcBorders>
              <w:top w:val="single" w:sz="4" w:space="0" w:color="auto"/>
              <w:left w:val="single" w:sz="18" w:space="0" w:color="000000"/>
              <w:bottom w:val="single" w:sz="18" w:space="0" w:color="auto"/>
              <w:right w:val="single" w:sz="8" w:space="0" w:color="auto"/>
            </w:tcBorders>
          </w:tcPr>
          <w:p w14:paraId="5B887F74" w14:textId="77777777" w:rsidR="00556208" w:rsidRPr="0097679B" w:rsidRDefault="00556208" w:rsidP="00AA3803">
            <w:pPr>
              <w:pStyle w:val="tablecontents"/>
              <w:jc w:val="center"/>
              <w:rPr>
                <w:rFonts w:ascii="Arial" w:hAnsi="Arial" w:cs="Arial"/>
                <w:sz w:val="20"/>
                <w:szCs w:val="20"/>
                <w:lang w:eastAsia="en-GB"/>
              </w:rPr>
            </w:pPr>
            <w:r w:rsidRPr="0097679B">
              <w:rPr>
                <w:rFonts w:ascii="Arial" w:hAnsi="Arial" w:cs="Arial"/>
                <w:sz w:val="20"/>
                <w:szCs w:val="20"/>
                <w:lang w:eastAsia="en-GB"/>
              </w:rPr>
              <w:t xml:space="preserve">Incidence </w:t>
            </w:r>
          </w:p>
        </w:tc>
        <w:tc>
          <w:tcPr>
            <w:tcW w:w="5259" w:type="dxa"/>
            <w:gridSpan w:val="3"/>
            <w:tcBorders>
              <w:top w:val="single" w:sz="4" w:space="0" w:color="auto"/>
              <w:left w:val="single" w:sz="8" w:space="0" w:color="auto"/>
              <w:bottom w:val="single" w:sz="18" w:space="0" w:color="auto"/>
              <w:right w:val="single" w:sz="18" w:space="0" w:color="000000"/>
            </w:tcBorders>
            <w:shd w:val="clear" w:color="auto" w:fill="auto"/>
          </w:tcPr>
          <w:p w14:paraId="1E8E7D54" w14:textId="77777777" w:rsidR="00556208" w:rsidRPr="0097679B" w:rsidRDefault="00556208" w:rsidP="00AA3803">
            <w:pPr>
              <w:pStyle w:val="tablecontents"/>
              <w:jc w:val="center"/>
              <w:rPr>
                <w:rFonts w:ascii="Arial" w:hAnsi="Arial" w:cs="Arial"/>
                <w:sz w:val="20"/>
                <w:szCs w:val="20"/>
              </w:rPr>
            </w:pPr>
            <w:r w:rsidRPr="0097679B">
              <w:rPr>
                <w:rFonts w:ascii="Arial" w:hAnsi="Arial" w:cs="Arial"/>
                <w:color w:val="000000"/>
                <w:sz w:val="20"/>
                <w:szCs w:val="20"/>
                <w:lang w:eastAsia="en-GB"/>
              </w:rPr>
              <w:t xml:space="preserve">2.2 (1.1-4.1) </w:t>
            </w:r>
            <w:r w:rsidRPr="0097679B">
              <w:rPr>
                <w:rFonts w:ascii="Arial" w:hAnsi="Arial" w:cs="Arial"/>
                <w:sz w:val="20"/>
                <w:szCs w:val="20"/>
                <w:lang w:eastAsia="en-GB"/>
              </w:rPr>
              <w:t xml:space="preserve"> Cases/100 pony years (95% CI)</w:t>
            </w:r>
          </w:p>
        </w:tc>
      </w:tr>
    </w:tbl>
    <w:p w14:paraId="60ACA58A" w14:textId="77777777" w:rsidR="00AA3803" w:rsidRDefault="00AA3803" w:rsidP="00705D41">
      <w:pPr>
        <w:spacing w:line="480" w:lineRule="auto"/>
        <w:contextualSpacing/>
        <w:rPr>
          <w:rFonts w:ascii="Arial" w:hAnsi="Arial" w:cs="Arial"/>
          <w:sz w:val="20"/>
          <w:szCs w:val="20"/>
        </w:rPr>
      </w:pPr>
      <w:bookmarkStart w:id="3" w:name="_Toc65624491"/>
      <w:bookmarkStart w:id="4" w:name="_Toc60537351"/>
    </w:p>
    <w:p w14:paraId="6A41492F" w14:textId="77777777" w:rsidR="00AA3803" w:rsidRDefault="00AA3803">
      <w:pPr>
        <w:rPr>
          <w:rFonts w:ascii="Arial" w:hAnsi="Arial" w:cs="Arial"/>
          <w:sz w:val="20"/>
          <w:szCs w:val="20"/>
        </w:rPr>
      </w:pPr>
      <w:r>
        <w:rPr>
          <w:rFonts w:ascii="Arial" w:hAnsi="Arial" w:cs="Arial"/>
          <w:sz w:val="20"/>
          <w:szCs w:val="20"/>
        </w:rPr>
        <w:br w:type="page"/>
      </w:r>
    </w:p>
    <w:p w14:paraId="0CBE0167" w14:textId="6896B93B" w:rsidR="005E3EC1" w:rsidRPr="0097679B" w:rsidRDefault="00705D41" w:rsidP="00AA3803">
      <w:pPr>
        <w:spacing w:line="480" w:lineRule="auto"/>
        <w:contextualSpacing/>
        <w:rPr>
          <w:rFonts w:ascii="Arial" w:hAnsi="Arial" w:cs="Arial"/>
          <w:sz w:val="20"/>
          <w:szCs w:val="20"/>
        </w:rPr>
      </w:pPr>
      <w:r w:rsidRPr="0097679B">
        <w:rPr>
          <w:rFonts w:ascii="Arial" w:hAnsi="Arial" w:cs="Arial"/>
          <w:sz w:val="20"/>
          <w:szCs w:val="20"/>
        </w:rPr>
        <w:lastRenderedPageBreak/>
        <w:t>Table 2 Initial time-dependent Cox proporti</w:t>
      </w:r>
      <w:r w:rsidR="005E3EC1" w:rsidRPr="0097679B">
        <w:rPr>
          <w:rFonts w:ascii="Arial" w:hAnsi="Arial" w:cs="Arial"/>
          <w:sz w:val="20"/>
          <w:szCs w:val="20"/>
        </w:rPr>
        <w:t>onal</w:t>
      </w:r>
      <w:r w:rsidR="000B6ADD">
        <w:rPr>
          <w:rFonts w:ascii="Arial" w:hAnsi="Arial" w:cs="Arial"/>
          <w:sz w:val="20"/>
          <w:szCs w:val="20"/>
        </w:rPr>
        <w:t>-</w:t>
      </w:r>
      <w:r w:rsidR="005E3EC1" w:rsidRPr="0097679B">
        <w:rPr>
          <w:rFonts w:ascii="Arial" w:hAnsi="Arial" w:cs="Arial"/>
          <w:sz w:val="20"/>
          <w:szCs w:val="20"/>
        </w:rPr>
        <w:t>hazard models</w:t>
      </w:r>
      <w:r w:rsidR="00AA3803">
        <w:rPr>
          <w:rFonts w:ascii="Arial" w:hAnsi="Arial" w:cs="Arial"/>
          <w:sz w:val="20"/>
          <w:szCs w:val="20"/>
        </w:rPr>
        <w:t xml:space="preserve"> of factors associated with the </w:t>
      </w:r>
      <w:r w:rsidR="00715015">
        <w:rPr>
          <w:rFonts w:ascii="Arial" w:hAnsi="Arial" w:cs="Arial"/>
          <w:sz w:val="20"/>
          <w:szCs w:val="20"/>
        </w:rPr>
        <w:t xml:space="preserve">laminitis </w:t>
      </w:r>
      <w:r w:rsidR="00AA3803">
        <w:rPr>
          <w:rFonts w:ascii="Arial" w:hAnsi="Arial" w:cs="Arial"/>
          <w:sz w:val="20"/>
          <w:szCs w:val="20"/>
        </w:rPr>
        <w:t>development</w:t>
      </w:r>
      <w:r w:rsidR="005E3EC1" w:rsidRPr="0097679B">
        <w:rPr>
          <w:rFonts w:ascii="Arial" w:hAnsi="Arial" w:cs="Arial"/>
          <w:sz w:val="20"/>
          <w:szCs w:val="20"/>
        </w:rPr>
        <w:t>: Panel A</w:t>
      </w:r>
      <w:r w:rsidRPr="0097679B">
        <w:rPr>
          <w:rFonts w:ascii="Arial" w:hAnsi="Arial" w:cs="Arial"/>
          <w:sz w:val="20"/>
          <w:szCs w:val="20"/>
        </w:rPr>
        <w:t xml:space="preserve">: </w:t>
      </w:r>
      <w:r w:rsidR="005E3EC1" w:rsidRPr="0097679B">
        <w:rPr>
          <w:rFonts w:ascii="Arial" w:hAnsi="Arial" w:cs="Arial"/>
          <w:sz w:val="20"/>
          <w:szCs w:val="20"/>
        </w:rPr>
        <w:t xml:space="preserve">1: </w:t>
      </w:r>
      <w:r w:rsidRPr="0097679B">
        <w:rPr>
          <w:rFonts w:ascii="Arial" w:hAnsi="Arial" w:cs="Arial"/>
          <w:sz w:val="20"/>
          <w:szCs w:val="20"/>
        </w:rPr>
        <w:t>morphometry and</w:t>
      </w:r>
      <w:r w:rsidR="00AA3803">
        <w:rPr>
          <w:rFonts w:ascii="Arial" w:hAnsi="Arial" w:cs="Arial"/>
          <w:sz w:val="20"/>
          <w:szCs w:val="20"/>
        </w:rPr>
        <w:t xml:space="preserve"> cl</w:t>
      </w:r>
      <w:r w:rsidR="000B6ADD">
        <w:rPr>
          <w:rFonts w:ascii="Arial" w:hAnsi="Arial" w:cs="Arial"/>
          <w:sz w:val="20"/>
          <w:szCs w:val="20"/>
        </w:rPr>
        <w:t>inical examination variables</w:t>
      </w:r>
      <w:r w:rsidR="00715015">
        <w:rPr>
          <w:rFonts w:ascii="Arial" w:hAnsi="Arial" w:cs="Arial"/>
          <w:sz w:val="20"/>
          <w:szCs w:val="20"/>
        </w:rPr>
        <w:t>;</w:t>
      </w:r>
      <w:r w:rsidRPr="0097679B">
        <w:rPr>
          <w:rFonts w:ascii="Arial" w:hAnsi="Arial" w:cs="Arial"/>
          <w:sz w:val="20"/>
          <w:szCs w:val="20"/>
        </w:rPr>
        <w:t xml:space="preserve"> 2: questio</w:t>
      </w:r>
      <w:r w:rsidR="000B6ADD">
        <w:rPr>
          <w:rFonts w:ascii="Arial" w:hAnsi="Arial" w:cs="Arial"/>
          <w:sz w:val="20"/>
          <w:szCs w:val="20"/>
        </w:rPr>
        <w:t xml:space="preserve">nnaire and signalment </w:t>
      </w:r>
      <w:r w:rsidR="00715015">
        <w:rPr>
          <w:rFonts w:ascii="Arial" w:hAnsi="Arial" w:cs="Arial"/>
          <w:sz w:val="20"/>
          <w:szCs w:val="20"/>
        </w:rPr>
        <w:t>variables</w:t>
      </w:r>
      <w:r w:rsidR="000B6ADD">
        <w:rPr>
          <w:rFonts w:ascii="Arial" w:hAnsi="Arial" w:cs="Arial"/>
          <w:sz w:val="20"/>
          <w:szCs w:val="20"/>
        </w:rPr>
        <w:t>.</w:t>
      </w:r>
      <w:r w:rsidRPr="0097679B">
        <w:rPr>
          <w:rFonts w:ascii="Arial" w:hAnsi="Arial" w:cs="Arial"/>
          <w:sz w:val="20"/>
          <w:szCs w:val="20"/>
        </w:rPr>
        <w:t xml:space="preserve"> </w:t>
      </w:r>
      <w:r w:rsidR="005E3EC1" w:rsidRPr="0097679B">
        <w:rPr>
          <w:rFonts w:ascii="Arial" w:hAnsi="Arial" w:cs="Arial"/>
          <w:sz w:val="20"/>
          <w:szCs w:val="20"/>
        </w:rPr>
        <w:t xml:space="preserve"> Panel</w:t>
      </w:r>
      <w:r w:rsidR="00AA3803">
        <w:rPr>
          <w:rFonts w:ascii="Arial" w:hAnsi="Arial" w:cs="Arial"/>
          <w:sz w:val="20"/>
          <w:szCs w:val="20"/>
        </w:rPr>
        <w:t xml:space="preserve"> </w:t>
      </w:r>
      <w:r w:rsidR="005E3EC1" w:rsidRPr="0097679B">
        <w:rPr>
          <w:rFonts w:ascii="Arial" w:hAnsi="Arial" w:cs="Arial"/>
          <w:sz w:val="20"/>
          <w:szCs w:val="20"/>
        </w:rPr>
        <w:t xml:space="preserve">B: </w:t>
      </w:r>
      <w:r w:rsidR="000B6ADD">
        <w:rPr>
          <w:rFonts w:ascii="Arial" w:hAnsi="Arial" w:cs="Arial"/>
          <w:sz w:val="20"/>
          <w:szCs w:val="20"/>
        </w:rPr>
        <w:t>3a basal blood analytes.</w:t>
      </w:r>
      <w:r w:rsidRPr="0097679B">
        <w:rPr>
          <w:rFonts w:ascii="Arial" w:hAnsi="Arial" w:cs="Arial"/>
          <w:sz w:val="20"/>
          <w:szCs w:val="20"/>
        </w:rPr>
        <w:t xml:space="preserve"> 3b basal bloods analytes with [insulin]T60 substituted for [insulin]T0.</w:t>
      </w:r>
      <w:bookmarkEnd w:id="3"/>
      <w:r w:rsidRPr="0097679B">
        <w:rPr>
          <w:rFonts w:ascii="Arial" w:hAnsi="Arial" w:cs="Arial"/>
          <w:sz w:val="20"/>
          <w:szCs w:val="20"/>
        </w:rPr>
        <w:t xml:space="preserve"> </w:t>
      </w:r>
      <w:r w:rsidR="005E3EC1" w:rsidRPr="0097679B">
        <w:rPr>
          <w:rFonts w:ascii="Arial" w:hAnsi="Arial" w:cs="Arial"/>
          <w:sz w:val="20"/>
          <w:szCs w:val="20"/>
        </w:rPr>
        <w:t>NB [insulin]</w:t>
      </w:r>
      <w:r w:rsidR="00116F72">
        <w:rPr>
          <w:rFonts w:ascii="Arial" w:hAnsi="Arial" w:cs="Arial"/>
          <w:sz w:val="20"/>
          <w:szCs w:val="20"/>
        </w:rPr>
        <w:t>T60 was</w:t>
      </w:r>
      <w:r w:rsidRPr="0097679B">
        <w:rPr>
          <w:rFonts w:ascii="Arial" w:hAnsi="Arial" w:cs="Arial"/>
          <w:sz w:val="20"/>
          <w:szCs w:val="20"/>
        </w:rPr>
        <w:t xml:space="preserve"> divided by ten. </w:t>
      </w:r>
      <w:bookmarkEnd w:id="4"/>
      <w:r w:rsidR="00BB7B3E">
        <w:rPr>
          <w:rFonts w:ascii="Arial" w:hAnsi="Arial" w:cs="Arial"/>
          <w:sz w:val="20"/>
          <w:szCs w:val="20"/>
          <w:lang w:eastAsia="en-GB"/>
        </w:rPr>
        <w:t>NB n= the number of 6-month periods analysed</w:t>
      </w:r>
    </w:p>
    <w:p w14:paraId="6A71971E" w14:textId="547D0ECF" w:rsidR="005E3EC1" w:rsidRPr="0097679B" w:rsidRDefault="005E3EC1" w:rsidP="005E3EC1">
      <w:pPr>
        <w:rPr>
          <w:rFonts w:ascii="Arial" w:hAnsi="Arial" w:cs="Arial"/>
          <w:sz w:val="20"/>
          <w:szCs w:val="20"/>
          <w:lang w:eastAsia="en-GB"/>
        </w:rPr>
      </w:pPr>
      <w:r w:rsidRPr="0097679B">
        <w:rPr>
          <w:rFonts w:ascii="Arial" w:hAnsi="Arial" w:cs="Arial"/>
          <w:sz w:val="20"/>
          <w:szCs w:val="20"/>
          <w:lang w:eastAsia="en-GB"/>
        </w:rPr>
        <w:t>Panel A</w:t>
      </w:r>
    </w:p>
    <w:tbl>
      <w:tblPr>
        <w:tblW w:w="7944" w:type="dxa"/>
        <w:tblLook w:val="04A0" w:firstRow="1" w:lastRow="0" w:firstColumn="1" w:lastColumn="0" w:noHBand="0" w:noVBand="1"/>
      </w:tblPr>
      <w:tblGrid>
        <w:gridCol w:w="2542"/>
        <w:gridCol w:w="142"/>
        <w:gridCol w:w="1275"/>
        <w:gridCol w:w="1276"/>
        <w:gridCol w:w="1102"/>
        <w:gridCol w:w="1607"/>
      </w:tblGrid>
      <w:tr w:rsidR="00705D41" w:rsidRPr="0097679B" w14:paraId="2B590398" w14:textId="77777777" w:rsidTr="00705D41">
        <w:trPr>
          <w:trHeight w:val="300"/>
        </w:trPr>
        <w:tc>
          <w:tcPr>
            <w:tcW w:w="7944" w:type="dxa"/>
            <w:gridSpan w:val="6"/>
            <w:tcBorders>
              <w:top w:val="single" w:sz="8" w:space="0" w:color="auto"/>
              <w:left w:val="single" w:sz="8" w:space="0" w:color="auto"/>
              <w:bottom w:val="nil"/>
              <w:right w:val="single" w:sz="8" w:space="0" w:color="auto"/>
            </w:tcBorders>
            <w:shd w:val="clear" w:color="auto" w:fill="auto"/>
            <w:noWrap/>
            <w:vAlign w:val="bottom"/>
            <w:hideMark/>
          </w:tcPr>
          <w:p w14:paraId="704893B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Model 1: morphometry and clinical examination</w:t>
            </w:r>
          </w:p>
        </w:tc>
      </w:tr>
      <w:tr w:rsidR="00705D41" w:rsidRPr="0097679B" w14:paraId="0A7A99B9"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10EBA5C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Variable</w:t>
            </w:r>
          </w:p>
        </w:tc>
        <w:tc>
          <w:tcPr>
            <w:tcW w:w="1417" w:type="dxa"/>
            <w:gridSpan w:val="2"/>
            <w:tcBorders>
              <w:top w:val="nil"/>
              <w:left w:val="nil"/>
              <w:bottom w:val="nil"/>
              <w:right w:val="nil"/>
            </w:tcBorders>
            <w:shd w:val="clear" w:color="auto" w:fill="auto"/>
            <w:noWrap/>
            <w:vAlign w:val="bottom"/>
            <w:hideMark/>
          </w:tcPr>
          <w:p w14:paraId="3B4388A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276" w:type="dxa"/>
            <w:tcBorders>
              <w:top w:val="nil"/>
              <w:left w:val="nil"/>
              <w:bottom w:val="nil"/>
              <w:right w:val="nil"/>
            </w:tcBorders>
            <w:shd w:val="clear" w:color="auto" w:fill="auto"/>
            <w:noWrap/>
            <w:vAlign w:val="bottom"/>
            <w:hideMark/>
          </w:tcPr>
          <w:p w14:paraId="28DF365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16341A6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607" w:type="dxa"/>
            <w:tcBorders>
              <w:top w:val="nil"/>
              <w:left w:val="nil"/>
              <w:bottom w:val="nil"/>
              <w:right w:val="single" w:sz="8" w:space="0" w:color="auto"/>
            </w:tcBorders>
            <w:shd w:val="clear" w:color="auto" w:fill="auto"/>
            <w:noWrap/>
            <w:vAlign w:val="bottom"/>
            <w:hideMark/>
          </w:tcPr>
          <w:p w14:paraId="67E655E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p=</w:t>
            </w:r>
          </w:p>
        </w:tc>
      </w:tr>
      <w:tr w:rsidR="00705D41" w:rsidRPr="0097679B" w14:paraId="25F4191B"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1C680C0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overall_bcs         </w:t>
            </w:r>
          </w:p>
        </w:tc>
        <w:tc>
          <w:tcPr>
            <w:tcW w:w="1417" w:type="dxa"/>
            <w:gridSpan w:val="2"/>
            <w:tcBorders>
              <w:top w:val="nil"/>
              <w:left w:val="nil"/>
              <w:bottom w:val="nil"/>
              <w:right w:val="nil"/>
            </w:tcBorders>
            <w:shd w:val="clear" w:color="auto" w:fill="auto"/>
            <w:noWrap/>
            <w:vAlign w:val="bottom"/>
            <w:hideMark/>
          </w:tcPr>
          <w:p w14:paraId="5EA2166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1.47</w:t>
            </w:r>
          </w:p>
        </w:tc>
        <w:tc>
          <w:tcPr>
            <w:tcW w:w="1276" w:type="dxa"/>
            <w:tcBorders>
              <w:top w:val="nil"/>
              <w:left w:val="nil"/>
              <w:bottom w:val="nil"/>
              <w:right w:val="nil"/>
            </w:tcBorders>
            <w:shd w:val="clear" w:color="auto" w:fill="auto"/>
            <w:noWrap/>
            <w:vAlign w:val="bottom"/>
            <w:hideMark/>
          </w:tcPr>
          <w:p w14:paraId="0B42273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0.96</w:t>
            </w:r>
          </w:p>
        </w:tc>
        <w:tc>
          <w:tcPr>
            <w:tcW w:w="1102" w:type="dxa"/>
            <w:tcBorders>
              <w:top w:val="nil"/>
              <w:left w:val="nil"/>
              <w:bottom w:val="nil"/>
              <w:right w:val="nil"/>
            </w:tcBorders>
            <w:shd w:val="clear" w:color="auto" w:fill="auto"/>
            <w:noWrap/>
            <w:vAlign w:val="bottom"/>
            <w:hideMark/>
          </w:tcPr>
          <w:p w14:paraId="03E6380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2.26</w:t>
            </w:r>
          </w:p>
        </w:tc>
        <w:tc>
          <w:tcPr>
            <w:tcW w:w="1607" w:type="dxa"/>
            <w:tcBorders>
              <w:top w:val="nil"/>
              <w:left w:val="nil"/>
              <w:bottom w:val="nil"/>
              <w:right w:val="single" w:sz="8" w:space="0" w:color="auto"/>
            </w:tcBorders>
            <w:shd w:val="clear" w:color="auto" w:fill="auto"/>
            <w:noWrap/>
            <w:vAlign w:val="bottom"/>
            <w:hideMark/>
          </w:tcPr>
          <w:p w14:paraId="31FF307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0.08</w:t>
            </w:r>
          </w:p>
        </w:tc>
      </w:tr>
      <w:tr w:rsidR="00705D41" w:rsidRPr="0097679B" w14:paraId="47A67480"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2073F7A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cns                </w:t>
            </w:r>
          </w:p>
        </w:tc>
        <w:tc>
          <w:tcPr>
            <w:tcW w:w="1417" w:type="dxa"/>
            <w:gridSpan w:val="2"/>
            <w:tcBorders>
              <w:top w:val="nil"/>
              <w:left w:val="nil"/>
              <w:bottom w:val="nil"/>
              <w:right w:val="nil"/>
            </w:tcBorders>
            <w:shd w:val="clear" w:color="auto" w:fill="auto"/>
            <w:noWrap/>
            <w:vAlign w:val="bottom"/>
            <w:hideMark/>
          </w:tcPr>
          <w:p w14:paraId="1BF0892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1.29</w:t>
            </w:r>
          </w:p>
        </w:tc>
        <w:tc>
          <w:tcPr>
            <w:tcW w:w="1276" w:type="dxa"/>
            <w:tcBorders>
              <w:top w:val="nil"/>
              <w:left w:val="nil"/>
              <w:bottom w:val="nil"/>
              <w:right w:val="nil"/>
            </w:tcBorders>
            <w:shd w:val="clear" w:color="auto" w:fill="auto"/>
            <w:noWrap/>
            <w:vAlign w:val="bottom"/>
            <w:hideMark/>
          </w:tcPr>
          <w:p w14:paraId="75CA5B9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0.88</w:t>
            </w:r>
          </w:p>
        </w:tc>
        <w:tc>
          <w:tcPr>
            <w:tcW w:w="1102" w:type="dxa"/>
            <w:tcBorders>
              <w:top w:val="nil"/>
              <w:left w:val="nil"/>
              <w:bottom w:val="nil"/>
              <w:right w:val="nil"/>
            </w:tcBorders>
            <w:shd w:val="clear" w:color="auto" w:fill="auto"/>
            <w:noWrap/>
            <w:vAlign w:val="bottom"/>
            <w:hideMark/>
          </w:tcPr>
          <w:p w14:paraId="6F2848BB"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1.87</w:t>
            </w:r>
          </w:p>
        </w:tc>
        <w:tc>
          <w:tcPr>
            <w:tcW w:w="1607" w:type="dxa"/>
            <w:tcBorders>
              <w:top w:val="nil"/>
              <w:left w:val="nil"/>
              <w:bottom w:val="nil"/>
              <w:right w:val="single" w:sz="8" w:space="0" w:color="auto"/>
            </w:tcBorders>
            <w:shd w:val="clear" w:color="auto" w:fill="auto"/>
            <w:noWrap/>
            <w:vAlign w:val="bottom"/>
            <w:hideMark/>
          </w:tcPr>
          <w:p w14:paraId="777B1375" w14:textId="593E0213"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0.2</w:t>
            </w:r>
          </w:p>
        </w:tc>
      </w:tr>
      <w:tr w:rsidR="00705D41" w:rsidRPr="0097679B" w14:paraId="38764DB7"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57D03C3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height              </w:t>
            </w:r>
          </w:p>
        </w:tc>
        <w:tc>
          <w:tcPr>
            <w:tcW w:w="1417" w:type="dxa"/>
            <w:gridSpan w:val="2"/>
            <w:tcBorders>
              <w:top w:val="nil"/>
              <w:left w:val="nil"/>
              <w:bottom w:val="nil"/>
              <w:right w:val="nil"/>
            </w:tcBorders>
            <w:shd w:val="clear" w:color="auto" w:fill="auto"/>
            <w:noWrap/>
            <w:vAlign w:val="bottom"/>
            <w:hideMark/>
          </w:tcPr>
          <w:p w14:paraId="6AA33BD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0.99</w:t>
            </w:r>
          </w:p>
        </w:tc>
        <w:tc>
          <w:tcPr>
            <w:tcW w:w="1276" w:type="dxa"/>
            <w:tcBorders>
              <w:top w:val="nil"/>
              <w:left w:val="nil"/>
              <w:bottom w:val="nil"/>
              <w:right w:val="nil"/>
            </w:tcBorders>
            <w:shd w:val="clear" w:color="auto" w:fill="auto"/>
            <w:noWrap/>
            <w:vAlign w:val="bottom"/>
            <w:hideMark/>
          </w:tcPr>
          <w:p w14:paraId="133C490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0.97</w:t>
            </w:r>
          </w:p>
        </w:tc>
        <w:tc>
          <w:tcPr>
            <w:tcW w:w="1102" w:type="dxa"/>
            <w:tcBorders>
              <w:top w:val="nil"/>
              <w:left w:val="nil"/>
              <w:bottom w:val="nil"/>
              <w:right w:val="nil"/>
            </w:tcBorders>
            <w:shd w:val="clear" w:color="auto" w:fill="auto"/>
            <w:noWrap/>
            <w:vAlign w:val="bottom"/>
            <w:hideMark/>
          </w:tcPr>
          <w:p w14:paraId="0AC97C4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607" w:type="dxa"/>
            <w:tcBorders>
              <w:top w:val="nil"/>
              <w:left w:val="nil"/>
              <w:bottom w:val="nil"/>
              <w:right w:val="single" w:sz="8" w:space="0" w:color="auto"/>
            </w:tcBorders>
            <w:shd w:val="clear" w:color="auto" w:fill="auto"/>
            <w:noWrap/>
            <w:vAlign w:val="bottom"/>
            <w:hideMark/>
          </w:tcPr>
          <w:p w14:paraId="6EB1DCF3" w14:textId="4D19528C"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0.3</w:t>
            </w:r>
          </w:p>
        </w:tc>
      </w:tr>
      <w:tr w:rsidR="00705D41" w:rsidRPr="0097679B" w14:paraId="17DD1E00"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2D902DA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divergence_score      </w:t>
            </w:r>
          </w:p>
        </w:tc>
        <w:tc>
          <w:tcPr>
            <w:tcW w:w="1417" w:type="dxa"/>
            <w:gridSpan w:val="2"/>
            <w:tcBorders>
              <w:top w:val="nil"/>
              <w:left w:val="nil"/>
              <w:bottom w:val="nil"/>
              <w:right w:val="nil"/>
            </w:tcBorders>
            <w:shd w:val="clear" w:color="auto" w:fill="auto"/>
            <w:noWrap/>
            <w:vAlign w:val="bottom"/>
            <w:hideMark/>
          </w:tcPr>
          <w:p w14:paraId="0F339CF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1.83</w:t>
            </w:r>
          </w:p>
        </w:tc>
        <w:tc>
          <w:tcPr>
            <w:tcW w:w="1276" w:type="dxa"/>
            <w:tcBorders>
              <w:top w:val="nil"/>
              <w:left w:val="nil"/>
              <w:bottom w:val="nil"/>
              <w:right w:val="nil"/>
            </w:tcBorders>
            <w:shd w:val="clear" w:color="auto" w:fill="auto"/>
            <w:noWrap/>
            <w:vAlign w:val="bottom"/>
            <w:hideMark/>
          </w:tcPr>
          <w:p w14:paraId="4A1A300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1.35</w:t>
            </w:r>
          </w:p>
        </w:tc>
        <w:tc>
          <w:tcPr>
            <w:tcW w:w="1102" w:type="dxa"/>
            <w:tcBorders>
              <w:top w:val="nil"/>
              <w:left w:val="nil"/>
              <w:bottom w:val="nil"/>
              <w:right w:val="nil"/>
            </w:tcBorders>
            <w:shd w:val="clear" w:color="auto" w:fill="auto"/>
            <w:noWrap/>
            <w:vAlign w:val="bottom"/>
            <w:hideMark/>
          </w:tcPr>
          <w:p w14:paraId="69B2985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2,471</w:t>
            </w:r>
          </w:p>
        </w:tc>
        <w:tc>
          <w:tcPr>
            <w:tcW w:w="1607" w:type="dxa"/>
            <w:tcBorders>
              <w:top w:val="nil"/>
              <w:left w:val="nil"/>
              <w:bottom w:val="nil"/>
              <w:right w:val="single" w:sz="8" w:space="0" w:color="auto"/>
            </w:tcBorders>
            <w:shd w:val="clear" w:color="auto" w:fill="auto"/>
            <w:noWrap/>
            <w:vAlign w:val="bottom"/>
            <w:hideMark/>
          </w:tcPr>
          <w:p w14:paraId="038B7390" w14:textId="45203657" w:rsidR="00705D41" w:rsidRPr="0097679B" w:rsidRDefault="00B420E0" w:rsidP="00705D41">
            <w:pPr>
              <w:pStyle w:val="tablecontents"/>
              <w:rPr>
                <w:rFonts w:ascii="Arial" w:hAnsi="Arial" w:cs="Arial"/>
                <w:sz w:val="20"/>
                <w:szCs w:val="20"/>
                <w:lang w:eastAsia="en-GB"/>
              </w:rPr>
            </w:pPr>
            <w:r>
              <w:rPr>
                <w:rFonts w:ascii="Arial" w:hAnsi="Arial" w:cs="Arial"/>
                <w:sz w:val="20"/>
                <w:szCs w:val="20"/>
                <w:lang w:eastAsia="en-GB"/>
              </w:rPr>
              <w:t>&lt;</w:t>
            </w:r>
            <w:r>
              <w:rPr>
                <w:rFonts w:ascii="Arial" w:hAnsi="Arial" w:cs="Arial"/>
                <w:sz w:val="20"/>
                <w:szCs w:val="20"/>
              </w:rPr>
              <w:t>0.001</w:t>
            </w:r>
          </w:p>
        </w:tc>
      </w:tr>
      <w:tr w:rsidR="00705D41" w:rsidRPr="0097679B" w14:paraId="5CD3F967"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18D4B2C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hypertrichosis_vet   </w:t>
            </w:r>
          </w:p>
        </w:tc>
        <w:tc>
          <w:tcPr>
            <w:tcW w:w="1417" w:type="dxa"/>
            <w:gridSpan w:val="2"/>
            <w:tcBorders>
              <w:top w:val="nil"/>
              <w:left w:val="nil"/>
              <w:bottom w:val="nil"/>
              <w:right w:val="nil"/>
            </w:tcBorders>
            <w:shd w:val="clear" w:color="auto" w:fill="auto"/>
            <w:noWrap/>
            <w:vAlign w:val="bottom"/>
            <w:hideMark/>
          </w:tcPr>
          <w:p w14:paraId="32DC434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5.35</w:t>
            </w:r>
          </w:p>
        </w:tc>
        <w:tc>
          <w:tcPr>
            <w:tcW w:w="1276" w:type="dxa"/>
            <w:tcBorders>
              <w:top w:val="nil"/>
              <w:left w:val="nil"/>
              <w:bottom w:val="nil"/>
              <w:right w:val="nil"/>
            </w:tcBorders>
            <w:shd w:val="clear" w:color="auto" w:fill="auto"/>
            <w:noWrap/>
            <w:vAlign w:val="bottom"/>
            <w:hideMark/>
          </w:tcPr>
          <w:p w14:paraId="470DEEB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1.7</w:t>
            </w:r>
          </w:p>
        </w:tc>
        <w:tc>
          <w:tcPr>
            <w:tcW w:w="1102" w:type="dxa"/>
            <w:tcBorders>
              <w:top w:val="nil"/>
              <w:left w:val="nil"/>
              <w:bottom w:val="nil"/>
              <w:right w:val="nil"/>
            </w:tcBorders>
            <w:shd w:val="clear" w:color="auto" w:fill="auto"/>
            <w:noWrap/>
            <w:vAlign w:val="bottom"/>
            <w:hideMark/>
          </w:tcPr>
          <w:p w14:paraId="7C8B6F8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16.87</w:t>
            </w:r>
          </w:p>
        </w:tc>
        <w:tc>
          <w:tcPr>
            <w:tcW w:w="1607" w:type="dxa"/>
            <w:tcBorders>
              <w:top w:val="nil"/>
              <w:left w:val="nil"/>
              <w:bottom w:val="nil"/>
              <w:right w:val="single" w:sz="8" w:space="0" w:color="auto"/>
            </w:tcBorders>
            <w:shd w:val="clear" w:color="auto" w:fill="auto"/>
            <w:noWrap/>
            <w:vAlign w:val="bottom"/>
            <w:hideMark/>
          </w:tcPr>
          <w:p w14:paraId="0C420C06" w14:textId="465AC3F7"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0.004</w:t>
            </w:r>
            <w:r w:rsidR="00705D41" w:rsidRPr="0097679B">
              <w:rPr>
                <w:rFonts w:ascii="Arial" w:hAnsi="Arial" w:cs="Arial"/>
                <w:sz w:val="20"/>
                <w:szCs w:val="20"/>
                <w:lang w:eastAsia="en-GB"/>
              </w:rPr>
              <w:t xml:space="preserve"> </w:t>
            </w:r>
          </w:p>
        </w:tc>
      </w:tr>
      <w:tr w:rsidR="00705D41" w:rsidRPr="0097679B" w14:paraId="7E740D5F"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4B13B93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417" w:type="dxa"/>
            <w:gridSpan w:val="2"/>
            <w:tcBorders>
              <w:top w:val="nil"/>
              <w:left w:val="nil"/>
              <w:bottom w:val="nil"/>
              <w:right w:val="nil"/>
            </w:tcBorders>
            <w:shd w:val="clear" w:color="auto" w:fill="auto"/>
            <w:noWrap/>
            <w:vAlign w:val="bottom"/>
            <w:hideMark/>
          </w:tcPr>
          <w:p w14:paraId="4EB62450" w14:textId="77777777" w:rsidR="00705D41" w:rsidRPr="0097679B" w:rsidRDefault="00705D41" w:rsidP="00705D41">
            <w:pPr>
              <w:pStyle w:val="tablecontents"/>
              <w:rPr>
                <w:rFonts w:ascii="Arial" w:hAnsi="Arial" w:cs="Arial"/>
                <w:sz w:val="20"/>
                <w:szCs w:val="20"/>
                <w:lang w:eastAsia="en-GB"/>
              </w:rPr>
            </w:pPr>
          </w:p>
        </w:tc>
        <w:tc>
          <w:tcPr>
            <w:tcW w:w="1276" w:type="dxa"/>
            <w:tcBorders>
              <w:top w:val="nil"/>
              <w:left w:val="nil"/>
              <w:bottom w:val="nil"/>
              <w:right w:val="nil"/>
            </w:tcBorders>
            <w:shd w:val="clear" w:color="auto" w:fill="auto"/>
            <w:noWrap/>
            <w:vAlign w:val="bottom"/>
            <w:hideMark/>
          </w:tcPr>
          <w:p w14:paraId="3C9BF205"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45A0854E" w14:textId="77777777" w:rsidR="00705D41" w:rsidRPr="0097679B" w:rsidRDefault="00705D41" w:rsidP="00705D41">
            <w:pPr>
              <w:pStyle w:val="tablecontents"/>
              <w:rPr>
                <w:rFonts w:ascii="Arial" w:hAnsi="Arial" w:cs="Arial"/>
                <w:sz w:val="20"/>
                <w:szCs w:val="20"/>
                <w:lang w:eastAsia="en-GB"/>
              </w:rPr>
            </w:pPr>
          </w:p>
        </w:tc>
        <w:tc>
          <w:tcPr>
            <w:tcW w:w="1607" w:type="dxa"/>
            <w:tcBorders>
              <w:top w:val="nil"/>
              <w:left w:val="nil"/>
              <w:bottom w:val="nil"/>
              <w:right w:val="single" w:sz="8" w:space="0" w:color="auto"/>
            </w:tcBorders>
            <w:shd w:val="clear" w:color="auto" w:fill="auto"/>
            <w:noWrap/>
            <w:vAlign w:val="bottom"/>
            <w:hideMark/>
          </w:tcPr>
          <w:p w14:paraId="3A26D2D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4EAD4EE6"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4531F25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Concordance  </w:t>
            </w:r>
          </w:p>
        </w:tc>
        <w:tc>
          <w:tcPr>
            <w:tcW w:w="2693" w:type="dxa"/>
            <w:gridSpan w:val="3"/>
            <w:tcBorders>
              <w:top w:val="nil"/>
              <w:left w:val="nil"/>
              <w:bottom w:val="nil"/>
              <w:right w:val="nil"/>
            </w:tcBorders>
            <w:shd w:val="clear" w:color="auto" w:fill="auto"/>
            <w:noWrap/>
            <w:vAlign w:val="bottom"/>
            <w:hideMark/>
          </w:tcPr>
          <w:p w14:paraId="282AE52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0.759  (se = 0.033 )</w:t>
            </w:r>
          </w:p>
        </w:tc>
        <w:tc>
          <w:tcPr>
            <w:tcW w:w="1102" w:type="dxa"/>
            <w:tcBorders>
              <w:top w:val="nil"/>
              <w:left w:val="nil"/>
              <w:bottom w:val="nil"/>
              <w:right w:val="nil"/>
            </w:tcBorders>
            <w:shd w:val="clear" w:color="auto" w:fill="auto"/>
            <w:noWrap/>
            <w:vAlign w:val="bottom"/>
            <w:hideMark/>
          </w:tcPr>
          <w:p w14:paraId="10A4B739" w14:textId="77777777" w:rsidR="00705D41" w:rsidRPr="0097679B" w:rsidRDefault="00705D41" w:rsidP="00705D41">
            <w:pPr>
              <w:pStyle w:val="tablecontents"/>
              <w:rPr>
                <w:rFonts w:ascii="Arial" w:hAnsi="Arial" w:cs="Arial"/>
                <w:sz w:val="20"/>
                <w:szCs w:val="20"/>
                <w:lang w:eastAsia="en-GB"/>
              </w:rPr>
            </w:pPr>
          </w:p>
        </w:tc>
        <w:tc>
          <w:tcPr>
            <w:tcW w:w="1607" w:type="dxa"/>
            <w:tcBorders>
              <w:top w:val="nil"/>
              <w:left w:val="nil"/>
              <w:bottom w:val="nil"/>
              <w:right w:val="single" w:sz="8" w:space="0" w:color="auto"/>
            </w:tcBorders>
            <w:shd w:val="clear" w:color="auto" w:fill="auto"/>
            <w:noWrap/>
            <w:vAlign w:val="bottom"/>
            <w:hideMark/>
          </w:tcPr>
          <w:p w14:paraId="1A15BAD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7D32A988"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69B8BF5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Wald test          </w:t>
            </w:r>
          </w:p>
        </w:tc>
        <w:tc>
          <w:tcPr>
            <w:tcW w:w="3795" w:type="dxa"/>
            <w:gridSpan w:val="4"/>
            <w:tcBorders>
              <w:top w:val="nil"/>
              <w:left w:val="nil"/>
              <w:bottom w:val="nil"/>
              <w:right w:val="nil"/>
            </w:tcBorders>
            <w:shd w:val="clear" w:color="auto" w:fill="auto"/>
            <w:noWrap/>
            <w:vAlign w:val="bottom"/>
            <w:hideMark/>
          </w:tcPr>
          <w:p w14:paraId="6F9275FA" w14:textId="663C306E" w:rsidR="00705D41" w:rsidRPr="00BB7B3E" w:rsidRDefault="00B420E0" w:rsidP="00715015">
            <w:pPr>
              <w:pStyle w:val="tablecontents"/>
              <w:rPr>
                <w:rFonts w:ascii="Arial" w:hAnsi="Arial" w:cs="Arial"/>
                <w:sz w:val="20"/>
                <w:szCs w:val="20"/>
                <w:vertAlign w:val="superscript"/>
                <w:lang w:eastAsia="en-GB"/>
              </w:rPr>
            </w:pPr>
            <w:r>
              <w:rPr>
                <w:rFonts w:ascii="Arial" w:hAnsi="Arial" w:cs="Arial"/>
                <w:sz w:val="20"/>
                <w:szCs w:val="20"/>
                <w:lang w:eastAsia="en-GB"/>
              </w:rPr>
              <w:t xml:space="preserve">= 32.36  on 5 df,   </w:t>
            </w:r>
            <w:r>
              <w:rPr>
                <w:rFonts w:ascii="Arial" w:hAnsi="Arial" w:cs="Arial"/>
                <w:sz w:val="20"/>
                <w:szCs w:val="20"/>
              </w:rPr>
              <w:t>p&lt;0.001</w:t>
            </w:r>
          </w:p>
        </w:tc>
        <w:tc>
          <w:tcPr>
            <w:tcW w:w="1607" w:type="dxa"/>
            <w:tcBorders>
              <w:top w:val="nil"/>
              <w:left w:val="nil"/>
              <w:bottom w:val="nil"/>
              <w:right w:val="single" w:sz="8" w:space="0" w:color="auto"/>
            </w:tcBorders>
            <w:shd w:val="clear" w:color="auto" w:fill="auto"/>
            <w:noWrap/>
            <w:vAlign w:val="bottom"/>
            <w:hideMark/>
          </w:tcPr>
          <w:p w14:paraId="60C4E92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78976146"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1B9EB11B" w14:textId="3BF25068"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R</w:t>
            </w:r>
            <w:r w:rsidR="00116F72">
              <w:rPr>
                <w:rFonts w:ascii="Arial" w:hAnsi="Arial" w:cs="Arial"/>
                <w:sz w:val="20"/>
                <w:szCs w:val="20"/>
                <w:vertAlign w:val="superscript"/>
                <w:lang w:eastAsia="en-GB"/>
              </w:rPr>
              <w:t>2</w:t>
            </w:r>
            <w:r w:rsidRPr="0097679B">
              <w:rPr>
                <w:rFonts w:ascii="Arial" w:hAnsi="Arial" w:cs="Arial"/>
                <w:sz w:val="20"/>
                <w:szCs w:val="20"/>
                <w:lang w:eastAsia="en-GB"/>
              </w:rPr>
              <w:t xml:space="preserve"> (mev)          </w:t>
            </w:r>
          </w:p>
        </w:tc>
        <w:tc>
          <w:tcPr>
            <w:tcW w:w="1417" w:type="dxa"/>
            <w:gridSpan w:val="2"/>
            <w:tcBorders>
              <w:top w:val="nil"/>
              <w:left w:val="nil"/>
              <w:bottom w:val="nil"/>
              <w:right w:val="nil"/>
            </w:tcBorders>
            <w:shd w:val="clear" w:color="auto" w:fill="auto"/>
            <w:noWrap/>
            <w:vAlign w:val="bottom"/>
            <w:hideMark/>
          </w:tcPr>
          <w:p w14:paraId="31FD2576" w14:textId="2B439690"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w:t>
            </w:r>
            <w:r w:rsidR="005551AB">
              <w:rPr>
                <w:rFonts w:ascii="Arial" w:hAnsi="Arial" w:cs="Arial"/>
                <w:sz w:val="20"/>
                <w:szCs w:val="20"/>
                <w:lang w:eastAsia="en-GB"/>
              </w:rPr>
              <w:t xml:space="preserve"> </w:t>
            </w:r>
            <w:r w:rsidRPr="0097679B">
              <w:rPr>
                <w:rFonts w:ascii="Arial" w:hAnsi="Arial" w:cs="Arial"/>
                <w:sz w:val="20"/>
                <w:szCs w:val="20"/>
                <w:lang w:eastAsia="en-GB"/>
              </w:rPr>
              <w:t>0.45</w:t>
            </w:r>
          </w:p>
        </w:tc>
        <w:tc>
          <w:tcPr>
            <w:tcW w:w="1276" w:type="dxa"/>
            <w:tcBorders>
              <w:top w:val="nil"/>
              <w:left w:val="nil"/>
              <w:bottom w:val="nil"/>
              <w:right w:val="nil"/>
            </w:tcBorders>
            <w:shd w:val="clear" w:color="auto" w:fill="auto"/>
            <w:noWrap/>
            <w:vAlign w:val="bottom"/>
            <w:hideMark/>
          </w:tcPr>
          <w:p w14:paraId="5792F2BD"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3B771274" w14:textId="77777777" w:rsidR="00705D41" w:rsidRPr="0097679B" w:rsidRDefault="00705D41" w:rsidP="00705D41">
            <w:pPr>
              <w:pStyle w:val="tablecontents"/>
              <w:rPr>
                <w:rFonts w:ascii="Arial" w:hAnsi="Arial" w:cs="Arial"/>
                <w:sz w:val="20"/>
                <w:szCs w:val="20"/>
                <w:lang w:eastAsia="en-GB"/>
              </w:rPr>
            </w:pPr>
          </w:p>
        </w:tc>
        <w:tc>
          <w:tcPr>
            <w:tcW w:w="1607" w:type="dxa"/>
            <w:tcBorders>
              <w:top w:val="nil"/>
              <w:left w:val="nil"/>
              <w:bottom w:val="nil"/>
              <w:right w:val="single" w:sz="8" w:space="0" w:color="auto"/>
            </w:tcBorders>
            <w:shd w:val="clear" w:color="auto" w:fill="auto"/>
            <w:noWrap/>
            <w:vAlign w:val="bottom"/>
            <w:hideMark/>
          </w:tcPr>
          <w:p w14:paraId="620BC52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40ADBF6C" w14:textId="77777777" w:rsidTr="00705D41">
        <w:trPr>
          <w:trHeight w:val="300"/>
        </w:trPr>
        <w:tc>
          <w:tcPr>
            <w:tcW w:w="7944" w:type="dxa"/>
            <w:gridSpan w:val="6"/>
            <w:tcBorders>
              <w:top w:val="nil"/>
              <w:left w:val="single" w:sz="8" w:space="0" w:color="auto"/>
              <w:bottom w:val="nil"/>
              <w:right w:val="single" w:sz="8" w:space="0" w:color="auto"/>
            </w:tcBorders>
            <w:shd w:val="clear" w:color="auto" w:fill="auto"/>
            <w:noWrap/>
            <w:vAlign w:val="bottom"/>
            <w:hideMark/>
          </w:tcPr>
          <w:p w14:paraId="627BC12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n= 1572, number of events= 37 (296 observations missing) </w:t>
            </w:r>
          </w:p>
        </w:tc>
      </w:tr>
      <w:tr w:rsidR="00705D41" w:rsidRPr="0097679B" w14:paraId="5368862F" w14:textId="77777777" w:rsidTr="00705D41">
        <w:trPr>
          <w:trHeight w:val="300"/>
        </w:trPr>
        <w:tc>
          <w:tcPr>
            <w:tcW w:w="7944" w:type="dxa"/>
            <w:gridSpan w:val="6"/>
            <w:tcBorders>
              <w:top w:val="single" w:sz="8" w:space="0" w:color="auto"/>
              <w:left w:val="single" w:sz="8" w:space="0" w:color="auto"/>
              <w:bottom w:val="nil"/>
              <w:right w:val="single" w:sz="8" w:space="0" w:color="auto"/>
            </w:tcBorders>
            <w:shd w:val="clear" w:color="auto" w:fill="auto"/>
            <w:noWrap/>
            <w:vAlign w:val="bottom"/>
            <w:hideMark/>
          </w:tcPr>
          <w:p w14:paraId="64956C4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Model 2: questionnaire and signalment </w:t>
            </w:r>
          </w:p>
        </w:tc>
      </w:tr>
      <w:tr w:rsidR="00705D41" w:rsidRPr="0097679B" w14:paraId="2F873EF0" w14:textId="77777777" w:rsidTr="00705D41">
        <w:trPr>
          <w:trHeight w:val="300"/>
        </w:trPr>
        <w:tc>
          <w:tcPr>
            <w:tcW w:w="2542" w:type="dxa"/>
            <w:tcBorders>
              <w:top w:val="nil"/>
              <w:left w:val="single" w:sz="8" w:space="0" w:color="auto"/>
              <w:bottom w:val="nil"/>
              <w:right w:val="nil"/>
            </w:tcBorders>
            <w:shd w:val="clear" w:color="auto" w:fill="auto"/>
            <w:noWrap/>
            <w:vAlign w:val="bottom"/>
            <w:hideMark/>
          </w:tcPr>
          <w:p w14:paraId="6BF0AC7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          </w:t>
            </w:r>
          </w:p>
        </w:tc>
        <w:tc>
          <w:tcPr>
            <w:tcW w:w="1417" w:type="dxa"/>
            <w:gridSpan w:val="2"/>
            <w:tcBorders>
              <w:top w:val="nil"/>
              <w:left w:val="nil"/>
              <w:bottom w:val="nil"/>
              <w:right w:val="nil"/>
            </w:tcBorders>
            <w:shd w:val="clear" w:color="auto" w:fill="auto"/>
            <w:noWrap/>
            <w:vAlign w:val="bottom"/>
            <w:hideMark/>
          </w:tcPr>
          <w:p w14:paraId="0B15209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276" w:type="dxa"/>
            <w:tcBorders>
              <w:top w:val="nil"/>
              <w:left w:val="nil"/>
              <w:bottom w:val="nil"/>
              <w:right w:val="nil"/>
            </w:tcBorders>
            <w:shd w:val="clear" w:color="auto" w:fill="auto"/>
            <w:noWrap/>
            <w:vAlign w:val="bottom"/>
            <w:hideMark/>
          </w:tcPr>
          <w:p w14:paraId="448FB56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582E9F2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607" w:type="dxa"/>
            <w:tcBorders>
              <w:top w:val="nil"/>
              <w:left w:val="nil"/>
              <w:bottom w:val="nil"/>
              <w:right w:val="single" w:sz="8" w:space="0" w:color="auto"/>
            </w:tcBorders>
            <w:shd w:val="clear" w:color="auto" w:fill="auto"/>
            <w:noWrap/>
            <w:vAlign w:val="bottom"/>
            <w:hideMark/>
          </w:tcPr>
          <w:p w14:paraId="0F9DB07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p=</w:t>
            </w:r>
          </w:p>
        </w:tc>
      </w:tr>
      <w:tr w:rsidR="00705D41" w:rsidRPr="0097679B" w14:paraId="2B43CB3E"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72864D2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Shetland or Shetland X </w:t>
            </w:r>
          </w:p>
        </w:tc>
        <w:tc>
          <w:tcPr>
            <w:tcW w:w="1275" w:type="dxa"/>
            <w:tcBorders>
              <w:top w:val="nil"/>
              <w:left w:val="nil"/>
              <w:bottom w:val="nil"/>
              <w:right w:val="nil"/>
            </w:tcBorders>
            <w:shd w:val="clear" w:color="auto" w:fill="auto"/>
            <w:noWrap/>
            <w:vAlign w:val="bottom"/>
            <w:hideMark/>
          </w:tcPr>
          <w:p w14:paraId="254A0A4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0.57</w:t>
            </w:r>
          </w:p>
        </w:tc>
        <w:tc>
          <w:tcPr>
            <w:tcW w:w="1276" w:type="dxa"/>
            <w:tcBorders>
              <w:top w:val="nil"/>
              <w:left w:val="nil"/>
              <w:bottom w:val="nil"/>
              <w:right w:val="nil"/>
            </w:tcBorders>
            <w:shd w:val="clear" w:color="auto" w:fill="auto"/>
            <w:noWrap/>
            <w:vAlign w:val="bottom"/>
            <w:hideMark/>
          </w:tcPr>
          <w:p w14:paraId="247972F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0.18</w:t>
            </w:r>
          </w:p>
        </w:tc>
        <w:tc>
          <w:tcPr>
            <w:tcW w:w="1102" w:type="dxa"/>
            <w:tcBorders>
              <w:top w:val="nil"/>
              <w:left w:val="nil"/>
              <w:bottom w:val="nil"/>
              <w:right w:val="nil"/>
            </w:tcBorders>
            <w:shd w:val="clear" w:color="auto" w:fill="auto"/>
            <w:noWrap/>
            <w:vAlign w:val="bottom"/>
            <w:hideMark/>
          </w:tcPr>
          <w:p w14:paraId="623BCBB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1.81</w:t>
            </w:r>
          </w:p>
        </w:tc>
        <w:tc>
          <w:tcPr>
            <w:tcW w:w="1607" w:type="dxa"/>
            <w:tcBorders>
              <w:top w:val="nil"/>
              <w:left w:val="nil"/>
              <w:bottom w:val="nil"/>
              <w:right w:val="single" w:sz="8" w:space="0" w:color="auto"/>
            </w:tcBorders>
            <w:shd w:val="clear" w:color="auto" w:fill="auto"/>
            <w:noWrap/>
            <w:vAlign w:val="bottom"/>
            <w:hideMark/>
          </w:tcPr>
          <w:p w14:paraId="2B02F37D" w14:textId="18ECB199"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0.3</w:t>
            </w:r>
          </w:p>
        </w:tc>
      </w:tr>
      <w:tr w:rsidR="00705D41" w:rsidRPr="0097679B" w14:paraId="5241276F"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62D8D24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Other breed / Unknown       </w:t>
            </w:r>
          </w:p>
        </w:tc>
        <w:tc>
          <w:tcPr>
            <w:tcW w:w="1275" w:type="dxa"/>
            <w:tcBorders>
              <w:top w:val="nil"/>
              <w:left w:val="nil"/>
              <w:bottom w:val="nil"/>
              <w:right w:val="nil"/>
            </w:tcBorders>
            <w:shd w:val="clear" w:color="auto" w:fill="auto"/>
            <w:noWrap/>
            <w:vAlign w:val="bottom"/>
            <w:hideMark/>
          </w:tcPr>
          <w:p w14:paraId="3307D5F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0.81</w:t>
            </w:r>
          </w:p>
        </w:tc>
        <w:tc>
          <w:tcPr>
            <w:tcW w:w="1276" w:type="dxa"/>
            <w:tcBorders>
              <w:top w:val="nil"/>
              <w:left w:val="nil"/>
              <w:bottom w:val="nil"/>
              <w:right w:val="nil"/>
            </w:tcBorders>
            <w:shd w:val="clear" w:color="auto" w:fill="auto"/>
            <w:noWrap/>
            <w:vAlign w:val="bottom"/>
            <w:hideMark/>
          </w:tcPr>
          <w:p w14:paraId="4EA76AD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0.34</w:t>
            </w:r>
          </w:p>
        </w:tc>
        <w:tc>
          <w:tcPr>
            <w:tcW w:w="1102" w:type="dxa"/>
            <w:tcBorders>
              <w:top w:val="nil"/>
              <w:left w:val="nil"/>
              <w:bottom w:val="nil"/>
              <w:right w:val="nil"/>
            </w:tcBorders>
            <w:shd w:val="clear" w:color="auto" w:fill="auto"/>
            <w:noWrap/>
            <w:vAlign w:val="bottom"/>
            <w:hideMark/>
          </w:tcPr>
          <w:p w14:paraId="07B9E63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1.91</w:t>
            </w:r>
          </w:p>
        </w:tc>
        <w:tc>
          <w:tcPr>
            <w:tcW w:w="1607" w:type="dxa"/>
            <w:tcBorders>
              <w:top w:val="nil"/>
              <w:left w:val="nil"/>
              <w:bottom w:val="nil"/>
              <w:right w:val="single" w:sz="8" w:space="0" w:color="auto"/>
            </w:tcBorders>
            <w:shd w:val="clear" w:color="auto" w:fill="auto"/>
            <w:noWrap/>
            <w:vAlign w:val="bottom"/>
            <w:hideMark/>
          </w:tcPr>
          <w:p w14:paraId="01C0887F" w14:textId="17DD21EF"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0.6</w:t>
            </w:r>
          </w:p>
        </w:tc>
      </w:tr>
      <w:tr w:rsidR="00705D41" w:rsidRPr="0097679B" w14:paraId="35B4A0BD"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2892A91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Cob /Cob X         </w:t>
            </w:r>
          </w:p>
        </w:tc>
        <w:tc>
          <w:tcPr>
            <w:tcW w:w="1275" w:type="dxa"/>
            <w:tcBorders>
              <w:top w:val="nil"/>
              <w:left w:val="nil"/>
              <w:bottom w:val="nil"/>
              <w:right w:val="nil"/>
            </w:tcBorders>
            <w:shd w:val="clear" w:color="auto" w:fill="auto"/>
            <w:noWrap/>
            <w:vAlign w:val="bottom"/>
            <w:hideMark/>
          </w:tcPr>
          <w:p w14:paraId="1D6E9B9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1.98</w:t>
            </w:r>
          </w:p>
        </w:tc>
        <w:tc>
          <w:tcPr>
            <w:tcW w:w="1276" w:type="dxa"/>
            <w:tcBorders>
              <w:top w:val="nil"/>
              <w:left w:val="nil"/>
              <w:bottom w:val="nil"/>
              <w:right w:val="nil"/>
            </w:tcBorders>
            <w:shd w:val="clear" w:color="auto" w:fill="auto"/>
            <w:noWrap/>
            <w:vAlign w:val="bottom"/>
            <w:hideMark/>
          </w:tcPr>
          <w:p w14:paraId="3753084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0.73</w:t>
            </w:r>
          </w:p>
        </w:tc>
        <w:tc>
          <w:tcPr>
            <w:tcW w:w="1102" w:type="dxa"/>
            <w:tcBorders>
              <w:top w:val="nil"/>
              <w:left w:val="nil"/>
              <w:bottom w:val="nil"/>
              <w:right w:val="nil"/>
            </w:tcBorders>
            <w:shd w:val="clear" w:color="auto" w:fill="auto"/>
            <w:noWrap/>
            <w:vAlign w:val="bottom"/>
            <w:hideMark/>
          </w:tcPr>
          <w:p w14:paraId="0772712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5.34</w:t>
            </w:r>
          </w:p>
        </w:tc>
        <w:tc>
          <w:tcPr>
            <w:tcW w:w="1607" w:type="dxa"/>
            <w:tcBorders>
              <w:top w:val="nil"/>
              <w:left w:val="nil"/>
              <w:bottom w:val="nil"/>
              <w:right w:val="single" w:sz="8" w:space="0" w:color="auto"/>
            </w:tcBorders>
            <w:shd w:val="clear" w:color="auto" w:fill="auto"/>
            <w:noWrap/>
            <w:vAlign w:val="bottom"/>
            <w:hideMark/>
          </w:tcPr>
          <w:p w14:paraId="4C6ABBD4" w14:textId="369BC930"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0.2</w:t>
            </w:r>
          </w:p>
        </w:tc>
      </w:tr>
      <w:tr w:rsidR="00705D41" w:rsidRPr="0097679B" w14:paraId="6E7DB3A5"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6D873BA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age                         </w:t>
            </w:r>
          </w:p>
        </w:tc>
        <w:tc>
          <w:tcPr>
            <w:tcW w:w="1275" w:type="dxa"/>
            <w:tcBorders>
              <w:top w:val="nil"/>
              <w:left w:val="nil"/>
              <w:bottom w:val="nil"/>
              <w:right w:val="nil"/>
            </w:tcBorders>
            <w:shd w:val="clear" w:color="auto" w:fill="auto"/>
            <w:noWrap/>
            <w:vAlign w:val="bottom"/>
            <w:hideMark/>
          </w:tcPr>
          <w:p w14:paraId="7807D94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1.06</w:t>
            </w:r>
          </w:p>
        </w:tc>
        <w:tc>
          <w:tcPr>
            <w:tcW w:w="1276" w:type="dxa"/>
            <w:tcBorders>
              <w:top w:val="nil"/>
              <w:left w:val="nil"/>
              <w:bottom w:val="nil"/>
              <w:right w:val="nil"/>
            </w:tcBorders>
            <w:shd w:val="clear" w:color="auto" w:fill="auto"/>
            <w:noWrap/>
            <w:vAlign w:val="bottom"/>
            <w:hideMark/>
          </w:tcPr>
          <w:p w14:paraId="60270C0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102" w:type="dxa"/>
            <w:tcBorders>
              <w:top w:val="nil"/>
              <w:left w:val="nil"/>
              <w:bottom w:val="nil"/>
              <w:right w:val="nil"/>
            </w:tcBorders>
            <w:shd w:val="clear" w:color="auto" w:fill="auto"/>
            <w:noWrap/>
            <w:vAlign w:val="bottom"/>
            <w:hideMark/>
          </w:tcPr>
          <w:p w14:paraId="55061C6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1.12</w:t>
            </w:r>
          </w:p>
        </w:tc>
        <w:tc>
          <w:tcPr>
            <w:tcW w:w="1607" w:type="dxa"/>
            <w:tcBorders>
              <w:top w:val="nil"/>
              <w:left w:val="nil"/>
              <w:bottom w:val="nil"/>
              <w:right w:val="single" w:sz="8" w:space="0" w:color="auto"/>
            </w:tcBorders>
            <w:shd w:val="clear" w:color="auto" w:fill="auto"/>
            <w:noWrap/>
            <w:vAlign w:val="bottom"/>
            <w:hideMark/>
          </w:tcPr>
          <w:p w14:paraId="667D42EF" w14:textId="038BB630"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0.03</w:t>
            </w:r>
            <w:r w:rsidR="00B420E0">
              <w:rPr>
                <w:rFonts w:ascii="Arial" w:hAnsi="Arial" w:cs="Arial"/>
                <w:sz w:val="20"/>
                <w:szCs w:val="20"/>
                <w:lang w:eastAsia="en-GB"/>
              </w:rPr>
              <w:t xml:space="preserve"> </w:t>
            </w:r>
            <w:r w:rsidR="00705D41" w:rsidRPr="0097679B">
              <w:rPr>
                <w:rFonts w:ascii="Arial" w:hAnsi="Arial" w:cs="Arial"/>
                <w:sz w:val="20"/>
                <w:szCs w:val="20"/>
                <w:lang w:eastAsia="en-GB"/>
              </w:rPr>
              <w:t xml:space="preserve">  </w:t>
            </w:r>
          </w:p>
        </w:tc>
      </w:tr>
      <w:tr w:rsidR="00705D41" w:rsidRPr="0097679B" w14:paraId="45AEEA59"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6761C59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sex = female                    </w:t>
            </w:r>
          </w:p>
        </w:tc>
        <w:tc>
          <w:tcPr>
            <w:tcW w:w="1275" w:type="dxa"/>
            <w:tcBorders>
              <w:top w:val="nil"/>
              <w:left w:val="nil"/>
              <w:bottom w:val="nil"/>
              <w:right w:val="nil"/>
            </w:tcBorders>
            <w:shd w:val="clear" w:color="auto" w:fill="auto"/>
            <w:noWrap/>
            <w:vAlign w:val="bottom"/>
            <w:hideMark/>
          </w:tcPr>
          <w:p w14:paraId="2CE512A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1.40</w:t>
            </w:r>
          </w:p>
        </w:tc>
        <w:tc>
          <w:tcPr>
            <w:tcW w:w="1276" w:type="dxa"/>
            <w:tcBorders>
              <w:top w:val="nil"/>
              <w:left w:val="nil"/>
              <w:bottom w:val="nil"/>
              <w:right w:val="nil"/>
            </w:tcBorders>
            <w:shd w:val="clear" w:color="auto" w:fill="auto"/>
            <w:noWrap/>
            <w:vAlign w:val="bottom"/>
            <w:hideMark/>
          </w:tcPr>
          <w:p w14:paraId="6B08AB3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0.70</w:t>
            </w:r>
          </w:p>
        </w:tc>
        <w:tc>
          <w:tcPr>
            <w:tcW w:w="1102" w:type="dxa"/>
            <w:tcBorders>
              <w:top w:val="nil"/>
              <w:left w:val="nil"/>
              <w:bottom w:val="nil"/>
              <w:right w:val="nil"/>
            </w:tcBorders>
            <w:shd w:val="clear" w:color="auto" w:fill="auto"/>
            <w:noWrap/>
            <w:vAlign w:val="bottom"/>
            <w:hideMark/>
          </w:tcPr>
          <w:p w14:paraId="469D391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2.80</w:t>
            </w:r>
          </w:p>
        </w:tc>
        <w:tc>
          <w:tcPr>
            <w:tcW w:w="1607" w:type="dxa"/>
            <w:tcBorders>
              <w:top w:val="nil"/>
              <w:left w:val="nil"/>
              <w:bottom w:val="nil"/>
              <w:right w:val="single" w:sz="8" w:space="0" w:color="auto"/>
            </w:tcBorders>
            <w:shd w:val="clear" w:color="auto" w:fill="auto"/>
            <w:noWrap/>
            <w:vAlign w:val="bottom"/>
            <w:hideMark/>
          </w:tcPr>
          <w:p w14:paraId="18A32429" w14:textId="629A0ED0"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0.3</w:t>
            </w:r>
          </w:p>
        </w:tc>
      </w:tr>
      <w:tr w:rsidR="00705D41" w:rsidRPr="0097679B" w14:paraId="2020095B"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62612DA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exercise_composite            </w:t>
            </w:r>
          </w:p>
        </w:tc>
        <w:tc>
          <w:tcPr>
            <w:tcW w:w="1275" w:type="dxa"/>
            <w:tcBorders>
              <w:top w:val="nil"/>
              <w:left w:val="nil"/>
              <w:bottom w:val="nil"/>
              <w:right w:val="nil"/>
            </w:tcBorders>
            <w:shd w:val="clear" w:color="auto" w:fill="auto"/>
            <w:noWrap/>
            <w:vAlign w:val="bottom"/>
            <w:hideMark/>
          </w:tcPr>
          <w:p w14:paraId="45221B6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0.81</w:t>
            </w:r>
          </w:p>
        </w:tc>
        <w:tc>
          <w:tcPr>
            <w:tcW w:w="1276" w:type="dxa"/>
            <w:tcBorders>
              <w:top w:val="nil"/>
              <w:left w:val="nil"/>
              <w:bottom w:val="nil"/>
              <w:right w:val="nil"/>
            </w:tcBorders>
            <w:shd w:val="clear" w:color="auto" w:fill="auto"/>
            <w:noWrap/>
            <w:vAlign w:val="bottom"/>
            <w:hideMark/>
          </w:tcPr>
          <w:p w14:paraId="48829BFB"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0.72</w:t>
            </w:r>
          </w:p>
        </w:tc>
        <w:tc>
          <w:tcPr>
            <w:tcW w:w="1102" w:type="dxa"/>
            <w:tcBorders>
              <w:top w:val="nil"/>
              <w:left w:val="nil"/>
              <w:bottom w:val="nil"/>
              <w:right w:val="nil"/>
            </w:tcBorders>
            <w:shd w:val="clear" w:color="auto" w:fill="auto"/>
            <w:noWrap/>
            <w:vAlign w:val="bottom"/>
            <w:hideMark/>
          </w:tcPr>
          <w:p w14:paraId="55A6CA4B"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0.91</w:t>
            </w:r>
          </w:p>
        </w:tc>
        <w:tc>
          <w:tcPr>
            <w:tcW w:w="1607" w:type="dxa"/>
            <w:tcBorders>
              <w:top w:val="nil"/>
              <w:left w:val="nil"/>
              <w:bottom w:val="nil"/>
              <w:right w:val="single" w:sz="8" w:space="0" w:color="auto"/>
            </w:tcBorders>
            <w:shd w:val="clear" w:color="auto" w:fill="auto"/>
            <w:noWrap/>
            <w:vAlign w:val="bottom"/>
            <w:hideMark/>
          </w:tcPr>
          <w:p w14:paraId="7AAB7E7A" w14:textId="38A9AF15" w:rsidR="00705D41" w:rsidRPr="0097679B" w:rsidRDefault="00B420E0" w:rsidP="00705D41">
            <w:pPr>
              <w:pStyle w:val="tablecontents"/>
              <w:rPr>
                <w:rFonts w:ascii="Arial" w:hAnsi="Arial" w:cs="Arial"/>
                <w:sz w:val="20"/>
                <w:szCs w:val="20"/>
                <w:lang w:eastAsia="en-GB"/>
              </w:rPr>
            </w:pPr>
            <w:r>
              <w:rPr>
                <w:rFonts w:ascii="Arial" w:hAnsi="Arial" w:cs="Arial"/>
                <w:sz w:val="20"/>
                <w:szCs w:val="20"/>
              </w:rPr>
              <w:t>&lt;0.001</w:t>
            </w:r>
          </w:p>
        </w:tc>
      </w:tr>
      <w:tr w:rsidR="00705D41" w:rsidRPr="0097679B" w14:paraId="00DA7862" w14:textId="77777777" w:rsidTr="00705D41">
        <w:trPr>
          <w:trHeight w:val="300"/>
        </w:trPr>
        <w:tc>
          <w:tcPr>
            <w:tcW w:w="2684" w:type="dxa"/>
            <w:gridSpan w:val="2"/>
            <w:tcBorders>
              <w:top w:val="nil"/>
              <w:left w:val="single" w:sz="8" w:space="0" w:color="auto"/>
              <w:bottom w:val="nil"/>
              <w:right w:val="nil"/>
            </w:tcBorders>
            <w:shd w:val="clear" w:color="auto" w:fill="auto"/>
            <w:noWrap/>
            <w:vAlign w:val="bottom"/>
            <w:hideMark/>
          </w:tcPr>
          <w:p w14:paraId="0813A56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footsore_trimming       </w:t>
            </w:r>
          </w:p>
        </w:tc>
        <w:tc>
          <w:tcPr>
            <w:tcW w:w="1275" w:type="dxa"/>
            <w:tcBorders>
              <w:top w:val="nil"/>
              <w:left w:val="nil"/>
              <w:bottom w:val="nil"/>
              <w:right w:val="nil"/>
            </w:tcBorders>
            <w:shd w:val="clear" w:color="auto" w:fill="auto"/>
            <w:noWrap/>
            <w:vAlign w:val="bottom"/>
            <w:hideMark/>
          </w:tcPr>
          <w:p w14:paraId="74BE175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0.00</w:t>
            </w:r>
          </w:p>
        </w:tc>
        <w:tc>
          <w:tcPr>
            <w:tcW w:w="1276" w:type="dxa"/>
            <w:tcBorders>
              <w:top w:val="nil"/>
              <w:left w:val="nil"/>
              <w:bottom w:val="nil"/>
              <w:right w:val="nil"/>
            </w:tcBorders>
            <w:shd w:val="clear" w:color="auto" w:fill="auto"/>
            <w:noWrap/>
            <w:vAlign w:val="bottom"/>
            <w:hideMark/>
          </w:tcPr>
          <w:p w14:paraId="3B936A0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0.00</w:t>
            </w:r>
          </w:p>
        </w:tc>
        <w:tc>
          <w:tcPr>
            <w:tcW w:w="1102" w:type="dxa"/>
            <w:tcBorders>
              <w:top w:val="nil"/>
              <w:left w:val="nil"/>
              <w:bottom w:val="nil"/>
              <w:right w:val="nil"/>
            </w:tcBorders>
            <w:shd w:val="clear" w:color="auto" w:fill="auto"/>
            <w:noWrap/>
            <w:vAlign w:val="bottom"/>
            <w:hideMark/>
          </w:tcPr>
          <w:p w14:paraId="2156A81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  Inf</w:t>
            </w:r>
          </w:p>
        </w:tc>
        <w:tc>
          <w:tcPr>
            <w:tcW w:w="1607" w:type="dxa"/>
            <w:tcBorders>
              <w:top w:val="nil"/>
              <w:left w:val="nil"/>
              <w:bottom w:val="nil"/>
              <w:right w:val="single" w:sz="8" w:space="0" w:color="auto"/>
            </w:tcBorders>
            <w:shd w:val="clear" w:color="auto" w:fill="auto"/>
            <w:noWrap/>
            <w:vAlign w:val="bottom"/>
            <w:hideMark/>
          </w:tcPr>
          <w:p w14:paraId="147C5520" w14:textId="102D2706" w:rsidR="00705D41" w:rsidRPr="0097679B" w:rsidRDefault="005551AB" w:rsidP="00705D41">
            <w:pPr>
              <w:pStyle w:val="tablecontents"/>
              <w:rPr>
                <w:rFonts w:ascii="Arial" w:hAnsi="Arial" w:cs="Arial"/>
                <w:sz w:val="20"/>
                <w:szCs w:val="20"/>
                <w:lang w:eastAsia="en-GB"/>
              </w:rPr>
            </w:pPr>
            <w:r>
              <w:rPr>
                <w:rFonts w:ascii="Arial" w:hAnsi="Arial" w:cs="Arial"/>
                <w:sz w:val="20"/>
                <w:szCs w:val="20"/>
                <w:lang w:eastAsia="en-GB"/>
              </w:rPr>
              <w:t>&gt;0.9</w:t>
            </w:r>
          </w:p>
        </w:tc>
      </w:tr>
      <w:tr w:rsidR="00705D41" w:rsidRPr="0097679B" w14:paraId="1555E801" w14:textId="77777777" w:rsidTr="00705D41">
        <w:trPr>
          <w:trHeight w:val="300"/>
        </w:trPr>
        <w:tc>
          <w:tcPr>
            <w:tcW w:w="2684" w:type="dxa"/>
            <w:gridSpan w:val="2"/>
            <w:tcBorders>
              <w:top w:val="nil"/>
              <w:left w:val="single" w:sz="8" w:space="0" w:color="auto"/>
              <w:right w:val="nil"/>
            </w:tcBorders>
            <w:shd w:val="clear" w:color="auto" w:fill="auto"/>
            <w:noWrap/>
            <w:vAlign w:val="bottom"/>
            <w:hideMark/>
          </w:tcPr>
          <w:p w14:paraId="5848ED37" w14:textId="45E1C471"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turnout_composite        </w:t>
            </w:r>
          </w:p>
        </w:tc>
        <w:tc>
          <w:tcPr>
            <w:tcW w:w="1275" w:type="dxa"/>
            <w:tcBorders>
              <w:top w:val="nil"/>
              <w:left w:val="nil"/>
              <w:right w:val="nil"/>
            </w:tcBorders>
            <w:shd w:val="clear" w:color="auto" w:fill="auto"/>
            <w:noWrap/>
            <w:vAlign w:val="bottom"/>
            <w:hideMark/>
          </w:tcPr>
          <w:p w14:paraId="00C137D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0.99</w:t>
            </w:r>
          </w:p>
        </w:tc>
        <w:tc>
          <w:tcPr>
            <w:tcW w:w="1276" w:type="dxa"/>
            <w:tcBorders>
              <w:top w:val="nil"/>
              <w:left w:val="nil"/>
              <w:right w:val="nil"/>
            </w:tcBorders>
            <w:shd w:val="clear" w:color="auto" w:fill="auto"/>
            <w:noWrap/>
            <w:vAlign w:val="bottom"/>
            <w:hideMark/>
          </w:tcPr>
          <w:p w14:paraId="0F88F94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0.86</w:t>
            </w:r>
          </w:p>
        </w:tc>
        <w:tc>
          <w:tcPr>
            <w:tcW w:w="1102" w:type="dxa"/>
            <w:tcBorders>
              <w:top w:val="nil"/>
              <w:left w:val="nil"/>
              <w:right w:val="nil"/>
            </w:tcBorders>
            <w:shd w:val="clear" w:color="auto" w:fill="auto"/>
            <w:noWrap/>
            <w:vAlign w:val="bottom"/>
            <w:hideMark/>
          </w:tcPr>
          <w:p w14:paraId="14CF99B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1.14</w:t>
            </w:r>
          </w:p>
        </w:tc>
        <w:tc>
          <w:tcPr>
            <w:tcW w:w="1607" w:type="dxa"/>
            <w:tcBorders>
              <w:top w:val="nil"/>
              <w:left w:val="nil"/>
              <w:right w:val="single" w:sz="8" w:space="0" w:color="auto"/>
            </w:tcBorders>
            <w:shd w:val="clear" w:color="auto" w:fill="auto"/>
            <w:noWrap/>
            <w:vAlign w:val="bottom"/>
            <w:hideMark/>
          </w:tcPr>
          <w:p w14:paraId="7B480788" w14:textId="2C16C594"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0.9</w:t>
            </w:r>
          </w:p>
        </w:tc>
      </w:tr>
      <w:tr w:rsidR="00705D41" w:rsidRPr="0097679B" w14:paraId="1C757F05" w14:textId="77777777" w:rsidTr="00705D41">
        <w:trPr>
          <w:trHeight w:val="449"/>
        </w:trPr>
        <w:tc>
          <w:tcPr>
            <w:tcW w:w="7944" w:type="dxa"/>
            <w:gridSpan w:val="6"/>
            <w:tcBorders>
              <w:top w:val="nil"/>
              <w:left w:val="single" w:sz="8" w:space="0" w:color="auto"/>
              <w:right w:val="single" w:sz="8" w:space="0" w:color="auto"/>
            </w:tcBorders>
            <w:shd w:val="clear" w:color="auto" w:fill="auto"/>
            <w:noWrap/>
            <w:vAlign w:val="bottom"/>
            <w:hideMark/>
          </w:tcPr>
          <w:p w14:paraId="1BB22656" w14:textId="77777777" w:rsidR="00705D41" w:rsidRPr="0097679B" w:rsidRDefault="00705D41" w:rsidP="00705D41">
            <w:pPr>
              <w:pStyle w:val="tablecontents"/>
              <w:jc w:val="right"/>
              <w:rPr>
                <w:rFonts w:ascii="Arial" w:hAnsi="Arial" w:cs="Arial"/>
                <w:sz w:val="20"/>
                <w:szCs w:val="20"/>
                <w:lang w:eastAsia="en-GB"/>
              </w:rPr>
            </w:pPr>
            <w:r w:rsidRPr="0097679B">
              <w:rPr>
                <w:rFonts w:ascii="Arial" w:hAnsi="Arial" w:cs="Arial"/>
                <w:sz w:val="20"/>
                <w:szCs w:val="20"/>
                <w:lang w:eastAsia="en-GB"/>
              </w:rPr>
              <w:t>(breed reference category = Welsh / Welsh X) </w:t>
            </w:r>
          </w:p>
        </w:tc>
      </w:tr>
      <w:tr w:rsidR="00705D41" w:rsidRPr="0097679B" w14:paraId="492FA8F7" w14:textId="77777777" w:rsidTr="00705D41">
        <w:trPr>
          <w:trHeight w:val="418"/>
        </w:trPr>
        <w:tc>
          <w:tcPr>
            <w:tcW w:w="7944" w:type="dxa"/>
            <w:gridSpan w:val="6"/>
            <w:tcBorders>
              <w:left w:val="single" w:sz="8" w:space="0" w:color="auto"/>
              <w:right w:val="single" w:sz="8" w:space="0" w:color="auto"/>
            </w:tcBorders>
            <w:shd w:val="clear" w:color="auto" w:fill="auto"/>
            <w:noWrap/>
            <w:vAlign w:val="bottom"/>
            <w:hideMark/>
          </w:tcPr>
          <w:p w14:paraId="6296AB1F" w14:textId="77777777" w:rsidR="00705D41" w:rsidRPr="0097679B" w:rsidRDefault="00705D41" w:rsidP="00705D41">
            <w:pPr>
              <w:pStyle w:val="tablecontents"/>
              <w:jc w:val="right"/>
              <w:rPr>
                <w:rFonts w:ascii="Arial" w:hAnsi="Arial" w:cs="Arial"/>
                <w:sz w:val="20"/>
                <w:szCs w:val="20"/>
                <w:lang w:eastAsia="en-GB"/>
              </w:rPr>
            </w:pPr>
            <w:r w:rsidRPr="0097679B">
              <w:rPr>
                <w:rFonts w:ascii="Arial" w:hAnsi="Arial" w:cs="Arial"/>
                <w:sz w:val="20"/>
                <w:szCs w:val="20"/>
                <w:lang w:eastAsia="en-GB"/>
              </w:rPr>
              <w:t>(sex reference category = male)</w:t>
            </w:r>
          </w:p>
        </w:tc>
      </w:tr>
      <w:tr w:rsidR="00705D41" w:rsidRPr="0097679B" w14:paraId="0A2AD46F" w14:textId="77777777" w:rsidTr="00705D41">
        <w:trPr>
          <w:trHeight w:val="300"/>
        </w:trPr>
        <w:tc>
          <w:tcPr>
            <w:tcW w:w="2684" w:type="dxa"/>
            <w:gridSpan w:val="2"/>
            <w:tcBorders>
              <w:left w:val="single" w:sz="8" w:space="0" w:color="auto"/>
              <w:bottom w:val="nil"/>
              <w:right w:val="nil"/>
            </w:tcBorders>
            <w:shd w:val="clear" w:color="auto" w:fill="auto"/>
            <w:noWrap/>
            <w:vAlign w:val="bottom"/>
          </w:tcPr>
          <w:p w14:paraId="4471EA5D" w14:textId="77777777" w:rsidR="00705D41" w:rsidRPr="0097679B" w:rsidRDefault="00705D41" w:rsidP="00705D41">
            <w:pPr>
              <w:pStyle w:val="tablecontents"/>
              <w:rPr>
                <w:rFonts w:ascii="Arial" w:hAnsi="Arial" w:cs="Arial"/>
                <w:sz w:val="20"/>
                <w:szCs w:val="20"/>
              </w:rPr>
            </w:pPr>
            <w:r w:rsidRPr="0097679B">
              <w:rPr>
                <w:rFonts w:ascii="Arial" w:hAnsi="Arial" w:cs="Arial"/>
                <w:sz w:val="20"/>
                <w:szCs w:val="20"/>
              </w:rPr>
              <w:t>Concordance</w:t>
            </w:r>
          </w:p>
        </w:tc>
        <w:tc>
          <w:tcPr>
            <w:tcW w:w="3653" w:type="dxa"/>
            <w:gridSpan w:val="3"/>
            <w:tcBorders>
              <w:left w:val="nil"/>
              <w:bottom w:val="nil"/>
              <w:right w:val="nil"/>
            </w:tcBorders>
            <w:shd w:val="clear" w:color="auto" w:fill="auto"/>
            <w:noWrap/>
            <w:vAlign w:val="bottom"/>
          </w:tcPr>
          <w:p w14:paraId="6138DB6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=0.745 (se = 0.041)</w:t>
            </w:r>
          </w:p>
        </w:tc>
        <w:tc>
          <w:tcPr>
            <w:tcW w:w="1607" w:type="dxa"/>
            <w:tcBorders>
              <w:left w:val="nil"/>
              <w:bottom w:val="nil"/>
              <w:right w:val="single" w:sz="8" w:space="0" w:color="auto"/>
            </w:tcBorders>
            <w:shd w:val="clear" w:color="auto" w:fill="auto"/>
            <w:noWrap/>
            <w:vAlign w:val="bottom"/>
          </w:tcPr>
          <w:p w14:paraId="5D470F82" w14:textId="77777777" w:rsidR="00705D41" w:rsidRPr="0097679B" w:rsidRDefault="00705D41" w:rsidP="00705D41">
            <w:pPr>
              <w:pStyle w:val="tablecontents"/>
              <w:rPr>
                <w:rFonts w:ascii="Arial" w:hAnsi="Arial" w:cs="Arial"/>
                <w:sz w:val="20"/>
                <w:szCs w:val="20"/>
                <w:lang w:eastAsia="en-GB"/>
              </w:rPr>
            </w:pPr>
          </w:p>
        </w:tc>
      </w:tr>
      <w:tr w:rsidR="00705D41" w:rsidRPr="0097679B" w14:paraId="0C0B4B77" w14:textId="77777777" w:rsidTr="00705D41">
        <w:trPr>
          <w:trHeight w:val="300"/>
        </w:trPr>
        <w:tc>
          <w:tcPr>
            <w:tcW w:w="2684" w:type="dxa"/>
            <w:gridSpan w:val="2"/>
            <w:tcBorders>
              <w:left w:val="single" w:sz="8" w:space="0" w:color="auto"/>
              <w:bottom w:val="nil"/>
              <w:right w:val="nil"/>
            </w:tcBorders>
            <w:shd w:val="clear" w:color="auto" w:fill="auto"/>
            <w:noWrap/>
            <w:vAlign w:val="bottom"/>
            <w:hideMark/>
          </w:tcPr>
          <w:p w14:paraId="2824508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Wald test            </w:t>
            </w:r>
          </w:p>
        </w:tc>
        <w:tc>
          <w:tcPr>
            <w:tcW w:w="3653" w:type="dxa"/>
            <w:gridSpan w:val="3"/>
            <w:tcBorders>
              <w:left w:val="nil"/>
              <w:bottom w:val="nil"/>
              <w:right w:val="nil"/>
            </w:tcBorders>
            <w:shd w:val="clear" w:color="auto" w:fill="auto"/>
            <w:noWrap/>
            <w:vAlign w:val="bottom"/>
            <w:hideMark/>
          </w:tcPr>
          <w:p w14:paraId="14316F2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21.16  on 8 df,   p=0.007</w:t>
            </w:r>
          </w:p>
        </w:tc>
        <w:tc>
          <w:tcPr>
            <w:tcW w:w="1607" w:type="dxa"/>
            <w:tcBorders>
              <w:left w:val="nil"/>
              <w:bottom w:val="nil"/>
              <w:right w:val="single" w:sz="8" w:space="0" w:color="auto"/>
            </w:tcBorders>
            <w:shd w:val="clear" w:color="auto" w:fill="auto"/>
            <w:noWrap/>
            <w:vAlign w:val="bottom"/>
            <w:hideMark/>
          </w:tcPr>
          <w:p w14:paraId="47831D6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5947DAD2" w14:textId="77777777" w:rsidTr="00705D41">
        <w:trPr>
          <w:trHeight w:val="300"/>
        </w:trPr>
        <w:tc>
          <w:tcPr>
            <w:tcW w:w="2684" w:type="dxa"/>
            <w:gridSpan w:val="2"/>
            <w:tcBorders>
              <w:top w:val="nil"/>
              <w:left w:val="single" w:sz="8" w:space="0" w:color="auto"/>
              <w:right w:val="nil"/>
            </w:tcBorders>
            <w:shd w:val="clear" w:color="auto" w:fill="auto"/>
            <w:noWrap/>
            <w:vAlign w:val="bottom"/>
            <w:hideMark/>
          </w:tcPr>
          <w:p w14:paraId="285AC84F" w14:textId="554D4E3C" w:rsidR="00705D41" w:rsidRPr="0097679B" w:rsidRDefault="00116F72" w:rsidP="00705D41">
            <w:pPr>
              <w:pStyle w:val="tablecontents"/>
              <w:rPr>
                <w:rFonts w:ascii="Arial" w:hAnsi="Arial" w:cs="Arial"/>
                <w:sz w:val="20"/>
                <w:szCs w:val="20"/>
                <w:lang w:eastAsia="en-GB"/>
              </w:rPr>
            </w:pPr>
            <w:r>
              <w:rPr>
                <w:rFonts w:ascii="Arial" w:hAnsi="Arial" w:cs="Arial"/>
                <w:sz w:val="20"/>
                <w:szCs w:val="20"/>
                <w:lang w:eastAsia="en-GB"/>
              </w:rPr>
              <w:t>R</w:t>
            </w:r>
            <w:r>
              <w:rPr>
                <w:rFonts w:ascii="Arial" w:hAnsi="Arial" w:cs="Arial"/>
                <w:sz w:val="20"/>
                <w:szCs w:val="20"/>
                <w:vertAlign w:val="superscript"/>
                <w:lang w:eastAsia="en-GB"/>
              </w:rPr>
              <w:t>2</w:t>
            </w:r>
            <w:r w:rsidR="00705D41" w:rsidRPr="0097679B">
              <w:rPr>
                <w:rFonts w:ascii="Arial" w:hAnsi="Arial" w:cs="Arial"/>
                <w:sz w:val="20"/>
                <w:szCs w:val="20"/>
                <w:lang w:eastAsia="en-GB"/>
              </w:rPr>
              <w:t xml:space="preserve"> (mev)          </w:t>
            </w:r>
          </w:p>
        </w:tc>
        <w:tc>
          <w:tcPr>
            <w:tcW w:w="1275" w:type="dxa"/>
            <w:tcBorders>
              <w:top w:val="nil"/>
              <w:left w:val="nil"/>
              <w:right w:val="nil"/>
            </w:tcBorders>
            <w:shd w:val="clear" w:color="auto" w:fill="auto"/>
            <w:noWrap/>
            <w:vAlign w:val="bottom"/>
            <w:hideMark/>
          </w:tcPr>
          <w:p w14:paraId="3DC33B6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=0.37</w:t>
            </w:r>
          </w:p>
        </w:tc>
        <w:tc>
          <w:tcPr>
            <w:tcW w:w="1276" w:type="dxa"/>
            <w:tcBorders>
              <w:top w:val="nil"/>
              <w:left w:val="nil"/>
              <w:right w:val="nil"/>
            </w:tcBorders>
            <w:shd w:val="clear" w:color="auto" w:fill="auto"/>
            <w:noWrap/>
            <w:vAlign w:val="bottom"/>
            <w:hideMark/>
          </w:tcPr>
          <w:p w14:paraId="05CA4A1E"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right w:val="nil"/>
            </w:tcBorders>
            <w:shd w:val="clear" w:color="auto" w:fill="auto"/>
            <w:noWrap/>
            <w:vAlign w:val="bottom"/>
            <w:hideMark/>
          </w:tcPr>
          <w:p w14:paraId="3C8A0BC2" w14:textId="77777777" w:rsidR="00705D41" w:rsidRPr="0097679B" w:rsidRDefault="00705D41" w:rsidP="00705D41">
            <w:pPr>
              <w:pStyle w:val="tablecontents"/>
              <w:rPr>
                <w:rFonts w:ascii="Arial" w:hAnsi="Arial" w:cs="Arial"/>
                <w:sz w:val="20"/>
                <w:szCs w:val="20"/>
                <w:lang w:eastAsia="en-GB"/>
              </w:rPr>
            </w:pPr>
          </w:p>
        </w:tc>
        <w:tc>
          <w:tcPr>
            <w:tcW w:w="1607" w:type="dxa"/>
            <w:tcBorders>
              <w:top w:val="nil"/>
              <w:left w:val="nil"/>
              <w:right w:val="single" w:sz="8" w:space="0" w:color="auto"/>
            </w:tcBorders>
            <w:shd w:val="clear" w:color="auto" w:fill="auto"/>
            <w:noWrap/>
            <w:vAlign w:val="bottom"/>
            <w:hideMark/>
          </w:tcPr>
          <w:p w14:paraId="16F1E76C"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5D00D1A3" w14:textId="77777777" w:rsidTr="00705D41">
        <w:trPr>
          <w:trHeight w:val="300"/>
        </w:trPr>
        <w:tc>
          <w:tcPr>
            <w:tcW w:w="7944" w:type="dxa"/>
            <w:gridSpan w:val="6"/>
            <w:tcBorders>
              <w:top w:val="nil"/>
              <w:left w:val="single" w:sz="8" w:space="0" w:color="auto"/>
              <w:bottom w:val="single" w:sz="4" w:space="0" w:color="auto"/>
              <w:right w:val="single" w:sz="8" w:space="0" w:color="auto"/>
            </w:tcBorders>
            <w:shd w:val="clear" w:color="auto" w:fill="auto"/>
            <w:noWrap/>
            <w:vAlign w:val="bottom"/>
            <w:hideMark/>
          </w:tcPr>
          <w:p w14:paraId="34A29A2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 n= 1394, number of events= 33 (474 observations missing) </w:t>
            </w:r>
          </w:p>
        </w:tc>
      </w:tr>
    </w:tbl>
    <w:p w14:paraId="037743A5" w14:textId="77777777" w:rsidR="00705D41" w:rsidRPr="0097679B" w:rsidRDefault="00705D41" w:rsidP="00705D41">
      <w:pPr>
        <w:rPr>
          <w:rFonts w:ascii="Arial" w:hAnsi="Arial" w:cs="Arial"/>
          <w:sz w:val="20"/>
          <w:szCs w:val="20"/>
        </w:rPr>
      </w:pPr>
      <w:bookmarkStart w:id="5" w:name="_Ref56809299"/>
    </w:p>
    <w:bookmarkEnd w:id="5"/>
    <w:p w14:paraId="3F45EA32" w14:textId="77777777" w:rsidR="00AA3803" w:rsidRDefault="00AA3803" w:rsidP="00705D41">
      <w:pPr>
        <w:spacing w:line="480" w:lineRule="auto"/>
        <w:contextualSpacing/>
        <w:rPr>
          <w:rFonts w:ascii="Arial" w:hAnsi="Arial" w:cs="Arial"/>
          <w:sz w:val="20"/>
          <w:szCs w:val="20"/>
        </w:rPr>
      </w:pPr>
    </w:p>
    <w:p w14:paraId="164B3291" w14:textId="77777777" w:rsidR="00AA3803" w:rsidRDefault="00AA3803" w:rsidP="00705D41">
      <w:pPr>
        <w:spacing w:line="480" w:lineRule="auto"/>
        <w:contextualSpacing/>
        <w:rPr>
          <w:rFonts w:ascii="Arial" w:hAnsi="Arial" w:cs="Arial"/>
          <w:sz w:val="20"/>
          <w:szCs w:val="20"/>
        </w:rPr>
      </w:pPr>
    </w:p>
    <w:p w14:paraId="4582CB20" w14:textId="31FEC7FE" w:rsidR="00705D41" w:rsidRPr="0097679B" w:rsidRDefault="005E3EC1" w:rsidP="00705D41">
      <w:pPr>
        <w:spacing w:line="480" w:lineRule="auto"/>
        <w:contextualSpacing/>
        <w:rPr>
          <w:rFonts w:ascii="Arial" w:hAnsi="Arial" w:cs="Arial"/>
          <w:sz w:val="20"/>
          <w:szCs w:val="20"/>
        </w:rPr>
      </w:pPr>
      <w:r w:rsidRPr="0097679B">
        <w:rPr>
          <w:rFonts w:ascii="Arial" w:hAnsi="Arial" w:cs="Arial"/>
          <w:sz w:val="20"/>
          <w:szCs w:val="20"/>
        </w:rPr>
        <w:lastRenderedPageBreak/>
        <w:t>Panel B</w:t>
      </w:r>
    </w:p>
    <w:tbl>
      <w:tblPr>
        <w:tblW w:w="8074" w:type="dxa"/>
        <w:tblLook w:val="04A0" w:firstRow="1" w:lastRow="0" w:firstColumn="1" w:lastColumn="0" w:noHBand="0" w:noVBand="1"/>
      </w:tblPr>
      <w:tblGrid>
        <w:gridCol w:w="2400"/>
        <w:gridCol w:w="1500"/>
        <w:gridCol w:w="1077"/>
        <w:gridCol w:w="1102"/>
        <w:gridCol w:w="1995"/>
      </w:tblGrid>
      <w:tr w:rsidR="00705D41" w:rsidRPr="0097679B" w14:paraId="26066CE1" w14:textId="77777777" w:rsidTr="00705D41">
        <w:trPr>
          <w:trHeight w:val="300"/>
        </w:trPr>
        <w:tc>
          <w:tcPr>
            <w:tcW w:w="8074" w:type="dxa"/>
            <w:gridSpan w:val="5"/>
            <w:tcBorders>
              <w:top w:val="single" w:sz="8" w:space="0" w:color="auto"/>
              <w:left w:val="single" w:sz="8" w:space="0" w:color="auto"/>
              <w:bottom w:val="nil"/>
              <w:right w:val="single" w:sz="8" w:space="0" w:color="auto"/>
            </w:tcBorders>
            <w:shd w:val="clear" w:color="auto" w:fill="auto"/>
            <w:noWrap/>
            <w:vAlign w:val="bottom"/>
            <w:hideMark/>
          </w:tcPr>
          <w:p w14:paraId="45B75A0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Model 3a - basal blood</w:t>
            </w:r>
          </w:p>
        </w:tc>
      </w:tr>
      <w:tr w:rsidR="00705D41" w:rsidRPr="0097679B" w14:paraId="32F93FDB"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5F8BCA8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Variable</w:t>
            </w:r>
          </w:p>
        </w:tc>
        <w:tc>
          <w:tcPr>
            <w:tcW w:w="1500" w:type="dxa"/>
            <w:tcBorders>
              <w:top w:val="nil"/>
              <w:left w:val="nil"/>
              <w:bottom w:val="nil"/>
              <w:right w:val="nil"/>
            </w:tcBorders>
            <w:shd w:val="clear" w:color="auto" w:fill="auto"/>
            <w:noWrap/>
            <w:vAlign w:val="bottom"/>
            <w:hideMark/>
          </w:tcPr>
          <w:p w14:paraId="10E49DB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077" w:type="dxa"/>
            <w:tcBorders>
              <w:top w:val="nil"/>
              <w:left w:val="nil"/>
              <w:bottom w:val="nil"/>
              <w:right w:val="nil"/>
            </w:tcBorders>
            <w:shd w:val="clear" w:color="auto" w:fill="auto"/>
            <w:noWrap/>
            <w:vAlign w:val="bottom"/>
            <w:hideMark/>
          </w:tcPr>
          <w:p w14:paraId="2D84449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4647072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995" w:type="dxa"/>
            <w:tcBorders>
              <w:top w:val="nil"/>
              <w:left w:val="nil"/>
              <w:bottom w:val="nil"/>
              <w:right w:val="single" w:sz="8" w:space="0" w:color="auto"/>
            </w:tcBorders>
            <w:shd w:val="clear" w:color="auto" w:fill="auto"/>
            <w:noWrap/>
            <w:vAlign w:val="bottom"/>
            <w:hideMark/>
          </w:tcPr>
          <w:p w14:paraId="2DEB326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p=</w:t>
            </w:r>
          </w:p>
        </w:tc>
      </w:tr>
      <w:tr w:rsidR="00705D41" w:rsidRPr="0097679B" w14:paraId="7B86DF9A"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1F13955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adiponectin     </w:t>
            </w:r>
          </w:p>
        </w:tc>
        <w:tc>
          <w:tcPr>
            <w:tcW w:w="1500" w:type="dxa"/>
            <w:tcBorders>
              <w:top w:val="nil"/>
              <w:left w:val="nil"/>
              <w:bottom w:val="nil"/>
              <w:right w:val="nil"/>
            </w:tcBorders>
            <w:shd w:val="clear" w:color="auto" w:fill="auto"/>
            <w:noWrap/>
            <w:vAlign w:val="bottom"/>
            <w:hideMark/>
          </w:tcPr>
          <w:p w14:paraId="4D5604B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0.91</w:t>
            </w:r>
          </w:p>
        </w:tc>
        <w:tc>
          <w:tcPr>
            <w:tcW w:w="1077" w:type="dxa"/>
            <w:tcBorders>
              <w:top w:val="nil"/>
              <w:left w:val="nil"/>
              <w:bottom w:val="nil"/>
              <w:right w:val="nil"/>
            </w:tcBorders>
            <w:shd w:val="clear" w:color="auto" w:fill="auto"/>
            <w:noWrap/>
            <w:vAlign w:val="bottom"/>
            <w:hideMark/>
          </w:tcPr>
          <w:p w14:paraId="77FF20C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0.87</w:t>
            </w:r>
          </w:p>
        </w:tc>
        <w:tc>
          <w:tcPr>
            <w:tcW w:w="1102" w:type="dxa"/>
            <w:tcBorders>
              <w:top w:val="nil"/>
              <w:left w:val="nil"/>
              <w:bottom w:val="nil"/>
              <w:right w:val="nil"/>
            </w:tcBorders>
            <w:shd w:val="clear" w:color="auto" w:fill="auto"/>
            <w:noWrap/>
            <w:vAlign w:val="bottom"/>
            <w:hideMark/>
          </w:tcPr>
          <w:p w14:paraId="1199D67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0.96</w:t>
            </w:r>
          </w:p>
        </w:tc>
        <w:tc>
          <w:tcPr>
            <w:tcW w:w="1995" w:type="dxa"/>
            <w:tcBorders>
              <w:top w:val="nil"/>
              <w:left w:val="nil"/>
              <w:bottom w:val="nil"/>
              <w:right w:val="single" w:sz="8" w:space="0" w:color="auto"/>
            </w:tcBorders>
            <w:shd w:val="clear" w:color="auto" w:fill="auto"/>
            <w:noWrap/>
            <w:vAlign w:val="bottom"/>
            <w:hideMark/>
          </w:tcPr>
          <w:p w14:paraId="55C4D75D" w14:textId="2CA6BE3F" w:rsidR="00705D41" w:rsidRPr="0097679B" w:rsidRDefault="00B420E0" w:rsidP="00705D41">
            <w:pPr>
              <w:pStyle w:val="tablecontents"/>
              <w:rPr>
                <w:rFonts w:ascii="Arial" w:hAnsi="Arial" w:cs="Arial"/>
                <w:sz w:val="20"/>
                <w:szCs w:val="20"/>
                <w:lang w:eastAsia="en-GB"/>
              </w:rPr>
            </w:pPr>
            <w:r>
              <w:rPr>
                <w:rFonts w:ascii="Arial" w:hAnsi="Arial" w:cs="Arial"/>
                <w:sz w:val="20"/>
                <w:szCs w:val="20"/>
              </w:rPr>
              <w:t>&lt;0.001</w:t>
            </w:r>
          </w:p>
        </w:tc>
      </w:tr>
      <w:tr w:rsidR="00705D41" w:rsidRPr="0097679B" w14:paraId="21E353E7"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003D087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glucose         </w:t>
            </w:r>
          </w:p>
        </w:tc>
        <w:tc>
          <w:tcPr>
            <w:tcW w:w="1500" w:type="dxa"/>
            <w:tcBorders>
              <w:top w:val="nil"/>
              <w:left w:val="nil"/>
              <w:bottom w:val="nil"/>
              <w:right w:val="nil"/>
            </w:tcBorders>
            <w:shd w:val="clear" w:color="auto" w:fill="auto"/>
            <w:noWrap/>
            <w:vAlign w:val="bottom"/>
            <w:hideMark/>
          </w:tcPr>
          <w:p w14:paraId="407A77E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0.89</w:t>
            </w:r>
          </w:p>
        </w:tc>
        <w:tc>
          <w:tcPr>
            <w:tcW w:w="1077" w:type="dxa"/>
            <w:tcBorders>
              <w:top w:val="nil"/>
              <w:left w:val="nil"/>
              <w:bottom w:val="nil"/>
              <w:right w:val="nil"/>
            </w:tcBorders>
            <w:shd w:val="clear" w:color="auto" w:fill="auto"/>
            <w:noWrap/>
            <w:vAlign w:val="bottom"/>
            <w:hideMark/>
          </w:tcPr>
          <w:p w14:paraId="3556950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0.55</w:t>
            </w:r>
          </w:p>
        </w:tc>
        <w:tc>
          <w:tcPr>
            <w:tcW w:w="1102" w:type="dxa"/>
            <w:tcBorders>
              <w:top w:val="nil"/>
              <w:left w:val="nil"/>
              <w:bottom w:val="nil"/>
              <w:right w:val="nil"/>
            </w:tcBorders>
            <w:shd w:val="clear" w:color="auto" w:fill="auto"/>
            <w:noWrap/>
            <w:vAlign w:val="bottom"/>
            <w:hideMark/>
          </w:tcPr>
          <w:p w14:paraId="559F6FE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1.45</w:t>
            </w:r>
          </w:p>
        </w:tc>
        <w:tc>
          <w:tcPr>
            <w:tcW w:w="1995" w:type="dxa"/>
            <w:tcBorders>
              <w:top w:val="nil"/>
              <w:left w:val="nil"/>
              <w:bottom w:val="nil"/>
              <w:right w:val="single" w:sz="8" w:space="0" w:color="auto"/>
            </w:tcBorders>
            <w:shd w:val="clear" w:color="auto" w:fill="auto"/>
            <w:noWrap/>
            <w:vAlign w:val="bottom"/>
            <w:hideMark/>
          </w:tcPr>
          <w:p w14:paraId="6093D1C5" w14:textId="541DEC4D"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0.7</w:t>
            </w:r>
          </w:p>
        </w:tc>
      </w:tr>
      <w:tr w:rsidR="00705D41" w:rsidRPr="0097679B" w14:paraId="4F3D0DD9"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2916768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triglycerides  </w:t>
            </w:r>
          </w:p>
        </w:tc>
        <w:tc>
          <w:tcPr>
            <w:tcW w:w="1500" w:type="dxa"/>
            <w:tcBorders>
              <w:top w:val="nil"/>
              <w:left w:val="nil"/>
              <w:bottom w:val="nil"/>
              <w:right w:val="nil"/>
            </w:tcBorders>
            <w:shd w:val="clear" w:color="auto" w:fill="auto"/>
            <w:noWrap/>
            <w:vAlign w:val="bottom"/>
            <w:hideMark/>
          </w:tcPr>
          <w:p w14:paraId="5DCDAF9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1.92</w:t>
            </w:r>
          </w:p>
        </w:tc>
        <w:tc>
          <w:tcPr>
            <w:tcW w:w="1077" w:type="dxa"/>
            <w:tcBorders>
              <w:top w:val="nil"/>
              <w:left w:val="nil"/>
              <w:bottom w:val="nil"/>
              <w:right w:val="nil"/>
            </w:tcBorders>
            <w:shd w:val="clear" w:color="auto" w:fill="auto"/>
            <w:noWrap/>
            <w:vAlign w:val="bottom"/>
            <w:hideMark/>
          </w:tcPr>
          <w:p w14:paraId="36D64DE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0.85</w:t>
            </w:r>
          </w:p>
        </w:tc>
        <w:tc>
          <w:tcPr>
            <w:tcW w:w="1102" w:type="dxa"/>
            <w:tcBorders>
              <w:top w:val="nil"/>
              <w:left w:val="nil"/>
              <w:bottom w:val="nil"/>
              <w:right w:val="nil"/>
            </w:tcBorders>
            <w:shd w:val="clear" w:color="auto" w:fill="auto"/>
            <w:noWrap/>
            <w:vAlign w:val="bottom"/>
            <w:hideMark/>
          </w:tcPr>
          <w:p w14:paraId="5677A88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4.34</w:t>
            </w:r>
          </w:p>
        </w:tc>
        <w:tc>
          <w:tcPr>
            <w:tcW w:w="1995" w:type="dxa"/>
            <w:tcBorders>
              <w:top w:val="nil"/>
              <w:left w:val="nil"/>
              <w:bottom w:val="nil"/>
              <w:right w:val="single" w:sz="8" w:space="0" w:color="auto"/>
            </w:tcBorders>
            <w:shd w:val="clear" w:color="auto" w:fill="auto"/>
            <w:noWrap/>
            <w:vAlign w:val="bottom"/>
            <w:hideMark/>
          </w:tcPr>
          <w:p w14:paraId="478833EE" w14:textId="3FFB6831"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0.1</w:t>
            </w:r>
          </w:p>
        </w:tc>
      </w:tr>
      <w:tr w:rsidR="00705D41" w:rsidRPr="0097679B" w14:paraId="190C47F7"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7449163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ACTH positive       </w:t>
            </w:r>
          </w:p>
        </w:tc>
        <w:tc>
          <w:tcPr>
            <w:tcW w:w="1500" w:type="dxa"/>
            <w:tcBorders>
              <w:top w:val="nil"/>
              <w:left w:val="nil"/>
              <w:bottom w:val="nil"/>
              <w:right w:val="nil"/>
            </w:tcBorders>
            <w:shd w:val="clear" w:color="auto" w:fill="auto"/>
            <w:noWrap/>
            <w:vAlign w:val="bottom"/>
            <w:hideMark/>
          </w:tcPr>
          <w:p w14:paraId="32E7559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0.56</w:t>
            </w:r>
          </w:p>
        </w:tc>
        <w:tc>
          <w:tcPr>
            <w:tcW w:w="1077" w:type="dxa"/>
            <w:tcBorders>
              <w:top w:val="nil"/>
              <w:left w:val="nil"/>
              <w:bottom w:val="nil"/>
              <w:right w:val="nil"/>
            </w:tcBorders>
            <w:shd w:val="clear" w:color="auto" w:fill="auto"/>
            <w:noWrap/>
            <w:vAlign w:val="bottom"/>
            <w:hideMark/>
          </w:tcPr>
          <w:p w14:paraId="6FCC431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0.2</w:t>
            </w:r>
          </w:p>
        </w:tc>
        <w:tc>
          <w:tcPr>
            <w:tcW w:w="1102" w:type="dxa"/>
            <w:tcBorders>
              <w:top w:val="nil"/>
              <w:left w:val="nil"/>
              <w:bottom w:val="nil"/>
              <w:right w:val="nil"/>
            </w:tcBorders>
            <w:shd w:val="clear" w:color="auto" w:fill="auto"/>
            <w:noWrap/>
            <w:vAlign w:val="bottom"/>
            <w:hideMark/>
          </w:tcPr>
          <w:p w14:paraId="0A35FDFB"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1.52</w:t>
            </w:r>
          </w:p>
        </w:tc>
        <w:tc>
          <w:tcPr>
            <w:tcW w:w="1995" w:type="dxa"/>
            <w:tcBorders>
              <w:top w:val="nil"/>
              <w:left w:val="nil"/>
              <w:bottom w:val="nil"/>
              <w:right w:val="single" w:sz="8" w:space="0" w:color="auto"/>
            </w:tcBorders>
            <w:shd w:val="clear" w:color="auto" w:fill="auto"/>
            <w:noWrap/>
            <w:vAlign w:val="bottom"/>
            <w:hideMark/>
          </w:tcPr>
          <w:p w14:paraId="545D4426" w14:textId="3E5CA4A0"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0.3</w:t>
            </w:r>
          </w:p>
        </w:tc>
      </w:tr>
      <w:tr w:rsidR="00705D41" w:rsidRPr="0097679B" w14:paraId="7C73A080"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07318043" w14:textId="49A8CCA5" w:rsidR="00705D41" w:rsidRPr="0097679B" w:rsidRDefault="005E3EC1" w:rsidP="00705D41">
            <w:pPr>
              <w:pStyle w:val="tablecontents"/>
              <w:rPr>
                <w:rFonts w:ascii="Arial" w:hAnsi="Arial" w:cs="Arial"/>
                <w:sz w:val="20"/>
                <w:szCs w:val="20"/>
                <w:lang w:eastAsia="en-GB"/>
              </w:rPr>
            </w:pPr>
            <w:r w:rsidRPr="0097679B">
              <w:rPr>
                <w:rFonts w:ascii="Arial" w:hAnsi="Arial" w:cs="Arial"/>
                <w:sz w:val="20"/>
                <w:szCs w:val="20"/>
                <w:lang w:eastAsia="en-GB"/>
              </w:rPr>
              <w:t>i</w:t>
            </w:r>
            <w:r w:rsidR="00705D41" w:rsidRPr="0097679B">
              <w:rPr>
                <w:rFonts w:ascii="Arial" w:hAnsi="Arial" w:cs="Arial"/>
                <w:sz w:val="20"/>
                <w:szCs w:val="20"/>
                <w:lang w:eastAsia="en-GB"/>
              </w:rPr>
              <w:t>nsulin</w:t>
            </w:r>
            <w:r w:rsidRPr="0097679B">
              <w:rPr>
                <w:rFonts w:ascii="Arial" w:hAnsi="Arial" w:cs="Arial"/>
                <w:sz w:val="20"/>
                <w:szCs w:val="20"/>
                <w:lang w:eastAsia="en-GB"/>
              </w:rPr>
              <w:t>T0</w:t>
            </w:r>
            <w:r w:rsidR="00705D41" w:rsidRPr="0097679B">
              <w:rPr>
                <w:rFonts w:ascii="Arial" w:hAnsi="Arial" w:cs="Arial"/>
                <w:sz w:val="20"/>
                <w:szCs w:val="20"/>
                <w:lang w:eastAsia="en-GB"/>
              </w:rPr>
              <w:t xml:space="preserve">       </w:t>
            </w:r>
          </w:p>
        </w:tc>
        <w:tc>
          <w:tcPr>
            <w:tcW w:w="1500" w:type="dxa"/>
            <w:tcBorders>
              <w:top w:val="nil"/>
              <w:left w:val="nil"/>
              <w:bottom w:val="nil"/>
              <w:right w:val="nil"/>
            </w:tcBorders>
            <w:shd w:val="clear" w:color="auto" w:fill="auto"/>
            <w:noWrap/>
            <w:vAlign w:val="bottom"/>
            <w:hideMark/>
          </w:tcPr>
          <w:p w14:paraId="1112404B"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077" w:type="dxa"/>
            <w:tcBorders>
              <w:top w:val="nil"/>
              <w:left w:val="nil"/>
              <w:bottom w:val="nil"/>
              <w:right w:val="nil"/>
            </w:tcBorders>
            <w:shd w:val="clear" w:color="auto" w:fill="auto"/>
            <w:noWrap/>
            <w:vAlign w:val="bottom"/>
            <w:hideMark/>
          </w:tcPr>
          <w:p w14:paraId="0439285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1.00</w:t>
            </w:r>
          </w:p>
        </w:tc>
        <w:tc>
          <w:tcPr>
            <w:tcW w:w="1102" w:type="dxa"/>
            <w:tcBorders>
              <w:top w:val="nil"/>
              <w:left w:val="nil"/>
              <w:bottom w:val="nil"/>
              <w:right w:val="nil"/>
            </w:tcBorders>
            <w:shd w:val="clear" w:color="auto" w:fill="auto"/>
            <w:noWrap/>
            <w:vAlign w:val="bottom"/>
            <w:hideMark/>
          </w:tcPr>
          <w:p w14:paraId="1FCD095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995" w:type="dxa"/>
            <w:tcBorders>
              <w:top w:val="nil"/>
              <w:left w:val="nil"/>
              <w:bottom w:val="nil"/>
              <w:right w:val="single" w:sz="8" w:space="0" w:color="auto"/>
            </w:tcBorders>
            <w:shd w:val="clear" w:color="auto" w:fill="auto"/>
            <w:noWrap/>
            <w:vAlign w:val="bottom"/>
            <w:hideMark/>
          </w:tcPr>
          <w:p w14:paraId="17ED0F60" w14:textId="65AE8DCA" w:rsidR="00705D41" w:rsidRPr="0097679B" w:rsidRDefault="00B420E0" w:rsidP="00705D41">
            <w:pPr>
              <w:pStyle w:val="tablecontents"/>
              <w:rPr>
                <w:rFonts w:ascii="Arial" w:hAnsi="Arial" w:cs="Arial"/>
                <w:sz w:val="20"/>
                <w:szCs w:val="20"/>
                <w:lang w:eastAsia="en-GB"/>
              </w:rPr>
            </w:pPr>
            <w:r>
              <w:rPr>
                <w:rFonts w:ascii="Arial" w:hAnsi="Arial" w:cs="Arial"/>
                <w:sz w:val="20"/>
                <w:szCs w:val="20"/>
              </w:rPr>
              <w:t>&lt;0.001</w:t>
            </w:r>
          </w:p>
        </w:tc>
      </w:tr>
      <w:tr w:rsidR="00705D41" w:rsidRPr="0097679B" w14:paraId="60756926"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7AE14B6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0" w:type="dxa"/>
            <w:tcBorders>
              <w:top w:val="nil"/>
              <w:left w:val="nil"/>
              <w:bottom w:val="nil"/>
              <w:right w:val="nil"/>
            </w:tcBorders>
            <w:shd w:val="clear" w:color="auto" w:fill="auto"/>
            <w:noWrap/>
            <w:vAlign w:val="bottom"/>
            <w:hideMark/>
          </w:tcPr>
          <w:p w14:paraId="3016A6D4" w14:textId="77777777" w:rsidR="00705D41" w:rsidRPr="0097679B" w:rsidRDefault="00705D41" w:rsidP="00705D41">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700AE8F5"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6D97E5F4"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775DB1A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4C3A4F1F"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134FBF08" w14:textId="77777777" w:rsidR="00705D41" w:rsidRPr="0097679B" w:rsidRDefault="00705D41" w:rsidP="00705D41">
            <w:pPr>
              <w:pStyle w:val="tablecontents"/>
              <w:jc w:val="both"/>
              <w:rPr>
                <w:rFonts w:ascii="Arial" w:hAnsi="Arial" w:cs="Arial"/>
                <w:sz w:val="20"/>
                <w:szCs w:val="20"/>
                <w:lang w:eastAsia="en-GB"/>
              </w:rPr>
            </w:pPr>
            <w:r w:rsidRPr="0097679B">
              <w:rPr>
                <w:rFonts w:ascii="Arial" w:hAnsi="Arial" w:cs="Arial"/>
                <w:sz w:val="20"/>
                <w:szCs w:val="20"/>
                <w:lang w:eastAsia="en-GB"/>
              </w:rPr>
              <w:t>Concordance</w:t>
            </w:r>
          </w:p>
        </w:tc>
        <w:tc>
          <w:tcPr>
            <w:tcW w:w="2577" w:type="dxa"/>
            <w:gridSpan w:val="2"/>
            <w:tcBorders>
              <w:top w:val="nil"/>
              <w:left w:val="nil"/>
              <w:bottom w:val="nil"/>
              <w:right w:val="nil"/>
            </w:tcBorders>
            <w:shd w:val="clear" w:color="auto" w:fill="auto"/>
            <w:noWrap/>
            <w:vAlign w:val="bottom"/>
            <w:hideMark/>
          </w:tcPr>
          <w:p w14:paraId="756062C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0.8  (se = 0.04 )</w:t>
            </w:r>
          </w:p>
        </w:tc>
        <w:tc>
          <w:tcPr>
            <w:tcW w:w="1102" w:type="dxa"/>
            <w:tcBorders>
              <w:top w:val="nil"/>
              <w:left w:val="nil"/>
              <w:bottom w:val="nil"/>
              <w:right w:val="nil"/>
            </w:tcBorders>
            <w:shd w:val="clear" w:color="auto" w:fill="auto"/>
            <w:noWrap/>
            <w:vAlign w:val="bottom"/>
            <w:hideMark/>
          </w:tcPr>
          <w:p w14:paraId="0DBA7A6F"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45F7BDD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42A97006"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73FA41AF" w14:textId="77777777" w:rsidR="00705D41" w:rsidRPr="0097679B" w:rsidRDefault="00705D41" w:rsidP="00705D41">
            <w:pPr>
              <w:pStyle w:val="tablecontents"/>
              <w:jc w:val="both"/>
              <w:rPr>
                <w:rFonts w:ascii="Arial" w:hAnsi="Arial" w:cs="Arial"/>
                <w:sz w:val="20"/>
                <w:szCs w:val="20"/>
                <w:lang w:eastAsia="en-GB"/>
              </w:rPr>
            </w:pPr>
            <w:r w:rsidRPr="0097679B">
              <w:rPr>
                <w:rFonts w:ascii="Arial" w:hAnsi="Arial" w:cs="Arial"/>
                <w:sz w:val="20"/>
                <w:szCs w:val="20"/>
                <w:lang w:eastAsia="en-GB"/>
              </w:rPr>
              <w:t xml:space="preserve">Wald test            </w:t>
            </w:r>
          </w:p>
        </w:tc>
        <w:tc>
          <w:tcPr>
            <w:tcW w:w="3679" w:type="dxa"/>
            <w:gridSpan w:val="3"/>
            <w:tcBorders>
              <w:top w:val="nil"/>
              <w:left w:val="nil"/>
              <w:bottom w:val="nil"/>
              <w:right w:val="nil"/>
            </w:tcBorders>
            <w:shd w:val="clear" w:color="auto" w:fill="auto"/>
            <w:noWrap/>
            <w:vAlign w:val="bottom"/>
            <w:hideMark/>
          </w:tcPr>
          <w:p w14:paraId="62B6C637" w14:textId="1DF9F05C" w:rsidR="00705D41" w:rsidRPr="003348A2" w:rsidRDefault="00B420E0" w:rsidP="00715015">
            <w:pPr>
              <w:pStyle w:val="tablecontents"/>
              <w:rPr>
                <w:rFonts w:ascii="Arial" w:hAnsi="Arial" w:cs="Arial"/>
                <w:sz w:val="20"/>
                <w:szCs w:val="20"/>
                <w:vertAlign w:val="superscript"/>
                <w:lang w:eastAsia="en-GB"/>
              </w:rPr>
            </w:pPr>
            <w:r>
              <w:rPr>
                <w:rFonts w:ascii="Arial" w:hAnsi="Arial" w:cs="Arial"/>
                <w:sz w:val="20"/>
                <w:szCs w:val="20"/>
                <w:lang w:eastAsia="en-GB"/>
              </w:rPr>
              <w:t xml:space="preserve">= 58.88  on 5 df,   </w:t>
            </w:r>
            <w:r>
              <w:rPr>
                <w:rFonts w:ascii="Arial" w:hAnsi="Arial" w:cs="Arial"/>
                <w:sz w:val="20"/>
                <w:szCs w:val="20"/>
              </w:rPr>
              <w:t>p&lt;0.001</w:t>
            </w:r>
          </w:p>
        </w:tc>
        <w:tc>
          <w:tcPr>
            <w:tcW w:w="1995" w:type="dxa"/>
            <w:tcBorders>
              <w:top w:val="nil"/>
              <w:left w:val="nil"/>
              <w:bottom w:val="nil"/>
              <w:right w:val="single" w:sz="8" w:space="0" w:color="auto"/>
            </w:tcBorders>
            <w:shd w:val="clear" w:color="auto" w:fill="auto"/>
            <w:noWrap/>
            <w:vAlign w:val="bottom"/>
            <w:hideMark/>
          </w:tcPr>
          <w:p w14:paraId="18DF1EB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08A221FF"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793B7C74" w14:textId="58818ECA" w:rsidR="00705D41" w:rsidRPr="0097679B" w:rsidRDefault="00116F72" w:rsidP="00705D41">
            <w:pPr>
              <w:pStyle w:val="tablecontents"/>
              <w:jc w:val="both"/>
              <w:rPr>
                <w:rFonts w:ascii="Arial" w:hAnsi="Arial" w:cs="Arial"/>
                <w:sz w:val="20"/>
                <w:szCs w:val="20"/>
                <w:lang w:eastAsia="en-GB"/>
              </w:rPr>
            </w:pPr>
            <w:r>
              <w:rPr>
                <w:rFonts w:ascii="Arial" w:hAnsi="Arial" w:cs="Arial"/>
                <w:sz w:val="20"/>
                <w:szCs w:val="20"/>
                <w:lang w:eastAsia="en-GB"/>
              </w:rPr>
              <w:t>R</w:t>
            </w:r>
            <w:r>
              <w:rPr>
                <w:rFonts w:ascii="Arial" w:hAnsi="Arial" w:cs="Arial"/>
                <w:sz w:val="20"/>
                <w:szCs w:val="20"/>
                <w:vertAlign w:val="superscript"/>
                <w:lang w:eastAsia="en-GB"/>
              </w:rPr>
              <w:t>2</w:t>
            </w:r>
            <w:r w:rsidR="00705D41" w:rsidRPr="0097679B">
              <w:rPr>
                <w:rFonts w:ascii="Arial" w:hAnsi="Arial" w:cs="Arial"/>
                <w:sz w:val="20"/>
                <w:szCs w:val="20"/>
                <w:lang w:eastAsia="en-GB"/>
              </w:rPr>
              <w:t xml:space="preserve"> (mev)          </w:t>
            </w:r>
          </w:p>
        </w:tc>
        <w:tc>
          <w:tcPr>
            <w:tcW w:w="1500" w:type="dxa"/>
            <w:tcBorders>
              <w:top w:val="nil"/>
              <w:left w:val="nil"/>
              <w:bottom w:val="nil"/>
              <w:right w:val="nil"/>
            </w:tcBorders>
            <w:shd w:val="clear" w:color="auto" w:fill="auto"/>
            <w:noWrap/>
            <w:vAlign w:val="bottom"/>
            <w:hideMark/>
          </w:tcPr>
          <w:p w14:paraId="7A226C0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=0.61</w:t>
            </w:r>
          </w:p>
        </w:tc>
        <w:tc>
          <w:tcPr>
            <w:tcW w:w="1077" w:type="dxa"/>
            <w:tcBorders>
              <w:top w:val="nil"/>
              <w:left w:val="nil"/>
              <w:bottom w:val="nil"/>
              <w:right w:val="nil"/>
            </w:tcBorders>
            <w:shd w:val="clear" w:color="auto" w:fill="auto"/>
            <w:noWrap/>
            <w:vAlign w:val="bottom"/>
            <w:hideMark/>
          </w:tcPr>
          <w:p w14:paraId="1596DBA7"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5775556E"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4B5B4CE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25ACE16C" w14:textId="77777777" w:rsidTr="00705D41">
        <w:trPr>
          <w:trHeight w:val="300"/>
        </w:trPr>
        <w:tc>
          <w:tcPr>
            <w:tcW w:w="8074" w:type="dxa"/>
            <w:gridSpan w:val="5"/>
            <w:tcBorders>
              <w:top w:val="nil"/>
              <w:left w:val="single" w:sz="8" w:space="0" w:color="auto"/>
              <w:bottom w:val="nil"/>
              <w:right w:val="single" w:sz="8" w:space="0" w:color="auto"/>
            </w:tcBorders>
            <w:shd w:val="clear" w:color="auto" w:fill="auto"/>
            <w:noWrap/>
            <w:vAlign w:val="bottom"/>
            <w:hideMark/>
          </w:tcPr>
          <w:p w14:paraId="4EFEF293" w14:textId="77777777" w:rsidR="00705D41" w:rsidRPr="0097679B" w:rsidRDefault="00705D41" w:rsidP="00705D41">
            <w:pPr>
              <w:pStyle w:val="tablecontents"/>
              <w:jc w:val="both"/>
              <w:rPr>
                <w:rFonts w:ascii="Arial" w:hAnsi="Arial" w:cs="Arial"/>
                <w:sz w:val="20"/>
                <w:szCs w:val="20"/>
                <w:lang w:eastAsia="en-GB"/>
              </w:rPr>
            </w:pPr>
            <w:r w:rsidRPr="0097679B">
              <w:rPr>
                <w:rFonts w:ascii="Arial" w:hAnsi="Arial" w:cs="Arial"/>
                <w:sz w:val="20"/>
                <w:szCs w:val="20"/>
                <w:lang w:eastAsia="en-GB"/>
              </w:rPr>
              <w:t>n= 1814, number of events= 42   (54 observations missing)</w:t>
            </w:r>
          </w:p>
        </w:tc>
      </w:tr>
      <w:tr w:rsidR="00705D41" w:rsidRPr="0097679B" w14:paraId="57395630" w14:textId="77777777" w:rsidTr="00705D41">
        <w:trPr>
          <w:trHeight w:val="300"/>
        </w:trPr>
        <w:tc>
          <w:tcPr>
            <w:tcW w:w="8074" w:type="dxa"/>
            <w:gridSpan w:val="5"/>
            <w:tcBorders>
              <w:top w:val="single" w:sz="8" w:space="0" w:color="auto"/>
              <w:left w:val="single" w:sz="8" w:space="0" w:color="auto"/>
              <w:bottom w:val="nil"/>
              <w:right w:val="single" w:sz="8" w:space="0" w:color="auto"/>
            </w:tcBorders>
            <w:shd w:val="clear" w:color="auto" w:fill="auto"/>
            <w:noWrap/>
            <w:vAlign w:val="bottom"/>
            <w:hideMark/>
          </w:tcPr>
          <w:p w14:paraId="7450B4E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Model 3b - basal blood with oral sugar test insulin </w:t>
            </w:r>
          </w:p>
        </w:tc>
      </w:tr>
      <w:tr w:rsidR="00705D41" w:rsidRPr="0097679B" w14:paraId="0990DD7C"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4DAC5FE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Variable</w:t>
            </w:r>
          </w:p>
        </w:tc>
        <w:tc>
          <w:tcPr>
            <w:tcW w:w="1500" w:type="dxa"/>
            <w:tcBorders>
              <w:top w:val="nil"/>
              <w:left w:val="nil"/>
              <w:bottom w:val="nil"/>
              <w:right w:val="nil"/>
            </w:tcBorders>
            <w:shd w:val="clear" w:color="auto" w:fill="auto"/>
            <w:noWrap/>
            <w:vAlign w:val="bottom"/>
            <w:hideMark/>
          </w:tcPr>
          <w:p w14:paraId="68E8136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077" w:type="dxa"/>
            <w:tcBorders>
              <w:top w:val="nil"/>
              <w:left w:val="nil"/>
              <w:bottom w:val="nil"/>
              <w:right w:val="nil"/>
            </w:tcBorders>
            <w:shd w:val="clear" w:color="auto" w:fill="auto"/>
            <w:noWrap/>
            <w:vAlign w:val="bottom"/>
            <w:hideMark/>
          </w:tcPr>
          <w:p w14:paraId="2A3D6B9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1155BF3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995" w:type="dxa"/>
            <w:tcBorders>
              <w:top w:val="nil"/>
              <w:left w:val="nil"/>
              <w:bottom w:val="nil"/>
              <w:right w:val="single" w:sz="8" w:space="0" w:color="auto"/>
            </w:tcBorders>
            <w:shd w:val="clear" w:color="auto" w:fill="auto"/>
            <w:noWrap/>
            <w:vAlign w:val="bottom"/>
            <w:hideMark/>
          </w:tcPr>
          <w:p w14:paraId="2195C41A"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p=</w:t>
            </w:r>
          </w:p>
        </w:tc>
      </w:tr>
      <w:tr w:rsidR="00705D41" w:rsidRPr="0097679B" w14:paraId="7745F730"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158D8ED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adiponectin      </w:t>
            </w:r>
          </w:p>
        </w:tc>
        <w:tc>
          <w:tcPr>
            <w:tcW w:w="1500" w:type="dxa"/>
            <w:tcBorders>
              <w:top w:val="nil"/>
              <w:left w:val="nil"/>
              <w:bottom w:val="nil"/>
              <w:right w:val="nil"/>
            </w:tcBorders>
            <w:shd w:val="clear" w:color="auto" w:fill="auto"/>
            <w:noWrap/>
            <w:vAlign w:val="bottom"/>
            <w:hideMark/>
          </w:tcPr>
          <w:p w14:paraId="72AD180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0.94</w:t>
            </w:r>
          </w:p>
        </w:tc>
        <w:tc>
          <w:tcPr>
            <w:tcW w:w="1077" w:type="dxa"/>
            <w:tcBorders>
              <w:top w:val="nil"/>
              <w:left w:val="nil"/>
              <w:bottom w:val="nil"/>
              <w:right w:val="nil"/>
            </w:tcBorders>
            <w:shd w:val="clear" w:color="auto" w:fill="auto"/>
            <w:noWrap/>
            <w:vAlign w:val="bottom"/>
            <w:hideMark/>
          </w:tcPr>
          <w:p w14:paraId="757ED905"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0.90</w:t>
            </w:r>
          </w:p>
        </w:tc>
        <w:tc>
          <w:tcPr>
            <w:tcW w:w="1102" w:type="dxa"/>
            <w:tcBorders>
              <w:top w:val="nil"/>
              <w:left w:val="nil"/>
              <w:bottom w:val="nil"/>
              <w:right w:val="nil"/>
            </w:tcBorders>
            <w:shd w:val="clear" w:color="auto" w:fill="auto"/>
            <w:noWrap/>
            <w:vAlign w:val="bottom"/>
            <w:hideMark/>
          </w:tcPr>
          <w:p w14:paraId="1E587BFF"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0.98</w:t>
            </w:r>
          </w:p>
        </w:tc>
        <w:tc>
          <w:tcPr>
            <w:tcW w:w="1995" w:type="dxa"/>
            <w:tcBorders>
              <w:top w:val="nil"/>
              <w:left w:val="nil"/>
              <w:bottom w:val="nil"/>
              <w:right w:val="single" w:sz="8" w:space="0" w:color="auto"/>
            </w:tcBorders>
            <w:shd w:val="clear" w:color="auto" w:fill="auto"/>
            <w:noWrap/>
            <w:vAlign w:val="bottom"/>
            <w:hideMark/>
          </w:tcPr>
          <w:p w14:paraId="43999DC2" w14:textId="6E4DC247" w:rsidR="00705D41" w:rsidRPr="0097679B" w:rsidRDefault="00B420E0" w:rsidP="00705D41">
            <w:pPr>
              <w:pStyle w:val="tablecontents"/>
              <w:rPr>
                <w:rFonts w:ascii="Arial" w:hAnsi="Arial" w:cs="Arial"/>
                <w:sz w:val="20"/>
                <w:szCs w:val="20"/>
                <w:lang w:eastAsia="en-GB"/>
              </w:rPr>
            </w:pPr>
            <w:r>
              <w:rPr>
                <w:rFonts w:ascii="Arial" w:hAnsi="Arial" w:cs="Arial"/>
                <w:sz w:val="20"/>
                <w:szCs w:val="20"/>
              </w:rPr>
              <w:t>&lt;0.001</w:t>
            </w:r>
            <w:r w:rsidR="00705D41" w:rsidRPr="0097679B">
              <w:rPr>
                <w:rFonts w:ascii="Arial" w:hAnsi="Arial" w:cs="Arial"/>
                <w:sz w:val="20"/>
                <w:szCs w:val="20"/>
                <w:lang w:eastAsia="en-GB"/>
              </w:rPr>
              <w:t xml:space="preserve"> </w:t>
            </w:r>
          </w:p>
        </w:tc>
      </w:tr>
      <w:tr w:rsidR="00705D41" w:rsidRPr="0097679B" w14:paraId="3728E0AF"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5228D2D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glucose          </w:t>
            </w:r>
          </w:p>
        </w:tc>
        <w:tc>
          <w:tcPr>
            <w:tcW w:w="1500" w:type="dxa"/>
            <w:tcBorders>
              <w:top w:val="nil"/>
              <w:left w:val="nil"/>
              <w:bottom w:val="nil"/>
              <w:right w:val="nil"/>
            </w:tcBorders>
            <w:shd w:val="clear" w:color="auto" w:fill="auto"/>
            <w:noWrap/>
            <w:vAlign w:val="bottom"/>
            <w:hideMark/>
          </w:tcPr>
          <w:p w14:paraId="032E4DD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0.97</w:t>
            </w:r>
          </w:p>
        </w:tc>
        <w:tc>
          <w:tcPr>
            <w:tcW w:w="1077" w:type="dxa"/>
            <w:tcBorders>
              <w:top w:val="nil"/>
              <w:left w:val="nil"/>
              <w:bottom w:val="nil"/>
              <w:right w:val="nil"/>
            </w:tcBorders>
            <w:shd w:val="clear" w:color="auto" w:fill="auto"/>
            <w:noWrap/>
            <w:vAlign w:val="bottom"/>
            <w:hideMark/>
          </w:tcPr>
          <w:p w14:paraId="226C032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0.66</w:t>
            </w:r>
          </w:p>
        </w:tc>
        <w:tc>
          <w:tcPr>
            <w:tcW w:w="1102" w:type="dxa"/>
            <w:tcBorders>
              <w:top w:val="nil"/>
              <w:left w:val="nil"/>
              <w:bottom w:val="nil"/>
              <w:right w:val="nil"/>
            </w:tcBorders>
            <w:shd w:val="clear" w:color="auto" w:fill="auto"/>
            <w:noWrap/>
            <w:vAlign w:val="bottom"/>
            <w:hideMark/>
          </w:tcPr>
          <w:p w14:paraId="24C09EF2"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1.43</w:t>
            </w:r>
          </w:p>
        </w:tc>
        <w:tc>
          <w:tcPr>
            <w:tcW w:w="1995" w:type="dxa"/>
            <w:tcBorders>
              <w:top w:val="nil"/>
              <w:left w:val="nil"/>
              <w:bottom w:val="nil"/>
              <w:right w:val="single" w:sz="8" w:space="0" w:color="auto"/>
            </w:tcBorders>
            <w:shd w:val="clear" w:color="auto" w:fill="auto"/>
            <w:noWrap/>
            <w:vAlign w:val="bottom"/>
            <w:hideMark/>
          </w:tcPr>
          <w:p w14:paraId="0C9E7CDD" w14:textId="485DE9E3" w:rsidR="00705D41" w:rsidRPr="0097679B" w:rsidRDefault="003348A2" w:rsidP="00705D41">
            <w:pPr>
              <w:pStyle w:val="tablecontents"/>
              <w:rPr>
                <w:rFonts w:ascii="Arial" w:hAnsi="Arial" w:cs="Arial"/>
                <w:sz w:val="20"/>
                <w:szCs w:val="20"/>
                <w:lang w:eastAsia="en-GB"/>
              </w:rPr>
            </w:pPr>
            <w:r>
              <w:rPr>
                <w:rFonts w:ascii="Arial" w:hAnsi="Arial" w:cs="Arial"/>
                <w:sz w:val="20"/>
                <w:szCs w:val="20"/>
                <w:lang w:eastAsia="en-GB"/>
              </w:rPr>
              <w:t>0.9</w:t>
            </w:r>
          </w:p>
        </w:tc>
      </w:tr>
      <w:tr w:rsidR="00705D41" w:rsidRPr="0097679B" w14:paraId="1D776664"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36406E78"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triglycerides   </w:t>
            </w:r>
          </w:p>
        </w:tc>
        <w:tc>
          <w:tcPr>
            <w:tcW w:w="1500" w:type="dxa"/>
            <w:tcBorders>
              <w:top w:val="nil"/>
              <w:left w:val="nil"/>
              <w:bottom w:val="nil"/>
              <w:right w:val="nil"/>
            </w:tcBorders>
            <w:shd w:val="clear" w:color="auto" w:fill="auto"/>
            <w:noWrap/>
            <w:vAlign w:val="bottom"/>
            <w:hideMark/>
          </w:tcPr>
          <w:p w14:paraId="60DAC3B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0.96</w:t>
            </w:r>
          </w:p>
        </w:tc>
        <w:tc>
          <w:tcPr>
            <w:tcW w:w="1077" w:type="dxa"/>
            <w:tcBorders>
              <w:top w:val="nil"/>
              <w:left w:val="nil"/>
              <w:bottom w:val="nil"/>
              <w:right w:val="nil"/>
            </w:tcBorders>
            <w:shd w:val="clear" w:color="auto" w:fill="auto"/>
            <w:noWrap/>
            <w:vAlign w:val="bottom"/>
            <w:hideMark/>
          </w:tcPr>
          <w:p w14:paraId="4393205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0.31</w:t>
            </w:r>
          </w:p>
        </w:tc>
        <w:tc>
          <w:tcPr>
            <w:tcW w:w="1102" w:type="dxa"/>
            <w:tcBorders>
              <w:top w:val="nil"/>
              <w:left w:val="nil"/>
              <w:bottom w:val="nil"/>
              <w:right w:val="nil"/>
            </w:tcBorders>
            <w:shd w:val="clear" w:color="auto" w:fill="auto"/>
            <w:noWrap/>
            <w:vAlign w:val="bottom"/>
            <w:hideMark/>
          </w:tcPr>
          <w:p w14:paraId="7E4B9F4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2.96</w:t>
            </w:r>
          </w:p>
        </w:tc>
        <w:tc>
          <w:tcPr>
            <w:tcW w:w="1995" w:type="dxa"/>
            <w:tcBorders>
              <w:top w:val="nil"/>
              <w:left w:val="nil"/>
              <w:bottom w:val="nil"/>
              <w:right w:val="single" w:sz="8" w:space="0" w:color="auto"/>
            </w:tcBorders>
            <w:shd w:val="clear" w:color="auto" w:fill="auto"/>
            <w:noWrap/>
            <w:vAlign w:val="bottom"/>
            <w:hideMark/>
          </w:tcPr>
          <w:p w14:paraId="362AA7E2" w14:textId="5FE31C21" w:rsidR="00705D41" w:rsidRPr="0097679B" w:rsidRDefault="005551AB" w:rsidP="00705D41">
            <w:pPr>
              <w:pStyle w:val="tablecontents"/>
              <w:rPr>
                <w:rFonts w:ascii="Arial" w:hAnsi="Arial" w:cs="Arial"/>
                <w:sz w:val="20"/>
                <w:szCs w:val="20"/>
                <w:lang w:eastAsia="en-GB"/>
              </w:rPr>
            </w:pPr>
            <w:r>
              <w:rPr>
                <w:rFonts w:ascii="Arial" w:hAnsi="Arial" w:cs="Arial"/>
                <w:sz w:val="20"/>
                <w:szCs w:val="20"/>
                <w:lang w:eastAsia="en-GB"/>
              </w:rPr>
              <w:t>&gt;0.9</w:t>
            </w:r>
          </w:p>
        </w:tc>
      </w:tr>
      <w:tr w:rsidR="00705D41" w:rsidRPr="0097679B" w14:paraId="7A5BDCAA"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089FC347" w14:textId="71FDD3B8"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ACTH pos</w:t>
            </w:r>
            <w:r w:rsidR="005E3EC1" w:rsidRPr="0097679B">
              <w:rPr>
                <w:rFonts w:ascii="Arial" w:hAnsi="Arial" w:cs="Arial"/>
                <w:sz w:val="20"/>
                <w:szCs w:val="20"/>
                <w:lang w:eastAsia="en-GB"/>
              </w:rPr>
              <w:t>itive</w:t>
            </w:r>
            <w:r w:rsidRPr="0097679B">
              <w:rPr>
                <w:rFonts w:ascii="Arial" w:hAnsi="Arial" w:cs="Arial"/>
                <w:sz w:val="20"/>
                <w:szCs w:val="20"/>
                <w:lang w:eastAsia="en-GB"/>
              </w:rPr>
              <w:t xml:space="preserve">         </w:t>
            </w:r>
          </w:p>
        </w:tc>
        <w:tc>
          <w:tcPr>
            <w:tcW w:w="1500" w:type="dxa"/>
            <w:tcBorders>
              <w:top w:val="nil"/>
              <w:left w:val="nil"/>
              <w:bottom w:val="nil"/>
              <w:right w:val="nil"/>
            </w:tcBorders>
            <w:shd w:val="clear" w:color="auto" w:fill="auto"/>
            <w:noWrap/>
            <w:vAlign w:val="bottom"/>
            <w:hideMark/>
          </w:tcPr>
          <w:p w14:paraId="7413301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0.42</w:t>
            </w:r>
          </w:p>
        </w:tc>
        <w:tc>
          <w:tcPr>
            <w:tcW w:w="1077" w:type="dxa"/>
            <w:tcBorders>
              <w:top w:val="nil"/>
              <w:left w:val="nil"/>
              <w:bottom w:val="nil"/>
              <w:right w:val="nil"/>
            </w:tcBorders>
            <w:shd w:val="clear" w:color="auto" w:fill="auto"/>
            <w:noWrap/>
            <w:vAlign w:val="bottom"/>
            <w:hideMark/>
          </w:tcPr>
          <w:p w14:paraId="1F27DBA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0.15</w:t>
            </w:r>
          </w:p>
        </w:tc>
        <w:tc>
          <w:tcPr>
            <w:tcW w:w="1102" w:type="dxa"/>
            <w:tcBorders>
              <w:top w:val="nil"/>
              <w:left w:val="nil"/>
              <w:bottom w:val="nil"/>
              <w:right w:val="nil"/>
            </w:tcBorders>
            <w:shd w:val="clear" w:color="auto" w:fill="auto"/>
            <w:noWrap/>
            <w:vAlign w:val="bottom"/>
            <w:hideMark/>
          </w:tcPr>
          <w:p w14:paraId="5721BF9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1.15</w:t>
            </w:r>
          </w:p>
        </w:tc>
        <w:tc>
          <w:tcPr>
            <w:tcW w:w="1995" w:type="dxa"/>
            <w:tcBorders>
              <w:top w:val="nil"/>
              <w:left w:val="nil"/>
              <w:bottom w:val="nil"/>
              <w:right w:val="single" w:sz="8" w:space="0" w:color="auto"/>
            </w:tcBorders>
            <w:shd w:val="clear" w:color="auto" w:fill="auto"/>
            <w:noWrap/>
            <w:vAlign w:val="bottom"/>
            <w:hideMark/>
          </w:tcPr>
          <w:p w14:paraId="44BF4F8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0.09</w:t>
            </w:r>
          </w:p>
        </w:tc>
      </w:tr>
      <w:tr w:rsidR="00705D41" w:rsidRPr="0097679B" w14:paraId="56EEE7E1"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312D5D0B" w14:textId="2ACBE548" w:rsidR="00705D41" w:rsidRPr="0097679B" w:rsidRDefault="005E3EC1" w:rsidP="00705D41">
            <w:pPr>
              <w:pStyle w:val="tablecontents"/>
              <w:rPr>
                <w:rFonts w:ascii="Arial" w:hAnsi="Arial" w:cs="Arial"/>
                <w:sz w:val="20"/>
                <w:szCs w:val="20"/>
                <w:lang w:eastAsia="en-GB"/>
              </w:rPr>
            </w:pPr>
            <w:r w:rsidRPr="0097679B">
              <w:rPr>
                <w:rFonts w:ascii="Arial" w:hAnsi="Arial" w:cs="Arial"/>
                <w:sz w:val="20"/>
                <w:szCs w:val="20"/>
                <w:lang w:eastAsia="en-GB"/>
              </w:rPr>
              <w:t>i</w:t>
            </w:r>
            <w:r w:rsidR="00116811">
              <w:rPr>
                <w:rFonts w:ascii="Arial" w:hAnsi="Arial" w:cs="Arial"/>
                <w:sz w:val="20"/>
                <w:szCs w:val="20"/>
                <w:lang w:eastAsia="en-GB"/>
              </w:rPr>
              <w:t>nsulinT60</w:t>
            </w:r>
            <w:r w:rsidR="00116811">
              <w:rPr>
                <w:rFonts w:ascii="Arial" w:hAnsi="Arial" w:cs="Arial"/>
                <w:sz w:val="20"/>
                <w:szCs w:val="20"/>
                <w:vertAlign w:val="subscript"/>
                <w:lang w:eastAsia="en-GB"/>
              </w:rPr>
              <w:t>10</w:t>
            </w:r>
            <w:r w:rsidR="00705D41" w:rsidRPr="0097679B">
              <w:rPr>
                <w:rFonts w:ascii="Arial" w:hAnsi="Arial" w:cs="Arial"/>
                <w:sz w:val="20"/>
                <w:szCs w:val="20"/>
                <w:lang w:eastAsia="en-GB"/>
              </w:rPr>
              <w:t xml:space="preserve">   </w:t>
            </w:r>
          </w:p>
        </w:tc>
        <w:tc>
          <w:tcPr>
            <w:tcW w:w="1500" w:type="dxa"/>
            <w:tcBorders>
              <w:top w:val="nil"/>
              <w:left w:val="nil"/>
              <w:bottom w:val="nil"/>
              <w:right w:val="nil"/>
            </w:tcBorders>
            <w:shd w:val="clear" w:color="auto" w:fill="auto"/>
            <w:noWrap/>
            <w:vAlign w:val="bottom"/>
            <w:hideMark/>
          </w:tcPr>
          <w:p w14:paraId="34574F6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1.07</w:t>
            </w:r>
          </w:p>
        </w:tc>
        <w:tc>
          <w:tcPr>
            <w:tcW w:w="1077" w:type="dxa"/>
            <w:tcBorders>
              <w:top w:val="nil"/>
              <w:left w:val="nil"/>
              <w:bottom w:val="nil"/>
              <w:right w:val="nil"/>
            </w:tcBorders>
            <w:shd w:val="clear" w:color="auto" w:fill="auto"/>
            <w:noWrap/>
            <w:vAlign w:val="bottom"/>
            <w:hideMark/>
          </w:tcPr>
          <w:p w14:paraId="148F0009"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1.05</w:t>
            </w:r>
          </w:p>
        </w:tc>
        <w:tc>
          <w:tcPr>
            <w:tcW w:w="1102" w:type="dxa"/>
            <w:tcBorders>
              <w:top w:val="nil"/>
              <w:left w:val="nil"/>
              <w:bottom w:val="nil"/>
              <w:right w:val="nil"/>
            </w:tcBorders>
            <w:shd w:val="clear" w:color="auto" w:fill="auto"/>
            <w:noWrap/>
            <w:vAlign w:val="bottom"/>
            <w:hideMark/>
          </w:tcPr>
          <w:p w14:paraId="4D012146"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1.09</w:t>
            </w:r>
          </w:p>
        </w:tc>
        <w:tc>
          <w:tcPr>
            <w:tcW w:w="1995" w:type="dxa"/>
            <w:tcBorders>
              <w:top w:val="nil"/>
              <w:left w:val="nil"/>
              <w:bottom w:val="nil"/>
              <w:right w:val="single" w:sz="8" w:space="0" w:color="auto"/>
            </w:tcBorders>
            <w:shd w:val="clear" w:color="auto" w:fill="auto"/>
            <w:noWrap/>
            <w:vAlign w:val="bottom"/>
            <w:hideMark/>
          </w:tcPr>
          <w:p w14:paraId="3F6669A0" w14:textId="67CD2A06" w:rsidR="00705D41" w:rsidRPr="0097679B" w:rsidRDefault="00B420E0" w:rsidP="00715015">
            <w:pPr>
              <w:pStyle w:val="tablecontents"/>
              <w:rPr>
                <w:rFonts w:ascii="Arial" w:hAnsi="Arial" w:cs="Arial"/>
                <w:sz w:val="20"/>
                <w:szCs w:val="20"/>
                <w:lang w:eastAsia="en-GB"/>
              </w:rPr>
            </w:pPr>
            <w:r>
              <w:rPr>
                <w:rFonts w:ascii="Arial" w:hAnsi="Arial" w:cs="Arial"/>
                <w:sz w:val="20"/>
                <w:szCs w:val="20"/>
              </w:rPr>
              <w:t>&lt;0.001</w:t>
            </w:r>
          </w:p>
        </w:tc>
      </w:tr>
      <w:tr w:rsidR="00705D41" w:rsidRPr="0097679B" w14:paraId="6149E526"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26428AE4"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0" w:type="dxa"/>
            <w:tcBorders>
              <w:top w:val="nil"/>
              <w:left w:val="nil"/>
              <w:bottom w:val="nil"/>
              <w:right w:val="nil"/>
            </w:tcBorders>
            <w:shd w:val="clear" w:color="auto" w:fill="auto"/>
            <w:noWrap/>
            <w:vAlign w:val="bottom"/>
            <w:hideMark/>
          </w:tcPr>
          <w:p w14:paraId="61D712BC" w14:textId="77777777" w:rsidR="00705D41" w:rsidRPr="0097679B" w:rsidRDefault="00705D41" w:rsidP="00705D41">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12F6A232"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1AB92139"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4B3C3F0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1B9EBD25"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6AE8D033"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Concordance</w:t>
            </w:r>
          </w:p>
        </w:tc>
        <w:tc>
          <w:tcPr>
            <w:tcW w:w="2577" w:type="dxa"/>
            <w:gridSpan w:val="2"/>
            <w:tcBorders>
              <w:top w:val="nil"/>
              <w:left w:val="nil"/>
              <w:bottom w:val="nil"/>
              <w:right w:val="nil"/>
            </w:tcBorders>
            <w:shd w:val="clear" w:color="auto" w:fill="auto"/>
            <w:noWrap/>
            <w:vAlign w:val="bottom"/>
            <w:hideMark/>
          </w:tcPr>
          <w:p w14:paraId="008815DD"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0.837  (se = 0.038 )</w:t>
            </w:r>
          </w:p>
        </w:tc>
        <w:tc>
          <w:tcPr>
            <w:tcW w:w="1102" w:type="dxa"/>
            <w:tcBorders>
              <w:top w:val="nil"/>
              <w:left w:val="nil"/>
              <w:bottom w:val="nil"/>
              <w:right w:val="nil"/>
            </w:tcBorders>
            <w:shd w:val="clear" w:color="auto" w:fill="auto"/>
            <w:noWrap/>
            <w:vAlign w:val="bottom"/>
            <w:hideMark/>
          </w:tcPr>
          <w:p w14:paraId="7FBB70F6"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54E9779E"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687E3868"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33CAF8A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Wald test            </w:t>
            </w:r>
          </w:p>
        </w:tc>
        <w:tc>
          <w:tcPr>
            <w:tcW w:w="3679" w:type="dxa"/>
            <w:gridSpan w:val="3"/>
            <w:tcBorders>
              <w:top w:val="nil"/>
              <w:left w:val="nil"/>
              <w:bottom w:val="nil"/>
              <w:right w:val="nil"/>
            </w:tcBorders>
            <w:shd w:val="clear" w:color="auto" w:fill="auto"/>
            <w:noWrap/>
            <w:vAlign w:val="bottom"/>
            <w:hideMark/>
          </w:tcPr>
          <w:p w14:paraId="0CB0F735" w14:textId="25F5F8BC" w:rsidR="00705D41" w:rsidRPr="00BB7B3E" w:rsidRDefault="00BB7B3E" w:rsidP="00715015">
            <w:pPr>
              <w:pStyle w:val="tablecontents"/>
              <w:rPr>
                <w:rFonts w:ascii="Arial" w:hAnsi="Arial" w:cs="Arial"/>
                <w:sz w:val="20"/>
                <w:szCs w:val="20"/>
                <w:vertAlign w:val="superscript"/>
                <w:lang w:eastAsia="en-GB"/>
              </w:rPr>
            </w:pPr>
            <w:r>
              <w:rPr>
                <w:rFonts w:ascii="Arial" w:hAnsi="Arial" w:cs="Arial"/>
                <w:sz w:val="20"/>
                <w:szCs w:val="20"/>
                <w:lang w:eastAsia="en-GB"/>
              </w:rPr>
              <w:t>= 98.11  on 5 df,   p=&lt;</w:t>
            </w:r>
            <w:r w:rsidR="00705D41" w:rsidRPr="0097679B">
              <w:rPr>
                <w:rFonts w:ascii="Arial" w:hAnsi="Arial" w:cs="Arial"/>
                <w:sz w:val="20"/>
                <w:szCs w:val="20"/>
                <w:lang w:eastAsia="en-GB"/>
              </w:rPr>
              <w:t>2</w:t>
            </w:r>
            <w:r w:rsidR="00715015">
              <w:rPr>
                <w:rFonts w:ascii="Arial" w:hAnsi="Arial" w:cs="Arial"/>
                <w:sz w:val="20"/>
                <w:szCs w:val="20"/>
                <w:lang w:eastAsia="en-GB"/>
              </w:rPr>
              <w:t>x10</w:t>
            </w:r>
            <w:r w:rsidR="00715015">
              <w:rPr>
                <w:rFonts w:ascii="Arial" w:hAnsi="Arial" w:cs="Arial"/>
                <w:sz w:val="20"/>
                <w:szCs w:val="20"/>
                <w:vertAlign w:val="superscript"/>
                <w:lang w:eastAsia="en-GB"/>
              </w:rPr>
              <w:t>-16</w:t>
            </w:r>
          </w:p>
        </w:tc>
        <w:tc>
          <w:tcPr>
            <w:tcW w:w="1995" w:type="dxa"/>
            <w:tcBorders>
              <w:top w:val="nil"/>
              <w:left w:val="nil"/>
              <w:bottom w:val="nil"/>
              <w:right w:val="single" w:sz="8" w:space="0" w:color="auto"/>
            </w:tcBorders>
            <w:shd w:val="clear" w:color="auto" w:fill="auto"/>
            <w:noWrap/>
            <w:vAlign w:val="bottom"/>
            <w:hideMark/>
          </w:tcPr>
          <w:p w14:paraId="7C08610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311B7B59"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4D46CDEA" w14:textId="598124D9" w:rsidR="00705D41" w:rsidRPr="0097679B" w:rsidRDefault="00116F72" w:rsidP="00705D41">
            <w:pPr>
              <w:pStyle w:val="tablecontents"/>
              <w:rPr>
                <w:rFonts w:ascii="Arial" w:hAnsi="Arial" w:cs="Arial"/>
                <w:sz w:val="20"/>
                <w:szCs w:val="20"/>
                <w:lang w:eastAsia="en-GB"/>
              </w:rPr>
            </w:pPr>
            <w:r>
              <w:rPr>
                <w:rFonts w:ascii="Arial" w:hAnsi="Arial" w:cs="Arial"/>
                <w:sz w:val="20"/>
                <w:szCs w:val="20"/>
                <w:lang w:eastAsia="en-GB"/>
              </w:rPr>
              <w:t>R</w:t>
            </w:r>
            <w:r>
              <w:rPr>
                <w:rFonts w:ascii="Arial" w:hAnsi="Arial" w:cs="Arial"/>
                <w:sz w:val="20"/>
                <w:szCs w:val="20"/>
                <w:vertAlign w:val="superscript"/>
                <w:lang w:eastAsia="en-GB"/>
              </w:rPr>
              <w:t>2</w:t>
            </w:r>
            <w:r w:rsidR="00705D41" w:rsidRPr="0097679B">
              <w:rPr>
                <w:rFonts w:ascii="Arial" w:hAnsi="Arial" w:cs="Arial"/>
                <w:sz w:val="20"/>
                <w:szCs w:val="20"/>
                <w:lang w:eastAsia="en-GB"/>
              </w:rPr>
              <w:t xml:space="preserve"> (mev)          </w:t>
            </w:r>
          </w:p>
        </w:tc>
        <w:tc>
          <w:tcPr>
            <w:tcW w:w="1500" w:type="dxa"/>
            <w:tcBorders>
              <w:top w:val="nil"/>
              <w:left w:val="nil"/>
              <w:bottom w:val="nil"/>
              <w:right w:val="nil"/>
            </w:tcBorders>
            <w:shd w:val="clear" w:color="auto" w:fill="auto"/>
            <w:noWrap/>
            <w:vAlign w:val="bottom"/>
            <w:hideMark/>
          </w:tcPr>
          <w:p w14:paraId="30566592" w14:textId="4C7A76FE"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w:t>
            </w:r>
            <w:r w:rsidR="00223BF4">
              <w:rPr>
                <w:rFonts w:ascii="Arial" w:hAnsi="Arial" w:cs="Arial"/>
                <w:sz w:val="20"/>
                <w:szCs w:val="20"/>
                <w:lang w:eastAsia="en-GB"/>
              </w:rPr>
              <w:t xml:space="preserve"> </w:t>
            </w:r>
            <w:r w:rsidRPr="0097679B">
              <w:rPr>
                <w:rFonts w:ascii="Arial" w:hAnsi="Arial" w:cs="Arial"/>
                <w:sz w:val="20"/>
                <w:szCs w:val="20"/>
                <w:lang w:eastAsia="en-GB"/>
              </w:rPr>
              <w:t>0.79</w:t>
            </w:r>
          </w:p>
        </w:tc>
        <w:tc>
          <w:tcPr>
            <w:tcW w:w="1077" w:type="dxa"/>
            <w:tcBorders>
              <w:top w:val="nil"/>
              <w:left w:val="nil"/>
              <w:bottom w:val="nil"/>
              <w:right w:val="nil"/>
            </w:tcBorders>
            <w:shd w:val="clear" w:color="auto" w:fill="auto"/>
            <w:noWrap/>
            <w:vAlign w:val="bottom"/>
            <w:hideMark/>
          </w:tcPr>
          <w:p w14:paraId="7D836A87"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359AAABD"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0994EB81"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0C94A2E0" w14:textId="77777777" w:rsidTr="00705D41">
        <w:trPr>
          <w:trHeight w:val="300"/>
        </w:trPr>
        <w:tc>
          <w:tcPr>
            <w:tcW w:w="2400" w:type="dxa"/>
            <w:tcBorders>
              <w:top w:val="nil"/>
              <w:left w:val="single" w:sz="8" w:space="0" w:color="auto"/>
              <w:bottom w:val="nil"/>
              <w:right w:val="nil"/>
            </w:tcBorders>
            <w:shd w:val="clear" w:color="auto" w:fill="auto"/>
            <w:noWrap/>
            <w:vAlign w:val="bottom"/>
            <w:hideMark/>
          </w:tcPr>
          <w:p w14:paraId="0657C3C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0" w:type="dxa"/>
            <w:tcBorders>
              <w:top w:val="nil"/>
              <w:left w:val="nil"/>
              <w:bottom w:val="nil"/>
              <w:right w:val="nil"/>
            </w:tcBorders>
            <w:shd w:val="clear" w:color="auto" w:fill="auto"/>
            <w:noWrap/>
            <w:vAlign w:val="bottom"/>
            <w:hideMark/>
          </w:tcPr>
          <w:p w14:paraId="6FFD5BFD" w14:textId="77777777" w:rsidR="00705D41" w:rsidRPr="0097679B" w:rsidRDefault="00705D41" w:rsidP="00705D41">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65BEDE70" w14:textId="77777777" w:rsidR="00705D41" w:rsidRPr="0097679B" w:rsidRDefault="00705D41" w:rsidP="00705D41">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66684D52" w14:textId="77777777" w:rsidR="00705D41" w:rsidRPr="0097679B" w:rsidRDefault="00705D41" w:rsidP="00705D41">
            <w:pPr>
              <w:pStyle w:val="tablecontents"/>
              <w:rPr>
                <w:rFonts w:ascii="Arial" w:hAnsi="Arial" w:cs="Arial"/>
                <w:sz w:val="20"/>
                <w:szCs w:val="20"/>
                <w:lang w:eastAsia="en-GB"/>
              </w:rPr>
            </w:pPr>
          </w:p>
        </w:tc>
        <w:tc>
          <w:tcPr>
            <w:tcW w:w="1995" w:type="dxa"/>
            <w:tcBorders>
              <w:top w:val="nil"/>
              <w:left w:val="nil"/>
              <w:bottom w:val="nil"/>
              <w:right w:val="single" w:sz="8" w:space="0" w:color="auto"/>
            </w:tcBorders>
            <w:shd w:val="clear" w:color="auto" w:fill="auto"/>
            <w:noWrap/>
            <w:vAlign w:val="bottom"/>
            <w:hideMark/>
          </w:tcPr>
          <w:p w14:paraId="4A6B2C70"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w:t>
            </w:r>
          </w:p>
        </w:tc>
      </w:tr>
      <w:tr w:rsidR="00705D41" w:rsidRPr="0097679B" w14:paraId="553BAD87" w14:textId="77777777" w:rsidTr="00705D41">
        <w:trPr>
          <w:trHeight w:val="300"/>
        </w:trPr>
        <w:tc>
          <w:tcPr>
            <w:tcW w:w="8074" w:type="dxa"/>
            <w:gridSpan w:val="5"/>
            <w:tcBorders>
              <w:top w:val="nil"/>
              <w:left w:val="single" w:sz="8" w:space="0" w:color="auto"/>
              <w:bottom w:val="single" w:sz="4" w:space="0" w:color="auto"/>
              <w:right w:val="single" w:sz="8" w:space="0" w:color="auto"/>
            </w:tcBorders>
            <w:shd w:val="clear" w:color="auto" w:fill="auto"/>
            <w:noWrap/>
            <w:vAlign w:val="bottom"/>
            <w:hideMark/>
          </w:tcPr>
          <w:p w14:paraId="3D392B37" w14:textId="77777777" w:rsidR="00705D41" w:rsidRPr="0097679B" w:rsidRDefault="00705D41" w:rsidP="00705D41">
            <w:pPr>
              <w:pStyle w:val="tablecontents"/>
              <w:rPr>
                <w:rFonts w:ascii="Arial" w:hAnsi="Arial" w:cs="Arial"/>
                <w:sz w:val="20"/>
                <w:szCs w:val="20"/>
                <w:lang w:eastAsia="en-GB"/>
              </w:rPr>
            </w:pPr>
            <w:r w:rsidRPr="0097679B">
              <w:rPr>
                <w:rFonts w:ascii="Arial" w:hAnsi="Arial" w:cs="Arial"/>
                <w:sz w:val="20"/>
                <w:szCs w:val="20"/>
                <w:lang w:eastAsia="en-GB"/>
              </w:rPr>
              <w:t xml:space="preserve">  n= 1801, number of events= 42 (67 observations missing) </w:t>
            </w:r>
          </w:p>
        </w:tc>
      </w:tr>
    </w:tbl>
    <w:p w14:paraId="6D7CF7FF" w14:textId="77777777" w:rsidR="00705D41" w:rsidRPr="0097679B" w:rsidRDefault="00705D41" w:rsidP="00705D41">
      <w:pPr>
        <w:rPr>
          <w:rFonts w:ascii="Arial" w:hAnsi="Arial" w:cs="Arial"/>
          <w:sz w:val="20"/>
          <w:szCs w:val="20"/>
        </w:rPr>
      </w:pPr>
    </w:p>
    <w:p w14:paraId="6E42D750" w14:textId="05038AC0" w:rsidR="00AA49D3" w:rsidRPr="0097679B" w:rsidRDefault="00AA49D3">
      <w:pPr>
        <w:rPr>
          <w:rFonts w:ascii="Arial" w:hAnsi="Arial" w:cs="Arial"/>
          <w:sz w:val="20"/>
          <w:szCs w:val="20"/>
        </w:rPr>
      </w:pPr>
      <w:r w:rsidRPr="0097679B">
        <w:rPr>
          <w:rFonts w:ascii="Arial" w:hAnsi="Arial" w:cs="Arial"/>
          <w:sz w:val="20"/>
          <w:szCs w:val="20"/>
        </w:rPr>
        <w:br w:type="page"/>
      </w:r>
    </w:p>
    <w:p w14:paraId="7704AD41" w14:textId="3E941325" w:rsidR="00AA49D3" w:rsidRPr="0097679B" w:rsidRDefault="00AA49D3" w:rsidP="00AA49D3">
      <w:pPr>
        <w:spacing w:line="480" w:lineRule="auto"/>
        <w:contextualSpacing/>
        <w:rPr>
          <w:rFonts w:ascii="Arial" w:hAnsi="Arial" w:cs="Arial"/>
          <w:sz w:val="20"/>
          <w:szCs w:val="20"/>
        </w:rPr>
      </w:pPr>
      <w:bookmarkStart w:id="6" w:name="_Ref56814057"/>
      <w:bookmarkStart w:id="7" w:name="_Toc60537352"/>
      <w:bookmarkStart w:id="8" w:name="_Toc65624492"/>
      <w:r w:rsidRPr="0097679B">
        <w:rPr>
          <w:rFonts w:ascii="Arial" w:hAnsi="Arial" w:cs="Arial"/>
          <w:sz w:val="20"/>
          <w:szCs w:val="20"/>
        </w:rPr>
        <w:lastRenderedPageBreak/>
        <w:t>Table</w:t>
      </w:r>
      <w:bookmarkEnd w:id="6"/>
      <w:r w:rsidRPr="0097679B">
        <w:rPr>
          <w:rFonts w:ascii="Arial" w:hAnsi="Arial" w:cs="Arial"/>
          <w:sz w:val="20"/>
          <w:szCs w:val="20"/>
        </w:rPr>
        <w:t xml:space="preserve"> 3</w:t>
      </w:r>
      <w:r w:rsidR="00AA3803">
        <w:rPr>
          <w:rFonts w:ascii="Arial" w:hAnsi="Arial" w:cs="Arial"/>
          <w:sz w:val="20"/>
          <w:szCs w:val="20"/>
        </w:rPr>
        <w:t>: T</w:t>
      </w:r>
      <w:r w:rsidRPr="0097679B">
        <w:rPr>
          <w:rFonts w:ascii="Arial" w:hAnsi="Arial" w:cs="Arial"/>
          <w:sz w:val="20"/>
          <w:szCs w:val="20"/>
        </w:rPr>
        <w:t>ime</w:t>
      </w:r>
      <w:r w:rsidR="00AA3803">
        <w:rPr>
          <w:rFonts w:ascii="Arial" w:hAnsi="Arial" w:cs="Arial"/>
          <w:sz w:val="20"/>
          <w:szCs w:val="20"/>
        </w:rPr>
        <w:t>-</w:t>
      </w:r>
      <w:r w:rsidRPr="0097679B">
        <w:rPr>
          <w:rFonts w:ascii="Arial" w:hAnsi="Arial" w:cs="Arial"/>
          <w:sz w:val="20"/>
          <w:szCs w:val="20"/>
        </w:rPr>
        <w:t>dependent Cox proportional</w:t>
      </w:r>
      <w:r w:rsidR="00AA3803">
        <w:rPr>
          <w:rFonts w:ascii="Arial" w:hAnsi="Arial" w:cs="Arial"/>
          <w:sz w:val="20"/>
          <w:szCs w:val="20"/>
        </w:rPr>
        <w:t>-hazard models of factors associated with laminitis development. Models were created</w:t>
      </w:r>
      <w:r w:rsidRPr="0097679B">
        <w:rPr>
          <w:rFonts w:ascii="Arial" w:hAnsi="Arial" w:cs="Arial"/>
          <w:sz w:val="20"/>
          <w:szCs w:val="20"/>
        </w:rPr>
        <w:t xml:space="preserve"> following backward </w:t>
      </w:r>
      <w:r w:rsidR="003B502F">
        <w:rPr>
          <w:rFonts w:ascii="Arial" w:hAnsi="Arial" w:cs="Arial"/>
          <w:sz w:val="20"/>
          <w:szCs w:val="20"/>
        </w:rPr>
        <w:t xml:space="preserve">variable </w:t>
      </w:r>
      <w:r w:rsidRPr="0097679B">
        <w:rPr>
          <w:rFonts w:ascii="Arial" w:hAnsi="Arial" w:cs="Arial"/>
          <w:sz w:val="20"/>
          <w:szCs w:val="20"/>
        </w:rPr>
        <w:t>elimination</w:t>
      </w:r>
      <w:bookmarkEnd w:id="7"/>
      <w:r w:rsidR="00AA3803">
        <w:rPr>
          <w:rFonts w:ascii="Arial" w:hAnsi="Arial" w:cs="Arial"/>
          <w:sz w:val="20"/>
          <w:szCs w:val="20"/>
        </w:rPr>
        <w:t xml:space="preserve"> </w:t>
      </w:r>
      <w:bookmarkEnd w:id="8"/>
      <w:r w:rsidR="00AA3803">
        <w:rPr>
          <w:rFonts w:ascii="Arial" w:hAnsi="Arial" w:cs="Arial"/>
          <w:sz w:val="20"/>
          <w:szCs w:val="20"/>
        </w:rPr>
        <w:t>after combining the initial models.</w:t>
      </w:r>
      <w:r w:rsidRPr="0097679B">
        <w:rPr>
          <w:rFonts w:ascii="Arial" w:hAnsi="Arial" w:cs="Arial"/>
          <w:sz w:val="20"/>
          <w:szCs w:val="20"/>
        </w:rPr>
        <w:t xml:space="preserve"> </w:t>
      </w:r>
      <w:r w:rsidR="00BB7B3E">
        <w:rPr>
          <w:rFonts w:ascii="Arial" w:hAnsi="Arial" w:cs="Arial"/>
          <w:sz w:val="20"/>
          <w:szCs w:val="20"/>
          <w:lang w:eastAsia="en-GB"/>
        </w:rPr>
        <w:t>NB n= the number of 6-month periods analysed</w:t>
      </w:r>
    </w:p>
    <w:tbl>
      <w:tblPr>
        <w:tblW w:w="8070" w:type="dxa"/>
        <w:tblLook w:val="04A0" w:firstRow="1" w:lastRow="0" w:firstColumn="1" w:lastColumn="0" w:noHBand="0" w:noVBand="1"/>
      </w:tblPr>
      <w:tblGrid>
        <w:gridCol w:w="2399"/>
        <w:gridCol w:w="1501"/>
        <w:gridCol w:w="1077"/>
        <w:gridCol w:w="1102"/>
        <w:gridCol w:w="1991"/>
      </w:tblGrid>
      <w:tr w:rsidR="00AA49D3" w:rsidRPr="0097679B" w14:paraId="0B3CDC13" w14:textId="77777777" w:rsidTr="003612A5">
        <w:trPr>
          <w:trHeight w:val="300"/>
        </w:trPr>
        <w:tc>
          <w:tcPr>
            <w:tcW w:w="4977" w:type="dxa"/>
            <w:gridSpan w:val="3"/>
            <w:tcBorders>
              <w:top w:val="single" w:sz="8" w:space="0" w:color="auto"/>
              <w:left w:val="single" w:sz="8" w:space="0" w:color="auto"/>
              <w:bottom w:val="nil"/>
              <w:right w:val="nil"/>
            </w:tcBorders>
            <w:shd w:val="clear" w:color="auto" w:fill="auto"/>
            <w:noWrap/>
            <w:vAlign w:val="bottom"/>
            <w:hideMark/>
          </w:tcPr>
          <w:p w14:paraId="4D0F7405" w14:textId="6B027D7F" w:rsidR="00AA49D3" w:rsidRPr="0097679B" w:rsidRDefault="00116F72" w:rsidP="00AA49D3">
            <w:pPr>
              <w:pStyle w:val="tablecontents"/>
              <w:rPr>
                <w:rFonts w:ascii="Arial" w:hAnsi="Arial" w:cs="Arial"/>
                <w:sz w:val="20"/>
                <w:szCs w:val="20"/>
                <w:lang w:eastAsia="en-GB"/>
              </w:rPr>
            </w:pPr>
            <w:r>
              <w:rPr>
                <w:rFonts w:ascii="Arial" w:hAnsi="Arial" w:cs="Arial"/>
                <w:sz w:val="20"/>
                <w:szCs w:val="20"/>
                <w:lang w:eastAsia="en-GB"/>
              </w:rPr>
              <w:t>Combined model 1 with</w:t>
            </w:r>
            <w:r w:rsidR="00AA49D3" w:rsidRPr="0097679B">
              <w:rPr>
                <w:rFonts w:ascii="Arial" w:hAnsi="Arial" w:cs="Arial"/>
                <w:sz w:val="20"/>
                <w:szCs w:val="20"/>
                <w:lang w:eastAsia="en-GB"/>
              </w:rPr>
              <w:t xml:space="preserve"> insulin</w:t>
            </w:r>
            <w:r>
              <w:rPr>
                <w:rFonts w:ascii="Arial" w:hAnsi="Arial" w:cs="Arial"/>
                <w:sz w:val="20"/>
                <w:szCs w:val="20"/>
                <w:lang w:eastAsia="en-GB"/>
              </w:rPr>
              <w:t>T0 (basal)</w:t>
            </w:r>
          </w:p>
        </w:tc>
        <w:tc>
          <w:tcPr>
            <w:tcW w:w="1102" w:type="dxa"/>
            <w:tcBorders>
              <w:top w:val="single" w:sz="8" w:space="0" w:color="auto"/>
              <w:left w:val="nil"/>
              <w:bottom w:val="nil"/>
              <w:right w:val="nil"/>
            </w:tcBorders>
            <w:shd w:val="clear" w:color="auto" w:fill="auto"/>
            <w:noWrap/>
            <w:vAlign w:val="bottom"/>
            <w:hideMark/>
          </w:tcPr>
          <w:p w14:paraId="64E2B27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991" w:type="dxa"/>
            <w:tcBorders>
              <w:top w:val="single" w:sz="8" w:space="0" w:color="auto"/>
              <w:left w:val="nil"/>
              <w:bottom w:val="nil"/>
              <w:right w:val="single" w:sz="8" w:space="0" w:color="auto"/>
            </w:tcBorders>
            <w:shd w:val="clear" w:color="auto" w:fill="auto"/>
            <w:noWrap/>
            <w:vAlign w:val="bottom"/>
            <w:hideMark/>
          </w:tcPr>
          <w:p w14:paraId="67E65AF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4A000B34"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38D381A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Variable</w:t>
            </w:r>
          </w:p>
        </w:tc>
        <w:tc>
          <w:tcPr>
            <w:tcW w:w="1501" w:type="dxa"/>
            <w:tcBorders>
              <w:top w:val="nil"/>
              <w:left w:val="nil"/>
              <w:bottom w:val="nil"/>
              <w:right w:val="nil"/>
            </w:tcBorders>
            <w:shd w:val="clear" w:color="auto" w:fill="auto"/>
            <w:noWrap/>
            <w:vAlign w:val="bottom"/>
            <w:hideMark/>
          </w:tcPr>
          <w:p w14:paraId="252262E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077" w:type="dxa"/>
            <w:tcBorders>
              <w:top w:val="nil"/>
              <w:left w:val="nil"/>
              <w:bottom w:val="nil"/>
              <w:right w:val="nil"/>
            </w:tcBorders>
            <w:shd w:val="clear" w:color="auto" w:fill="auto"/>
            <w:noWrap/>
            <w:vAlign w:val="bottom"/>
            <w:hideMark/>
          </w:tcPr>
          <w:p w14:paraId="3337F87A"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054436A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991" w:type="dxa"/>
            <w:tcBorders>
              <w:top w:val="nil"/>
              <w:left w:val="nil"/>
              <w:bottom w:val="nil"/>
              <w:right w:val="single" w:sz="8" w:space="0" w:color="auto"/>
            </w:tcBorders>
            <w:shd w:val="clear" w:color="auto" w:fill="auto"/>
            <w:noWrap/>
            <w:vAlign w:val="bottom"/>
            <w:hideMark/>
          </w:tcPr>
          <w:p w14:paraId="24F0EEA6"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p=</w:t>
            </w:r>
          </w:p>
        </w:tc>
      </w:tr>
      <w:tr w:rsidR="00AA49D3" w:rsidRPr="0097679B" w14:paraId="053E7F75"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7EBAACD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exercise_composite   </w:t>
            </w:r>
          </w:p>
        </w:tc>
        <w:tc>
          <w:tcPr>
            <w:tcW w:w="1501" w:type="dxa"/>
            <w:tcBorders>
              <w:top w:val="nil"/>
              <w:left w:val="nil"/>
              <w:bottom w:val="nil"/>
              <w:right w:val="nil"/>
            </w:tcBorders>
            <w:shd w:val="clear" w:color="auto" w:fill="auto"/>
            <w:noWrap/>
            <w:vAlign w:val="bottom"/>
            <w:hideMark/>
          </w:tcPr>
          <w:p w14:paraId="5A86BED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0.90</w:t>
            </w:r>
          </w:p>
        </w:tc>
        <w:tc>
          <w:tcPr>
            <w:tcW w:w="1077" w:type="dxa"/>
            <w:tcBorders>
              <w:top w:val="nil"/>
              <w:left w:val="nil"/>
              <w:bottom w:val="nil"/>
              <w:right w:val="nil"/>
            </w:tcBorders>
            <w:shd w:val="clear" w:color="auto" w:fill="auto"/>
            <w:noWrap/>
            <w:vAlign w:val="bottom"/>
            <w:hideMark/>
          </w:tcPr>
          <w:p w14:paraId="7E53A05B"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0.80</w:t>
            </w:r>
          </w:p>
        </w:tc>
        <w:tc>
          <w:tcPr>
            <w:tcW w:w="1102" w:type="dxa"/>
            <w:tcBorders>
              <w:top w:val="nil"/>
              <w:left w:val="nil"/>
              <w:bottom w:val="nil"/>
              <w:right w:val="nil"/>
            </w:tcBorders>
            <w:shd w:val="clear" w:color="auto" w:fill="auto"/>
            <w:noWrap/>
            <w:vAlign w:val="bottom"/>
            <w:hideMark/>
          </w:tcPr>
          <w:p w14:paraId="693BBEF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1.02</w:t>
            </w:r>
          </w:p>
        </w:tc>
        <w:tc>
          <w:tcPr>
            <w:tcW w:w="1991" w:type="dxa"/>
            <w:tcBorders>
              <w:top w:val="nil"/>
              <w:left w:val="nil"/>
              <w:bottom w:val="nil"/>
              <w:right w:val="single" w:sz="8" w:space="0" w:color="auto"/>
            </w:tcBorders>
            <w:shd w:val="clear" w:color="auto" w:fill="auto"/>
            <w:noWrap/>
            <w:vAlign w:val="bottom"/>
            <w:hideMark/>
          </w:tcPr>
          <w:p w14:paraId="341ADA89" w14:textId="497789BE"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0.09</w:t>
            </w:r>
            <w:r w:rsidR="00AA49D3" w:rsidRPr="0097679B">
              <w:rPr>
                <w:rFonts w:ascii="Arial" w:hAnsi="Arial" w:cs="Arial"/>
                <w:sz w:val="20"/>
                <w:szCs w:val="20"/>
                <w:lang w:eastAsia="en-GB"/>
              </w:rPr>
              <w:t xml:space="preserve"> </w:t>
            </w:r>
          </w:p>
        </w:tc>
      </w:tr>
      <w:tr w:rsidR="00AA49D3" w:rsidRPr="0097679B" w14:paraId="2062B2D3"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49AC5C22"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adiponectin        </w:t>
            </w:r>
          </w:p>
        </w:tc>
        <w:tc>
          <w:tcPr>
            <w:tcW w:w="1501" w:type="dxa"/>
            <w:tcBorders>
              <w:top w:val="nil"/>
              <w:left w:val="nil"/>
              <w:bottom w:val="nil"/>
              <w:right w:val="nil"/>
            </w:tcBorders>
            <w:shd w:val="clear" w:color="auto" w:fill="auto"/>
            <w:noWrap/>
            <w:vAlign w:val="bottom"/>
            <w:hideMark/>
          </w:tcPr>
          <w:p w14:paraId="745759C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0.94</w:t>
            </w:r>
          </w:p>
        </w:tc>
        <w:tc>
          <w:tcPr>
            <w:tcW w:w="1077" w:type="dxa"/>
            <w:tcBorders>
              <w:top w:val="nil"/>
              <w:left w:val="nil"/>
              <w:bottom w:val="nil"/>
              <w:right w:val="nil"/>
            </w:tcBorders>
            <w:shd w:val="clear" w:color="auto" w:fill="auto"/>
            <w:noWrap/>
            <w:vAlign w:val="bottom"/>
            <w:hideMark/>
          </w:tcPr>
          <w:p w14:paraId="561BB71A"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0.89</w:t>
            </w:r>
          </w:p>
        </w:tc>
        <w:tc>
          <w:tcPr>
            <w:tcW w:w="1102" w:type="dxa"/>
            <w:tcBorders>
              <w:top w:val="nil"/>
              <w:left w:val="nil"/>
              <w:bottom w:val="nil"/>
              <w:right w:val="nil"/>
            </w:tcBorders>
            <w:shd w:val="clear" w:color="auto" w:fill="auto"/>
            <w:noWrap/>
            <w:vAlign w:val="bottom"/>
            <w:hideMark/>
          </w:tcPr>
          <w:p w14:paraId="004C46E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0.98</w:t>
            </w:r>
          </w:p>
        </w:tc>
        <w:tc>
          <w:tcPr>
            <w:tcW w:w="1991" w:type="dxa"/>
            <w:tcBorders>
              <w:top w:val="nil"/>
              <w:left w:val="nil"/>
              <w:bottom w:val="nil"/>
              <w:right w:val="single" w:sz="8" w:space="0" w:color="auto"/>
            </w:tcBorders>
            <w:shd w:val="clear" w:color="auto" w:fill="auto"/>
            <w:noWrap/>
            <w:vAlign w:val="bottom"/>
            <w:hideMark/>
          </w:tcPr>
          <w:p w14:paraId="0947BE78" w14:textId="128810D2"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0.008</w:t>
            </w:r>
            <w:r w:rsidR="00B420E0">
              <w:rPr>
                <w:rFonts w:ascii="Arial" w:hAnsi="Arial" w:cs="Arial"/>
                <w:sz w:val="20"/>
                <w:szCs w:val="20"/>
                <w:lang w:eastAsia="en-GB"/>
              </w:rPr>
              <w:t xml:space="preserve"> </w:t>
            </w:r>
          </w:p>
        </w:tc>
      </w:tr>
      <w:tr w:rsidR="00AA49D3" w:rsidRPr="0097679B" w14:paraId="0AFBC2E7"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05731779" w14:textId="67041EAE" w:rsidR="00AA49D3" w:rsidRPr="0097679B" w:rsidRDefault="00AA49D3" w:rsidP="00AA49D3">
            <w:pPr>
              <w:pStyle w:val="tablecontents"/>
              <w:rPr>
                <w:rFonts w:ascii="Arial" w:hAnsi="Arial" w:cs="Arial"/>
                <w:sz w:val="20"/>
                <w:szCs w:val="20"/>
                <w:lang w:eastAsia="en-GB"/>
              </w:rPr>
            </w:pPr>
            <w:r w:rsidRPr="0097679B">
              <w:rPr>
                <w:rFonts w:ascii="Arial" w:hAnsi="Arial" w:cs="Arial"/>
                <w:sz w:val="20"/>
                <w:szCs w:val="20"/>
                <w:lang w:eastAsia="en-GB"/>
              </w:rPr>
              <w:t>InsulinT0</w:t>
            </w:r>
          </w:p>
        </w:tc>
        <w:tc>
          <w:tcPr>
            <w:tcW w:w="1501" w:type="dxa"/>
            <w:tcBorders>
              <w:top w:val="nil"/>
              <w:left w:val="nil"/>
              <w:bottom w:val="nil"/>
              <w:right w:val="nil"/>
            </w:tcBorders>
            <w:shd w:val="clear" w:color="auto" w:fill="auto"/>
            <w:noWrap/>
            <w:vAlign w:val="bottom"/>
            <w:hideMark/>
          </w:tcPr>
          <w:p w14:paraId="2B58247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1.005</w:t>
            </w:r>
          </w:p>
        </w:tc>
        <w:tc>
          <w:tcPr>
            <w:tcW w:w="1077" w:type="dxa"/>
            <w:tcBorders>
              <w:top w:val="nil"/>
              <w:left w:val="nil"/>
              <w:bottom w:val="nil"/>
              <w:right w:val="nil"/>
            </w:tcBorders>
            <w:shd w:val="clear" w:color="auto" w:fill="auto"/>
            <w:noWrap/>
            <w:vAlign w:val="bottom"/>
            <w:hideMark/>
          </w:tcPr>
          <w:p w14:paraId="6F7C689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1.00</w:t>
            </w:r>
          </w:p>
        </w:tc>
        <w:tc>
          <w:tcPr>
            <w:tcW w:w="1102" w:type="dxa"/>
            <w:tcBorders>
              <w:top w:val="nil"/>
              <w:left w:val="nil"/>
              <w:bottom w:val="nil"/>
              <w:right w:val="nil"/>
            </w:tcBorders>
            <w:shd w:val="clear" w:color="auto" w:fill="auto"/>
            <w:noWrap/>
            <w:vAlign w:val="bottom"/>
            <w:hideMark/>
          </w:tcPr>
          <w:p w14:paraId="12C68D7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991" w:type="dxa"/>
            <w:tcBorders>
              <w:top w:val="nil"/>
              <w:left w:val="nil"/>
              <w:bottom w:val="nil"/>
              <w:right w:val="single" w:sz="8" w:space="0" w:color="auto"/>
            </w:tcBorders>
            <w:shd w:val="clear" w:color="auto" w:fill="auto"/>
            <w:noWrap/>
            <w:vAlign w:val="bottom"/>
            <w:hideMark/>
          </w:tcPr>
          <w:p w14:paraId="662DED76" w14:textId="7C139F27"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0.02</w:t>
            </w:r>
            <w:r w:rsidR="00B420E0">
              <w:rPr>
                <w:rFonts w:ascii="Arial" w:hAnsi="Arial" w:cs="Arial"/>
                <w:sz w:val="20"/>
                <w:szCs w:val="20"/>
                <w:lang w:eastAsia="en-GB"/>
              </w:rPr>
              <w:t xml:space="preserve"> </w:t>
            </w:r>
            <w:r w:rsidR="00AA49D3" w:rsidRPr="0097679B">
              <w:rPr>
                <w:rFonts w:ascii="Arial" w:hAnsi="Arial" w:cs="Arial"/>
                <w:sz w:val="20"/>
                <w:szCs w:val="20"/>
                <w:lang w:eastAsia="en-GB"/>
              </w:rPr>
              <w:t xml:space="preserve"> </w:t>
            </w:r>
          </w:p>
        </w:tc>
      </w:tr>
      <w:tr w:rsidR="00AA49D3" w:rsidRPr="0097679B" w14:paraId="6DBA6758"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7770D522"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overall_bcs        </w:t>
            </w:r>
          </w:p>
        </w:tc>
        <w:tc>
          <w:tcPr>
            <w:tcW w:w="1501" w:type="dxa"/>
            <w:tcBorders>
              <w:top w:val="nil"/>
              <w:left w:val="nil"/>
              <w:bottom w:val="nil"/>
              <w:right w:val="nil"/>
            </w:tcBorders>
            <w:shd w:val="clear" w:color="auto" w:fill="auto"/>
            <w:noWrap/>
            <w:vAlign w:val="bottom"/>
            <w:hideMark/>
          </w:tcPr>
          <w:p w14:paraId="3EAD628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1.31</w:t>
            </w:r>
          </w:p>
        </w:tc>
        <w:tc>
          <w:tcPr>
            <w:tcW w:w="1077" w:type="dxa"/>
            <w:tcBorders>
              <w:top w:val="nil"/>
              <w:left w:val="nil"/>
              <w:bottom w:val="nil"/>
              <w:right w:val="nil"/>
            </w:tcBorders>
            <w:shd w:val="clear" w:color="auto" w:fill="auto"/>
            <w:noWrap/>
            <w:vAlign w:val="bottom"/>
            <w:hideMark/>
          </w:tcPr>
          <w:p w14:paraId="1CAA95F7"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0.97</w:t>
            </w:r>
          </w:p>
        </w:tc>
        <w:tc>
          <w:tcPr>
            <w:tcW w:w="1102" w:type="dxa"/>
            <w:tcBorders>
              <w:top w:val="nil"/>
              <w:left w:val="nil"/>
              <w:bottom w:val="nil"/>
              <w:right w:val="nil"/>
            </w:tcBorders>
            <w:shd w:val="clear" w:color="auto" w:fill="auto"/>
            <w:noWrap/>
            <w:vAlign w:val="bottom"/>
            <w:hideMark/>
          </w:tcPr>
          <w:p w14:paraId="5747D6E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1.77</w:t>
            </w:r>
          </w:p>
        </w:tc>
        <w:tc>
          <w:tcPr>
            <w:tcW w:w="1991" w:type="dxa"/>
            <w:tcBorders>
              <w:top w:val="nil"/>
              <w:left w:val="nil"/>
              <w:bottom w:val="nil"/>
              <w:right w:val="single" w:sz="8" w:space="0" w:color="auto"/>
            </w:tcBorders>
            <w:shd w:val="clear" w:color="auto" w:fill="auto"/>
            <w:noWrap/>
            <w:vAlign w:val="bottom"/>
            <w:hideMark/>
          </w:tcPr>
          <w:p w14:paraId="7A0D5D1F" w14:textId="2C7937F8"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0.08</w:t>
            </w:r>
            <w:r w:rsidR="00AA49D3" w:rsidRPr="0097679B">
              <w:rPr>
                <w:rFonts w:ascii="Arial" w:hAnsi="Arial" w:cs="Arial"/>
                <w:sz w:val="20"/>
                <w:szCs w:val="20"/>
                <w:lang w:eastAsia="en-GB"/>
              </w:rPr>
              <w:t xml:space="preserve"> </w:t>
            </w:r>
          </w:p>
        </w:tc>
      </w:tr>
      <w:tr w:rsidR="00AA49D3" w:rsidRPr="0097679B" w14:paraId="4B15DE58"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231B8931"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divergence_score     </w:t>
            </w:r>
          </w:p>
        </w:tc>
        <w:tc>
          <w:tcPr>
            <w:tcW w:w="1501" w:type="dxa"/>
            <w:tcBorders>
              <w:top w:val="nil"/>
              <w:left w:val="nil"/>
              <w:bottom w:val="nil"/>
              <w:right w:val="nil"/>
            </w:tcBorders>
            <w:shd w:val="clear" w:color="auto" w:fill="auto"/>
            <w:noWrap/>
            <w:vAlign w:val="bottom"/>
            <w:hideMark/>
          </w:tcPr>
          <w:p w14:paraId="726AD7C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1.52</w:t>
            </w:r>
          </w:p>
        </w:tc>
        <w:tc>
          <w:tcPr>
            <w:tcW w:w="1077" w:type="dxa"/>
            <w:tcBorders>
              <w:top w:val="nil"/>
              <w:left w:val="nil"/>
              <w:bottom w:val="nil"/>
              <w:right w:val="nil"/>
            </w:tcBorders>
            <w:shd w:val="clear" w:color="auto" w:fill="auto"/>
            <w:noWrap/>
            <w:vAlign w:val="bottom"/>
            <w:hideMark/>
          </w:tcPr>
          <w:p w14:paraId="07E4788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1.14</w:t>
            </w:r>
          </w:p>
        </w:tc>
        <w:tc>
          <w:tcPr>
            <w:tcW w:w="1102" w:type="dxa"/>
            <w:tcBorders>
              <w:top w:val="nil"/>
              <w:left w:val="nil"/>
              <w:bottom w:val="nil"/>
              <w:right w:val="nil"/>
            </w:tcBorders>
            <w:shd w:val="clear" w:color="auto" w:fill="auto"/>
            <w:noWrap/>
            <w:vAlign w:val="bottom"/>
            <w:hideMark/>
          </w:tcPr>
          <w:p w14:paraId="62F0DCD6"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2.02</w:t>
            </w:r>
          </w:p>
        </w:tc>
        <w:tc>
          <w:tcPr>
            <w:tcW w:w="1991" w:type="dxa"/>
            <w:tcBorders>
              <w:top w:val="nil"/>
              <w:left w:val="nil"/>
              <w:bottom w:val="nil"/>
              <w:right w:val="single" w:sz="8" w:space="0" w:color="auto"/>
            </w:tcBorders>
            <w:shd w:val="clear" w:color="auto" w:fill="auto"/>
            <w:noWrap/>
            <w:vAlign w:val="bottom"/>
            <w:hideMark/>
          </w:tcPr>
          <w:p w14:paraId="4D54D901" w14:textId="2ACCC9DA"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0.004</w:t>
            </w:r>
          </w:p>
        </w:tc>
      </w:tr>
      <w:tr w:rsidR="00AA49D3" w:rsidRPr="0097679B" w14:paraId="1A16AD2C"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20FFADC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1" w:type="dxa"/>
            <w:tcBorders>
              <w:top w:val="nil"/>
              <w:left w:val="nil"/>
              <w:bottom w:val="nil"/>
              <w:right w:val="nil"/>
            </w:tcBorders>
            <w:shd w:val="clear" w:color="auto" w:fill="auto"/>
            <w:noWrap/>
            <w:vAlign w:val="bottom"/>
            <w:hideMark/>
          </w:tcPr>
          <w:p w14:paraId="0BBACD5E" w14:textId="77777777" w:rsidR="00AA49D3" w:rsidRPr="0097679B" w:rsidRDefault="00AA49D3" w:rsidP="003612A5">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18653E5B"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7F15ED2A"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073868B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4127EA77"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72FE1F4A"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Concordance</w:t>
            </w:r>
          </w:p>
        </w:tc>
        <w:tc>
          <w:tcPr>
            <w:tcW w:w="2578" w:type="dxa"/>
            <w:gridSpan w:val="2"/>
            <w:tcBorders>
              <w:top w:val="nil"/>
              <w:left w:val="nil"/>
              <w:bottom w:val="nil"/>
              <w:right w:val="nil"/>
            </w:tcBorders>
            <w:shd w:val="clear" w:color="auto" w:fill="auto"/>
            <w:noWrap/>
            <w:vAlign w:val="bottom"/>
            <w:hideMark/>
          </w:tcPr>
          <w:p w14:paraId="1A033D77"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0.816  (se = 0.037 )</w:t>
            </w:r>
          </w:p>
        </w:tc>
        <w:tc>
          <w:tcPr>
            <w:tcW w:w="1102" w:type="dxa"/>
            <w:tcBorders>
              <w:top w:val="nil"/>
              <w:left w:val="nil"/>
              <w:bottom w:val="nil"/>
              <w:right w:val="nil"/>
            </w:tcBorders>
            <w:shd w:val="clear" w:color="auto" w:fill="auto"/>
            <w:noWrap/>
            <w:vAlign w:val="bottom"/>
            <w:hideMark/>
          </w:tcPr>
          <w:p w14:paraId="0959C125"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535363C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0FB412BE"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335AA5E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Wald test           </w:t>
            </w:r>
          </w:p>
        </w:tc>
        <w:tc>
          <w:tcPr>
            <w:tcW w:w="3680" w:type="dxa"/>
            <w:gridSpan w:val="3"/>
            <w:tcBorders>
              <w:top w:val="nil"/>
              <w:left w:val="nil"/>
              <w:bottom w:val="nil"/>
              <w:right w:val="nil"/>
            </w:tcBorders>
            <w:shd w:val="clear" w:color="auto" w:fill="auto"/>
            <w:noWrap/>
            <w:vAlign w:val="bottom"/>
            <w:hideMark/>
          </w:tcPr>
          <w:p w14:paraId="379B847B" w14:textId="4DC60E1B" w:rsidR="00AA49D3" w:rsidRPr="00BB7B3E" w:rsidRDefault="00B420E0" w:rsidP="003B502F">
            <w:pPr>
              <w:pStyle w:val="tablecontents"/>
              <w:rPr>
                <w:rFonts w:ascii="Arial" w:hAnsi="Arial" w:cs="Arial"/>
                <w:sz w:val="20"/>
                <w:szCs w:val="20"/>
                <w:vertAlign w:val="superscript"/>
                <w:lang w:eastAsia="en-GB"/>
              </w:rPr>
            </w:pPr>
            <w:r>
              <w:rPr>
                <w:rFonts w:ascii="Arial" w:hAnsi="Arial" w:cs="Arial"/>
                <w:sz w:val="20"/>
                <w:szCs w:val="20"/>
                <w:lang w:eastAsia="en-GB"/>
              </w:rPr>
              <w:t xml:space="preserve">= 61.15  on 5 df,   </w:t>
            </w:r>
            <w:r>
              <w:rPr>
                <w:rFonts w:ascii="Arial" w:hAnsi="Arial" w:cs="Arial"/>
                <w:sz w:val="20"/>
                <w:szCs w:val="20"/>
              </w:rPr>
              <w:t>p&lt;0.001</w:t>
            </w:r>
          </w:p>
        </w:tc>
        <w:tc>
          <w:tcPr>
            <w:tcW w:w="1991" w:type="dxa"/>
            <w:tcBorders>
              <w:top w:val="nil"/>
              <w:left w:val="nil"/>
              <w:bottom w:val="nil"/>
              <w:right w:val="single" w:sz="8" w:space="0" w:color="auto"/>
            </w:tcBorders>
            <w:shd w:val="clear" w:color="auto" w:fill="auto"/>
            <w:noWrap/>
            <w:vAlign w:val="bottom"/>
            <w:hideMark/>
          </w:tcPr>
          <w:p w14:paraId="64363C4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26E177A1"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0A3FC26B" w14:textId="621F1A08" w:rsidR="00AA49D3" w:rsidRPr="0097679B" w:rsidRDefault="00116F72" w:rsidP="003612A5">
            <w:pPr>
              <w:pStyle w:val="tablecontents"/>
              <w:rPr>
                <w:rFonts w:ascii="Arial" w:hAnsi="Arial" w:cs="Arial"/>
                <w:sz w:val="20"/>
                <w:szCs w:val="20"/>
                <w:lang w:eastAsia="en-GB"/>
              </w:rPr>
            </w:pPr>
            <w:r>
              <w:rPr>
                <w:rFonts w:ascii="Arial" w:hAnsi="Arial" w:cs="Arial"/>
                <w:sz w:val="20"/>
                <w:szCs w:val="20"/>
                <w:lang w:eastAsia="en-GB"/>
              </w:rPr>
              <w:t>R</w:t>
            </w:r>
            <w:r>
              <w:rPr>
                <w:rFonts w:ascii="Arial" w:hAnsi="Arial" w:cs="Arial"/>
                <w:sz w:val="20"/>
                <w:szCs w:val="20"/>
                <w:vertAlign w:val="superscript"/>
                <w:lang w:eastAsia="en-GB"/>
              </w:rPr>
              <w:t>2</w:t>
            </w:r>
            <w:r w:rsidR="00AA49D3" w:rsidRPr="0097679B">
              <w:rPr>
                <w:rFonts w:ascii="Arial" w:hAnsi="Arial" w:cs="Arial"/>
                <w:sz w:val="20"/>
                <w:szCs w:val="20"/>
                <w:lang w:eastAsia="en-GB"/>
              </w:rPr>
              <w:t xml:space="preserve"> (mev)          </w:t>
            </w:r>
          </w:p>
        </w:tc>
        <w:tc>
          <w:tcPr>
            <w:tcW w:w="1501" w:type="dxa"/>
            <w:tcBorders>
              <w:top w:val="nil"/>
              <w:left w:val="nil"/>
              <w:bottom w:val="nil"/>
              <w:right w:val="nil"/>
            </w:tcBorders>
            <w:shd w:val="clear" w:color="auto" w:fill="auto"/>
            <w:noWrap/>
            <w:vAlign w:val="bottom"/>
            <w:hideMark/>
          </w:tcPr>
          <w:p w14:paraId="4B12299C" w14:textId="67FCA44C"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w:t>
            </w:r>
            <w:r w:rsidR="00223BF4">
              <w:rPr>
                <w:rFonts w:ascii="Arial" w:hAnsi="Arial" w:cs="Arial"/>
                <w:sz w:val="20"/>
                <w:szCs w:val="20"/>
                <w:lang w:eastAsia="en-GB"/>
              </w:rPr>
              <w:t xml:space="preserve"> </w:t>
            </w:r>
            <w:r w:rsidRPr="0097679B">
              <w:rPr>
                <w:rFonts w:ascii="Arial" w:hAnsi="Arial" w:cs="Arial"/>
                <w:sz w:val="20"/>
                <w:szCs w:val="20"/>
                <w:lang w:eastAsia="en-GB"/>
              </w:rPr>
              <w:t>0.67</w:t>
            </w:r>
          </w:p>
        </w:tc>
        <w:tc>
          <w:tcPr>
            <w:tcW w:w="1077" w:type="dxa"/>
            <w:tcBorders>
              <w:top w:val="nil"/>
              <w:left w:val="nil"/>
              <w:bottom w:val="nil"/>
              <w:right w:val="nil"/>
            </w:tcBorders>
            <w:shd w:val="clear" w:color="auto" w:fill="auto"/>
            <w:noWrap/>
            <w:vAlign w:val="bottom"/>
            <w:hideMark/>
          </w:tcPr>
          <w:p w14:paraId="12D31BFE"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47E59C57"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4EAB90D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4C70F54C"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32B7334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1" w:type="dxa"/>
            <w:tcBorders>
              <w:top w:val="nil"/>
              <w:left w:val="nil"/>
              <w:bottom w:val="nil"/>
              <w:right w:val="nil"/>
            </w:tcBorders>
            <w:shd w:val="clear" w:color="auto" w:fill="auto"/>
            <w:noWrap/>
            <w:vAlign w:val="bottom"/>
            <w:hideMark/>
          </w:tcPr>
          <w:p w14:paraId="39380CAE" w14:textId="77777777" w:rsidR="00AA49D3" w:rsidRPr="0097679B" w:rsidRDefault="00AA49D3" w:rsidP="003612A5">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364B44C8"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009A70C5"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3FE4ED5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417D0896" w14:textId="77777777" w:rsidTr="003612A5">
        <w:trPr>
          <w:trHeight w:val="315"/>
        </w:trPr>
        <w:tc>
          <w:tcPr>
            <w:tcW w:w="8070" w:type="dxa"/>
            <w:gridSpan w:val="5"/>
            <w:tcBorders>
              <w:top w:val="nil"/>
              <w:left w:val="single" w:sz="8" w:space="0" w:color="auto"/>
              <w:bottom w:val="nil"/>
              <w:right w:val="single" w:sz="8" w:space="0" w:color="000000"/>
            </w:tcBorders>
            <w:shd w:val="clear" w:color="auto" w:fill="auto"/>
            <w:noWrap/>
            <w:vAlign w:val="bottom"/>
            <w:hideMark/>
          </w:tcPr>
          <w:p w14:paraId="247F44B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  n= 1508, number of events= 37  (360 observations missing)</w:t>
            </w:r>
          </w:p>
        </w:tc>
      </w:tr>
      <w:tr w:rsidR="00AA49D3" w:rsidRPr="0097679B" w14:paraId="178B9E74" w14:textId="77777777" w:rsidTr="003612A5">
        <w:trPr>
          <w:trHeight w:val="300"/>
        </w:trPr>
        <w:tc>
          <w:tcPr>
            <w:tcW w:w="3900" w:type="dxa"/>
            <w:gridSpan w:val="2"/>
            <w:tcBorders>
              <w:top w:val="single" w:sz="8" w:space="0" w:color="auto"/>
              <w:left w:val="single" w:sz="8" w:space="0" w:color="auto"/>
              <w:bottom w:val="nil"/>
              <w:right w:val="nil"/>
            </w:tcBorders>
            <w:shd w:val="clear" w:color="auto" w:fill="auto"/>
            <w:noWrap/>
            <w:vAlign w:val="bottom"/>
            <w:hideMark/>
          </w:tcPr>
          <w:p w14:paraId="74BF3AFB" w14:textId="6D0EEDE5"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Combined model 2 with insulinT60</w:t>
            </w:r>
          </w:p>
        </w:tc>
        <w:tc>
          <w:tcPr>
            <w:tcW w:w="1077" w:type="dxa"/>
            <w:tcBorders>
              <w:top w:val="single" w:sz="8" w:space="0" w:color="auto"/>
              <w:left w:val="nil"/>
              <w:bottom w:val="nil"/>
              <w:right w:val="nil"/>
            </w:tcBorders>
            <w:shd w:val="clear" w:color="auto" w:fill="auto"/>
            <w:noWrap/>
            <w:vAlign w:val="bottom"/>
            <w:hideMark/>
          </w:tcPr>
          <w:p w14:paraId="67469CE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102" w:type="dxa"/>
            <w:tcBorders>
              <w:top w:val="single" w:sz="8" w:space="0" w:color="auto"/>
              <w:left w:val="nil"/>
              <w:bottom w:val="nil"/>
              <w:right w:val="nil"/>
            </w:tcBorders>
            <w:shd w:val="clear" w:color="auto" w:fill="auto"/>
            <w:noWrap/>
            <w:vAlign w:val="bottom"/>
            <w:hideMark/>
          </w:tcPr>
          <w:p w14:paraId="1AFD3A95"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991" w:type="dxa"/>
            <w:tcBorders>
              <w:top w:val="single" w:sz="8" w:space="0" w:color="auto"/>
              <w:left w:val="nil"/>
              <w:bottom w:val="nil"/>
              <w:right w:val="single" w:sz="8" w:space="0" w:color="auto"/>
            </w:tcBorders>
            <w:shd w:val="clear" w:color="auto" w:fill="auto"/>
            <w:noWrap/>
            <w:vAlign w:val="bottom"/>
            <w:hideMark/>
          </w:tcPr>
          <w:p w14:paraId="7FBD2D9B"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6199B97E"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624A877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Variable</w:t>
            </w:r>
          </w:p>
        </w:tc>
        <w:tc>
          <w:tcPr>
            <w:tcW w:w="1501" w:type="dxa"/>
            <w:tcBorders>
              <w:top w:val="nil"/>
              <w:left w:val="nil"/>
              <w:bottom w:val="nil"/>
              <w:right w:val="nil"/>
            </w:tcBorders>
            <w:shd w:val="clear" w:color="auto" w:fill="auto"/>
            <w:noWrap/>
            <w:vAlign w:val="bottom"/>
            <w:hideMark/>
          </w:tcPr>
          <w:p w14:paraId="603B59A3"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Hazard ratio</w:t>
            </w:r>
          </w:p>
        </w:tc>
        <w:tc>
          <w:tcPr>
            <w:tcW w:w="1077" w:type="dxa"/>
            <w:tcBorders>
              <w:top w:val="nil"/>
              <w:left w:val="nil"/>
              <w:bottom w:val="nil"/>
              <w:right w:val="nil"/>
            </w:tcBorders>
            <w:shd w:val="clear" w:color="auto" w:fill="auto"/>
            <w:noWrap/>
            <w:vAlign w:val="bottom"/>
            <w:hideMark/>
          </w:tcPr>
          <w:p w14:paraId="5FEA9CA7"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lower.95</w:t>
            </w:r>
          </w:p>
        </w:tc>
        <w:tc>
          <w:tcPr>
            <w:tcW w:w="1102" w:type="dxa"/>
            <w:tcBorders>
              <w:top w:val="nil"/>
              <w:left w:val="nil"/>
              <w:bottom w:val="nil"/>
              <w:right w:val="nil"/>
            </w:tcBorders>
            <w:shd w:val="clear" w:color="auto" w:fill="auto"/>
            <w:noWrap/>
            <w:vAlign w:val="bottom"/>
            <w:hideMark/>
          </w:tcPr>
          <w:p w14:paraId="468895B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upper.95</w:t>
            </w:r>
          </w:p>
        </w:tc>
        <w:tc>
          <w:tcPr>
            <w:tcW w:w="1991" w:type="dxa"/>
            <w:tcBorders>
              <w:top w:val="nil"/>
              <w:left w:val="nil"/>
              <w:bottom w:val="nil"/>
              <w:right w:val="single" w:sz="8" w:space="0" w:color="auto"/>
            </w:tcBorders>
            <w:shd w:val="clear" w:color="auto" w:fill="auto"/>
            <w:noWrap/>
            <w:vAlign w:val="bottom"/>
            <w:hideMark/>
          </w:tcPr>
          <w:p w14:paraId="00E4B8F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p=</w:t>
            </w:r>
          </w:p>
        </w:tc>
      </w:tr>
      <w:tr w:rsidR="00AA49D3" w:rsidRPr="0097679B" w14:paraId="426DF2C6"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616E131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exercise_composite  </w:t>
            </w:r>
          </w:p>
        </w:tc>
        <w:tc>
          <w:tcPr>
            <w:tcW w:w="1501" w:type="dxa"/>
            <w:tcBorders>
              <w:top w:val="nil"/>
              <w:left w:val="nil"/>
              <w:bottom w:val="nil"/>
              <w:right w:val="nil"/>
            </w:tcBorders>
            <w:shd w:val="clear" w:color="auto" w:fill="auto"/>
            <w:noWrap/>
            <w:vAlign w:val="bottom"/>
            <w:hideMark/>
          </w:tcPr>
          <w:p w14:paraId="56DED8A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0.92</w:t>
            </w:r>
          </w:p>
        </w:tc>
        <w:tc>
          <w:tcPr>
            <w:tcW w:w="1077" w:type="dxa"/>
            <w:tcBorders>
              <w:top w:val="nil"/>
              <w:left w:val="nil"/>
              <w:bottom w:val="nil"/>
              <w:right w:val="nil"/>
            </w:tcBorders>
            <w:shd w:val="clear" w:color="auto" w:fill="auto"/>
            <w:noWrap/>
            <w:vAlign w:val="bottom"/>
            <w:hideMark/>
          </w:tcPr>
          <w:p w14:paraId="3E2B731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0.81</w:t>
            </w:r>
          </w:p>
        </w:tc>
        <w:tc>
          <w:tcPr>
            <w:tcW w:w="1102" w:type="dxa"/>
            <w:tcBorders>
              <w:top w:val="nil"/>
              <w:left w:val="nil"/>
              <w:bottom w:val="nil"/>
              <w:right w:val="nil"/>
            </w:tcBorders>
            <w:shd w:val="clear" w:color="auto" w:fill="auto"/>
            <w:noWrap/>
            <w:vAlign w:val="bottom"/>
            <w:hideMark/>
          </w:tcPr>
          <w:p w14:paraId="23E9FD36"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1.03</w:t>
            </w:r>
          </w:p>
        </w:tc>
        <w:tc>
          <w:tcPr>
            <w:tcW w:w="1991" w:type="dxa"/>
            <w:tcBorders>
              <w:top w:val="nil"/>
              <w:left w:val="nil"/>
              <w:bottom w:val="nil"/>
              <w:right w:val="single" w:sz="8" w:space="0" w:color="auto"/>
            </w:tcBorders>
            <w:shd w:val="clear" w:color="auto" w:fill="auto"/>
            <w:noWrap/>
            <w:vAlign w:val="bottom"/>
            <w:hideMark/>
          </w:tcPr>
          <w:p w14:paraId="62A3D6A2" w14:textId="695816AC"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0.1</w:t>
            </w:r>
          </w:p>
        </w:tc>
      </w:tr>
      <w:tr w:rsidR="00AA49D3" w:rsidRPr="0097679B" w14:paraId="052BC0EE"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0F075B51"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adiponectin          </w:t>
            </w:r>
          </w:p>
        </w:tc>
        <w:tc>
          <w:tcPr>
            <w:tcW w:w="1501" w:type="dxa"/>
            <w:tcBorders>
              <w:top w:val="nil"/>
              <w:left w:val="nil"/>
              <w:bottom w:val="nil"/>
              <w:right w:val="nil"/>
            </w:tcBorders>
            <w:shd w:val="clear" w:color="auto" w:fill="auto"/>
            <w:noWrap/>
            <w:vAlign w:val="bottom"/>
            <w:hideMark/>
          </w:tcPr>
          <w:p w14:paraId="2846ED8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0.96</w:t>
            </w:r>
          </w:p>
        </w:tc>
        <w:tc>
          <w:tcPr>
            <w:tcW w:w="1077" w:type="dxa"/>
            <w:tcBorders>
              <w:top w:val="nil"/>
              <w:left w:val="nil"/>
              <w:bottom w:val="nil"/>
              <w:right w:val="nil"/>
            </w:tcBorders>
            <w:shd w:val="clear" w:color="auto" w:fill="auto"/>
            <w:noWrap/>
            <w:vAlign w:val="bottom"/>
            <w:hideMark/>
          </w:tcPr>
          <w:p w14:paraId="4413D366"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0.92</w:t>
            </w:r>
          </w:p>
        </w:tc>
        <w:tc>
          <w:tcPr>
            <w:tcW w:w="1102" w:type="dxa"/>
            <w:tcBorders>
              <w:top w:val="nil"/>
              <w:left w:val="nil"/>
              <w:bottom w:val="nil"/>
              <w:right w:val="nil"/>
            </w:tcBorders>
            <w:shd w:val="clear" w:color="auto" w:fill="auto"/>
            <w:noWrap/>
            <w:vAlign w:val="bottom"/>
            <w:hideMark/>
          </w:tcPr>
          <w:p w14:paraId="47A1CB1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991" w:type="dxa"/>
            <w:tcBorders>
              <w:top w:val="nil"/>
              <w:left w:val="nil"/>
              <w:bottom w:val="nil"/>
              <w:right w:val="single" w:sz="8" w:space="0" w:color="auto"/>
            </w:tcBorders>
            <w:shd w:val="clear" w:color="auto" w:fill="auto"/>
            <w:noWrap/>
            <w:vAlign w:val="bottom"/>
            <w:hideMark/>
          </w:tcPr>
          <w:p w14:paraId="24F925CC" w14:textId="66B1059D"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0.1</w:t>
            </w:r>
            <w:r w:rsidR="00AA49D3" w:rsidRPr="0097679B">
              <w:rPr>
                <w:rFonts w:ascii="Arial" w:hAnsi="Arial" w:cs="Arial"/>
                <w:sz w:val="20"/>
                <w:szCs w:val="20"/>
                <w:lang w:eastAsia="en-GB"/>
              </w:rPr>
              <w:t xml:space="preserve"> .  </w:t>
            </w:r>
          </w:p>
        </w:tc>
      </w:tr>
      <w:tr w:rsidR="00AA49D3" w:rsidRPr="0097679B" w14:paraId="71DBA269"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7A95185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Insulin (T60)/10     </w:t>
            </w:r>
          </w:p>
        </w:tc>
        <w:tc>
          <w:tcPr>
            <w:tcW w:w="1501" w:type="dxa"/>
            <w:tcBorders>
              <w:top w:val="nil"/>
              <w:left w:val="nil"/>
              <w:bottom w:val="nil"/>
              <w:right w:val="nil"/>
            </w:tcBorders>
            <w:shd w:val="clear" w:color="auto" w:fill="auto"/>
            <w:noWrap/>
            <w:vAlign w:val="bottom"/>
            <w:hideMark/>
          </w:tcPr>
          <w:p w14:paraId="44D2BB8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1.05</w:t>
            </w:r>
          </w:p>
        </w:tc>
        <w:tc>
          <w:tcPr>
            <w:tcW w:w="1077" w:type="dxa"/>
            <w:tcBorders>
              <w:top w:val="nil"/>
              <w:left w:val="nil"/>
              <w:bottom w:val="nil"/>
              <w:right w:val="nil"/>
            </w:tcBorders>
            <w:shd w:val="clear" w:color="auto" w:fill="auto"/>
            <w:noWrap/>
            <w:vAlign w:val="bottom"/>
            <w:hideMark/>
          </w:tcPr>
          <w:p w14:paraId="63723896"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1.03</w:t>
            </w:r>
          </w:p>
        </w:tc>
        <w:tc>
          <w:tcPr>
            <w:tcW w:w="1102" w:type="dxa"/>
            <w:tcBorders>
              <w:top w:val="nil"/>
              <w:left w:val="nil"/>
              <w:bottom w:val="nil"/>
              <w:right w:val="nil"/>
            </w:tcBorders>
            <w:shd w:val="clear" w:color="auto" w:fill="auto"/>
            <w:noWrap/>
            <w:vAlign w:val="bottom"/>
            <w:hideMark/>
          </w:tcPr>
          <w:p w14:paraId="2FF1B1F4"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1.07</w:t>
            </w:r>
          </w:p>
        </w:tc>
        <w:tc>
          <w:tcPr>
            <w:tcW w:w="1991" w:type="dxa"/>
            <w:tcBorders>
              <w:top w:val="nil"/>
              <w:left w:val="nil"/>
              <w:bottom w:val="nil"/>
              <w:right w:val="single" w:sz="8" w:space="0" w:color="auto"/>
            </w:tcBorders>
            <w:shd w:val="clear" w:color="auto" w:fill="auto"/>
            <w:noWrap/>
            <w:vAlign w:val="bottom"/>
            <w:hideMark/>
          </w:tcPr>
          <w:p w14:paraId="6644A0D9" w14:textId="54A536FA" w:rsidR="00AA49D3" w:rsidRPr="0097679B" w:rsidRDefault="00B420E0" w:rsidP="003B502F">
            <w:pPr>
              <w:pStyle w:val="tablecontents"/>
              <w:rPr>
                <w:rFonts w:ascii="Arial" w:hAnsi="Arial" w:cs="Arial"/>
                <w:sz w:val="20"/>
                <w:szCs w:val="20"/>
                <w:lang w:eastAsia="en-GB"/>
              </w:rPr>
            </w:pPr>
            <w:r>
              <w:rPr>
                <w:rFonts w:ascii="Arial" w:hAnsi="Arial" w:cs="Arial"/>
                <w:sz w:val="20"/>
                <w:szCs w:val="20"/>
              </w:rPr>
              <w:t>&lt;0.001</w:t>
            </w:r>
          </w:p>
        </w:tc>
      </w:tr>
      <w:tr w:rsidR="00AA49D3" w:rsidRPr="0097679B" w14:paraId="5CD50816"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11F2807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overall_bcs       </w:t>
            </w:r>
          </w:p>
        </w:tc>
        <w:tc>
          <w:tcPr>
            <w:tcW w:w="1501" w:type="dxa"/>
            <w:tcBorders>
              <w:top w:val="nil"/>
              <w:left w:val="nil"/>
              <w:bottom w:val="nil"/>
              <w:right w:val="nil"/>
            </w:tcBorders>
            <w:shd w:val="clear" w:color="auto" w:fill="auto"/>
            <w:noWrap/>
            <w:vAlign w:val="bottom"/>
            <w:hideMark/>
          </w:tcPr>
          <w:p w14:paraId="1F374BD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1.29</w:t>
            </w:r>
          </w:p>
        </w:tc>
        <w:tc>
          <w:tcPr>
            <w:tcW w:w="1077" w:type="dxa"/>
            <w:tcBorders>
              <w:top w:val="nil"/>
              <w:left w:val="nil"/>
              <w:bottom w:val="nil"/>
              <w:right w:val="nil"/>
            </w:tcBorders>
            <w:shd w:val="clear" w:color="auto" w:fill="auto"/>
            <w:noWrap/>
            <w:vAlign w:val="bottom"/>
            <w:hideMark/>
          </w:tcPr>
          <w:p w14:paraId="2765658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0.94</w:t>
            </w:r>
          </w:p>
        </w:tc>
        <w:tc>
          <w:tcPr>
            <w:tcW w:w="1102" w:type="dxa"/>
            <w:tcBorders>
              <w:top w:val="nil"/>
              <w:left w:val="nil"/>
              <w:bottom w:val="nil"/>
              <w:right w:val="nil"/>
            </w:tcBorders>
            <w:shd w:val="clear" w:color="auto" w:fill="auto"/>
            <w:noWrap/>
            <w:vAlign w:val="bottom"/>
            <w:hideMark/>
          </w:tcPr>
          <w:p w14:paraId="77F5A205"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1.78</w:t>
            </w:r>
          </w:p>
        </w:tc>
        <w:tc>
          <w:tcPr>
            <w:tcW w:w="1991" w:type="dxa"/>
            <w:tcBorders>
              <w:top w:val="nil"/>
              <w:left w:val="nil"/>
              <w:bottom w:val="nil"/>
              <w:right w:val="single" w:sz="8" w:space="0" w:color="auto"/>
            </w:tcBorders>
            <w:shd w:val="clear" w:color="auto" w:fill="auto"/>
            <w:noWrap/>
            <w:vAlign w:val="bottom"/>
            <w:hideMark/>
          </w:tcPr>
          <w:p w14:paraId="255584D1" w14:textId="732A0208"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0.1</w:t>
            </w:r>
          </w:p>
        </w:tc>
      </w:tr>
      <w:tr w:rsidR="00AA49D3" w:rsidRPr="0097679B" w14:paraId="1B3ECB8B"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73A41CB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divergence_score    </w:t>
            </w:r>
          </w:p>
        </w:tc>
        <w:tc>
          <w:tcPr>
            <w:tcW w:w="1501" w:type="dxa"/>
            <w:tcBorders>
              <w:top w:val="nil"/>
              <w:left w:val="nil"/>
              <w:bottom w:val="nil"/>
              <w:right w:val="nil"/>
            </w:tcBorders>
            <w:shd w:val="clear" w:color="auto" w:fill="auto"/>
            <w:noWrap/>
            <w:vAlign w:val="bottom"/>
            <w:hideMark/>
          </w:tcPr>
          <w:p w14:paraId="79EF7C50"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1.35</w:t>
            </w:r>
          </w:p>
        </w:tc>
        <w:tc>
          <w:tcPr>
            <w:tcW w:w="1077" w:type="dxa"/>
            <w:tcBorders>
              <w:top w:val="nil"/>
              <w:left w:val="nil"/>
              <w:bottom w:val="nil"/>
              <w:right w:val="nil"/>
            </w:tcBorders>
            <w:shd w:val="clear" w:color="auto" w:fill="auto"/>
            <w:noWrap/>
            <w:vAlign w:val="bottom"/>
            <w:hideMark/>
          </w:tcPr>
          <w:p w14:paraId="7380FA6D"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1.01</w:t>
            </w:r>
          </w:p>
        </w:tc>
        <w:tc>
          <w:tcPr>
            <w:tcW w:w="1102" w:type="dxa"/>
            <w:tcBorders>
              <w:top w:val="nil"/>
              <w:left w:val="nil"/>
              <w:bottom w:val="nil"/>
              <w:right w:val="nil"/>
            </w:tcBorders>
            <w:shd w:val="clear" w:color="auto" w:fill="auto"/>
            <w:noWrap/>
            <w:vAlign w:val="bottom"/>
            <w:hideMark/>
          </w:tcPr>
          <w:p w14:paraId="3614210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1.81</w:t>
            </w:r>
          </w:p>
        </w:tc>
        <w:tc>
          <w:tcPr>
            <w:tcW w:w="1991" w:type="dxa"/>
            <w:tcBorders>
              <w:top w:val="nil"/>
              <w:left w:val="nil"/>
              <w:bottom w:val="nil"/>
              <w:right w:val="single" w:sz="8" w:space="0" w:color="auto"/>
            </w:tcBorders>
            <w:shd w:val="clear" w:color="auto" w:fill="auto"/>
            <w:noWrap/>
            <w:vAlign w:val="bottom"/>
            <w:hideMark/>
          </w:tcPr>
          <w:p w14:paraId="3D4500DC" w14:textId="5DE15724" w:rsidR="00AA49D3" w:rsidRPr="0097679B" w:rsidRDefault="00223BF4" w:rsidP="003612A5">
            <w:pPr>
              <w:pStyle w:val="tablecontents"/>
              <w:rPr>
                <w:rFonts w:ascii="Arial" w:hAnsi="Arial" w:cs="Arial"/>
                <w:sz w:val="20"/>
                <w:szCs w:val="20"/>
                <w:lang w:eastAsia="en-GB"/>
              </w:rPr>
            </w:pPr>
            <w:r>
              <w:rPr>
                <w:rFonts w:ascii="Arial" w:hAnsi="Arial" w:cs="Arial"/>
                <w:sz w:val="20"/>
                <w:szCs w:val="20"/>
                <w:lang w:eastAsia="en-GB"/>
              </w:rPr>
              <w:t>0.04</w:t>
            </w:r>
            <w:r w:rsidR="00AA49D3" w:rsidRPr="0097679B">
              <w:rPr>
                <w:rFonts w:ascii="Arial" w:hAnsi="Arial" w:cs="Arial"/>
                <w:sz w:val="20"/>
                <w:szCs w:val="20"/>
                <w:lang w:eastAsia="en-GB"/>
              </w:rPr>
              <w:t xml:space="preserve">  </w:t>
            </w:r>
          </w:p>
        </w:tc>
      </w:tr>
      <w:tr w:rsidR="00AA49D3" w:rsidRPr="0097679B" w14:paraId="55F8A778"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5313623F"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1" w:type="dxa"/>
            <w:tcBorders>
              <w:top w:val="nil"/>
              <w:left w:val="nil"/>
              <w:bottom w:val="nil"/>
              <w:right w:val="nil"/>
            </w:tcBorders>
            <w:shd w:val="clear" w:color="auto" w:fill="auto"/>
            <w:noWrap/>
            <w:vAlign w:val="bottom"/>
            <w:hideMark/>
          </w:tcPr>
          <w:p w14:paraId="29ACE10E" w14:textId="77777777" w:rsidR="00AA49D3" w:rsidRPr="0097679B" w:rsidRDefault="00AA49D3" w:rsidP="003612A5">
            <w:pPr>
              <w:pStyle w:val="tablecontents"/>
              <w:rPr>
                <w:rFonts w:ascii="Arial" w:hAnsi="Arial" w:cs="Arial"/>
                <w:sz w:val="20"/>
                <w:szCs w:val="20"/>
                <w:lang w:eastAsia="en-GB"/>
              </w:rPr>
            </w:pPr>
          </w:p>
        </w:tc>
        <w:tc>
          <w:tcPr>
            <w:tcW w:w="1077" w:type="dxa"/>
            <w:tcBorders>
              <w:top w:val="nil"/>
              <w:left w:val="nil"/>
              <w:bottom w:val="nil"/>
              <w:right w:val="nil"/>
            </w:tcBorders>
            <w:shd w:val="clear" w:color="auto" w:fill="auto"/>
            <w:noWrap/>
            <w:vAlign w:val="bottom"/>
            <w:hideMark/>
          </w:tcPr>
          <w:p w14:paraId="6842AB94"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60BD3045"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54F1A94C"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1BC45034"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3F3D7EC9"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Concordance</w:t>
            </w:r>
          </w:p>
        </w:tc>
        <w:tc>
          <w:tcPr>
            <w:tcW w:w="2578" w:type="dxa"/>
            <w:gridSpan w:val="2"/>
            <w:tcBorders>
              <w:top w:val="nil"/>
              <w:left w:val="nil"/>
              <w:bottom w:val="nil"/>
              <w:right w:val="nil"/>
            </w:tcBorders>
            <w:shd w:val="clear" w:color="auto" w:fill="auto"/>
            <w:noWrap/>
            <w:vAlign w:val="bottom"/>
            <w:hideMark/>
          </w:tcPr>
          <w:p w14:paraId="3535B6D8"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0.84  (se = 0.036 )</w:t>
            </w:r>
          </w:p>
        </w:tc>
        <w:tc>
          <w:tcPr>
            <w:tcW w:w="1102" w:type="dxa"/>
            <w:tcBorders>
              <w:top w:val="nil"/>
              <w:left w:val="nil"/>
              <w:bottom w:val="nil"/>
              <w:right w:val="nil"/>
            </w:tcBorders>
            <w:shd w:val="clear" w:color="auto" w:fill="auto"/>
            <w:noWrap/>
            <w:vAlign w:val="bottom"/>
            <w:hideMark/>
          </w:tcPr>
          <w:p w14:paraId="68B43D6E"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65A5914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17B172D5"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55459FD3"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Wald test        </w:t>
            </w:r>
          </w:p>
        </w:tc>
        <w:tc>
          <w:tcPr>
            <w:tcW w:w="3680" w:type="dxa"/>
            <w:gridSpan w:val="3"/>
            <w:tcBorders>
              <w:top w:val="nil"/>
              <w:left w:val="nil"/>
              <w:bottom w:val="nil"/>
              <w:right w:val="nil"/>
            </w:tcBorders>
            <w:shd w:val="clear" w:color="auto" w:fill="auto"/>
            <w:noWrap/>
            <w:vAlign w:val="bottom"/>
            <w:hideMark/>
          </w:tcPr>
          <w:p w14:paraId="6B113FAF" w14:textId="15BDE37E" w:rsidR="00AA49D3" w:rsidRPr="00223BF4" w:rsidRDefault="00B420E0" w:rsidP="003B502F">
            <w:pPr>
              <w:pStyle w:val="tablecontents"/>
              <w:rPr>
                <w:rFonts w:ascii="Arial" w:hAnsi="Arial" w:cs="Arial"/>
                <w:sz w:val="20"/>
                <w:szCs w:val="20"/>
                <w:vertAlign w:val="superscript"/>
                <w:lang w:eastAsia="en-GB"/>
              </w:rPr>
            </w:pPr>
            <w:r>
              <w:rPr>
                <w:rFonts w:ascii="Arial" w:hAnsi="Arial" w:cs="Arial"/>
                <w:sz w:val="20"/>
                <w:szCs w:val="20"/>
                <w:lang w:eastAsia="en-GB"/>
              </w:rPr>
              <w:t xml:space="preserve">= 87.66  on 5 df,   </w:t>
            </w:r>
            <w:r>
              <w:rPr>
                <w:rFonts w:ascii="Arial" w:hAnsi="Arial" w:cs="Arial"/>
                <w:sz w:val="20"/>
                <w:szCs w:val="20"/>
              </w:rPr>
              <w:t>p&lt;0.001</w:t>
            </w:r>
          </w:p>
        </w:tc>
        <w:tc>
          <w:tcPr>
            <w:tcW w:w="1991" w:type="dxa"/>
            <w:tcBorders>
              <w:top w:val="nil"/>
              <w:left w:val="nil"/>
              <w:bottom w:val="nil"/>
              <w:right w:val="single" w:sz="8" w:space="0" w:color="auto"/>
            </w:tcBorders>
            <w:shd w:val="clear" w:color="auto" w:fill="auto"/>
            <w:noWrap/>
            <w:vAlign w:val="bottom"/>
            <w:hideMark/>
          </w:tcPr>
          <w:p w14:paraId="0FC51B35"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0960239A" w14:textId="77777777" w:rsidTr="003612A5">
        <w:trPr>
          <w:trHeight w:val="300"/>
        </w:trPr>
        <w:tc>
          <w:tcPr>
            <w:tcW w:w="2399" w:type="dxa"/>
            <w:tcBorders>
              <w:top w:val="nil"/>
              <w:left w:val="single" w:sz="8" w:space="0" w:color="auto"/>
              <w:bottom w:val="nil"/>
              <w:right w:val="nil"/>
            </w:tcBorders>
            <w:shd w:val="clear" w:color="auto" w:fill="auto"/>
            <w:noWrap/>
            <w:vAlign w:val="bottom"/>
            <w:hideMark/>
          </w:tcPr>
          <w:p w14:paraId="0D8F2029" w14:textId="7E8046D3" w:rsidR="00AA49D3" w:rsidRPr="0097679B" w:rsidRDefault="00116F72" w:rsidP="003612A5">
            <w:pPr>
              <w:pStyle w:val="tablecontents"/>
              <w:rPr>
                <w:rFonts w:ascii="Arial" w:hAnsi="Arial" w:cs="Arial"/>
                <w:sz w:val="20"/>
                <w:szCs w:val="20"/>
                <w:lang w:eastAsia="en-GB"/>
              </w:rPr>
            </w:pPr>
            <w:r>
              <w:rPr>
                <w:rFonts w:ascii="Arial" w:hAnsi="Arial" w:cs="Arial"/>
                <w:sz w:val="20"/>
                <w:szCs w:val="20"/>
                <w:lang w:eastAsia="en-GB"/>
              </w:rPr>
              <w:t>R</w:t>
            </w:r>
            <w:r>
              <w:rPr>
                <w:rFonts w:ascii="Arial" w:hAnsi="Arial" w:cs="Arial"/>
                <w:sz w:val="20"/>
                <w:szCs w:val="20"/>
                <w:vertAlign w:val="superscript"/>
                <w:lang w:eastAsia="en-GB"/>
              </w:rPr>
              <w:t>2</w:t>
            </w:r>
            <w:r w:rsidR="00AA49D3" w:rsidRPr="0097679B">
              <w:rPr>
                <w:rFonts w:ascii="Arial" w:hAnsi="Arial" w:cs="Arial"/>
                <w:sz w:val="20"/>
                <w:szCs w:val="20"/>
                <w:lang w:eastAsia="en-GB"/>
              </w:rPr>
              <w:t xml:space="preserve"> (mev)          </w:t>
            </w:r>
          </w:p>
        </w:tc>
        <w:tc>
          <w:tcPr>
            <w:tcW w:w="1501" w:type="dxa"/>
            <w:tcBorders>
              <w:top w:val="nil"/>
              <w:left w:val="nil"/>
              <w:bottom w:val="nil"/>
              <w:right w:val="nil"/>
            </w:tcBorders>
            <w:shd w:val="clear" w:color="auto" w:fill="auto"/>
            <w:noWrap/>
            <w:vAlign w:val="bottom"/>
            <w:hideMark/>
          </w:tcPr>
          <w:p w14:paraId="46D18303" w14:textId="799364E6"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w:t>
            </w:r>
            <w:r w:rsidR="00223BF4">
              <w:rPr>
                <w:rFonts w:ascii="Arial" w:hAnsi="Arial" w:cs="Arial"/>
                <w:sz w:val="20"/>
                <w:szCs w:val="20"/>
                <w:lang w:eastAsia="en-GB"/>
              </w:rPr>
              <w:t xml:space="preserve"> </w:t>
            </w:r>
            <w:r w:rsidRPr="0097679B">
              <w:rPr>
                <w:rFonts w:ascii="Arial" w:hAnsi="Arial" w:cs="Arial"/>
                <w:sz w:val="20"/>
                <w:szCs w:val="20"/>
                <w:lang w:eastAsia="en-GB"/>
              </w:rPr>
              <w:t>0.77</w:t>
            </w:r>
          </w:p>
        </w:tc>
        <w:tc>
          <w:tcPr>
            <w:tcW w:w="1077" w:type="dxa"/>
            <w:tcBorders>
              <w:top w:val="nil"/>
              <w:left w:val="nil"/>
              <w:bottom w:val="nil"/>
              <w:right w:val="nil"/>
            </w:tcBorders>
            <w:shd w:val="clear" w:color="auto" w:fill="auto"/>
            <w:noWrap/>
            <w:vAlign w:val="bottom"/>
            <w:hideMark/>
          </w:tcPr>
          <w:p w14:paraId="6E9BD3D1"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bottom w:val="nil"/>
              <w:right w:val="nil"/>
            </w:tcBorders>
            <w:shd w:val="clear" w:color="auto" w:fill="auto"/>
            <w:noWrap/>
            <w:vAlign w:val="bottom"/>
            <w:hideMark/>
          </w:tcPr>
          <w:p w14:paraId="6B19EEEF"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bottom w:val="nil"/>
              <w:right w:val="single" w:sz="8" w:space="0" w:color="auto"/>
            </w:tcBorders>
            <w:shd w:val="clear" w:color="auto" w:fill="auto"/>
            <w:noWrap/>
            <w:vAlign w:val="bottom"/>
            <w:hideMark/>
          </w:tcPr>
          <w:p w14:paraId="5CF04A52"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23D7A2C1" w14:textId="77777777" w:rsidTr="00AA49D3">
        <w:trPr>
          <w:trHeight w:val="300"/>
        </w:trPr>
        <w:tc>
          <w:tcPr>
            <w:tcW w:w="2399" w:type="dxa"/>
            <w:tcBorders>
              <w:top w:val="nil"/>
              <w:left w:val="single" w:sz="8" w:space="0" w:color="auto"/>
              <w:right w:val="nil"/>
            </w:tcBorders>
            <w:shd w:val="clear" w:color="auto" w:fill="auto"/>
            <w:noWrap/>
            <w:vAlign w:val="bottom"/>
            <w:hideMark/>
          </w:tcPr>
          <w:p w14:paraId="48428F6E"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c>
          <w:tcPr>
            <w:tcW w:w="1501" w:type="dxa"/>
            <w:tcBorders>
              <w:top w:val="nil"/>
              <w:left w:val="nil"/>
              <w:right w:val="nil"/>
            </w:tcBorders>
            <w:shd w:val="clear" w:color="auto" w:fill="auto"/>
            <w:noWrap/>
            <w:vAlign w:val="bottom"/>
            <w:hideMark/>
          </w:tcPr>
          <w:p w14:paraId="3C85498D" w14:textId="77777777" w:rsidR="00AA49D3" w:rsidRPr="0097679B" w:rsidRDefault="00AA49D3" w:rsidP="003612A5">
            <w:pPr>
              <w:pStyle w:val="tablecontents"/>
              <w:rPr>
                <w:rFonts w:ascii="Arial" w:hAnsi="Arial" w:cs="Arial"/>
                <w:sz w:val="20"/>
                <w:szCs w:val="20"/>
                <w:lang w:eastAsia="en-GB"/>
              </w:rPr>
            </w:pPr>
          </w:p>
        </w:tc>
        <w:tc>
          <w:tcPr>
            <w:tcW w:w="1077" w:type="dxa"/>
            <w:tcBorders>
              <w:top w:val="nil"/>
              <w:left w:val="nil"/>
              <w:right w:val="nil"/>
            </w:tcBorders>
            <w:shd w:val="clear" w:color="auto" w:fill="auto"/>
            <w:noWrap/>
            <w:vAlign w:val="bottom"/>
            <w:hideMark/>
          </w:tcPr>
          <w:p w14:paraId="606370D9" w14:textId="77777777" w:rsidR="00AA49D3" w:rsidRPr="0097679B" w:rsidRDefault="00AA49D3" w:rsidP="003612A5">
            <w:pPr>
              <w:pStyle w:val="tablecontents"/>
              <w:rPr>
                <w:rFonts w:ascii="Arial" w:hAnsi="Arial" w:cs="Arial"/>
                <w:sz w:val="20"/>
                <w:szCs w:val="20"/>
                <w:lang w:eastAsia="en-GB"/>
              </w:rPr>
            </w:pPr>
          </w:p>
        </w:tc>
        <w:tc>
          <w:tcPr>
            <w:tcW w:w="1102" w:type="dxa"/>
            <w:tcBorders>
              <w:top w:val="nil"/>
              <w:left w:val="nil"/>
              <w:right w:val="nil"/>
            </w:tcBorders>
            <w:shd w:val="clear" w:color="auto" w:fill="auto"/>
            <w:noWrap/>
            <w:vAlign w:val="bottom"/>
            <w:hideMark/>
          </w:tcPr>
          <w:p w14:paraId="61ED31BC" w14:textId="77777777" w:rsidR="00AA49D3" w:rsidRPr="0097679B" w:rsidRDefault="00AA49D3" w:rsidP="003612A5">
            <w:pPr>
              <w:pStyle w:val="tablecontents"/>
              <w:rPr>
                <w:rFonts w:ascii="Arial" w:hAnsi="Arial" w:cs="Arial"/>
                <w:sz w:val="20"/>
                <w:szCs w:val="20"/>
                <w:lang w:eastAsia="en-GB"/>
              </w:rPr>
            </w:pPr>
          </w:p>
        </w:tc>
        <w:tc>
          <w:tcPr>
            <w:tcW w:w="1991" w:type="dxa"/>
            <w:tcBorders>
              <w:top w:val="nil"/>
              <w:left w:val="nil"/>
              <w:right w:val="single" w:sz="8" w:space="0" w:color="auto"/>
            </w:tcBorders>
            <w:shd w:val="clear" w:color="auto" w:fill="auto"/>
            <w:noWrap/>
            <w:vAlign w:val="bottom"/>
            <w:hideMark/>
          </w:tcPr>
          <w:p w14:paraId="6399F1A1"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w:t>
            </w:r>
          </w:p>
        </w:tc>
      </w:tr>
      <w:tr w:rsidR="00AA49D3" w:rsidRPr="0097679B" w14:paraId="5D4E35CF" w14:textId="77777777" w:rsidTr="00AA49D3">
        <w:trPr>
          <w:trHeight w:val="315"/>
        </w:trPr>
        <w:tc>
          <w:tcPr>
            <w:tcW w:w="8070" w:type="dxa"/>
            <w:gridSpan w:val="5"/>
            <w:tcBorders>
              <w:top w:val="nil"/>
              <w:left w:val="single" w:sz="8" w:space="0" w:color="auto"/>
              <w:bottom w:val="single" w:sz="4" w:space="0" w:color="auto"/>
              <w:right w:val="single" w:sz="8" w:space="0" w:color="000000"/>
            </w:tcBorders>
            <w:shd w:val="clear" w:color="auto" w:fill="auto"/>
            <w:noWrap/>
            <w:vAlign w:val="bottom"/>
            <w:hideMark/>
          </w:tcPr>
          <w:p w14:paraId="228B83DB" w14:textId="77777777" w:rsidR="00AA49D3" w:rsidRPr="0097679B" w:rsidRDefault="00AA49D3" w:rsidP="003612A5">
            <w:pPr>
              <w:pStyle w:val="tablecontents"/>
              <w:rPr>
                <w:rFonts w:ascii="Arial" w:hAnsi="Arial" w:cs="Arial"/>
                <w:sz w:val="20"/>
                <w:szCs w:val="20"/>
                <w:lang w:eastAsia="en-GB"/>
              </w:rPr>
            </w:pPr>
            <w:r w:rsidRPr="0097679B">
              <w:rPr>
                <w:rFonts w:ascii="Arial" w:hAnsi="Arial" w:cs="Arial"/>
                <w:sz w:val="20"/>
                <w:szCs w:val="20"/>
                <w:lang w:eastAsia="en-GB"/>
              </w:rPr>
              <w:t xml:space="preserve">  n= 1502, number of events= 36  (366 observations missing)</w:t>
            </w:r>
          </w:p>
        </w:tc>
      </w:tr>
    </w:tbl>
    <w:p w14:paraId="73EE93E1" w14:textId="77777777" w:rsidR="00705D41" w:rsidRPr="0097679B" w:rsidRDefault="00705D41" w:rsidP="00705D41">
      <w:pPr>
        <w:rPr>
          <w:rFonts w:ascii="Arial" w:hAnsi="Arial" w:cs="Arial"/>
          <w:sz w:val="20"/>
          <w:szCs w:val="20"/>
        </w:rPr>
      </w:pPr>
    </w:p>
    <w:p w14:paraId="37F83009" w14:textId="77777777" w:rsidR="00705D41" w:rsidRPr="0097679B" w:rsidRDefault="00705D41" w:rsidP="000617A0">
      <w:pPr>
        <w:spacing w:line="480" w:lineRule="auto"/>
        <w:rPr>
          <w:rFonts w:ascii="Arial" w:hAnsi="Arial" w:cs="Arial"/>
          <w:sz w:val="20"/>
          <w:szCs w:val="20"/>
        </w:rPr>
      </w:pPr>
    </w:p>
    <w:p w14:paraId="6B3AD210" w14:textId="77777777" w:rsidR="0097679B" w:rsidRDefault="0097679B" w:rsidP="009F0DF5">
      <w:pPr>
        <w:rPr>
          <w:rFonts w:ascii="Arial" w:hAnsi="Arial" w:cs="Arial"/>
          <w:sz w:val="20"/>
          <w:szCs w:val="20"/>
        </w:rPr>
      </w:pPr>
    </w:p>
    <w:p w14:paraId="01E33F28" w14:textId="77777777" w:rsidR="0097679B" w:rsidRDefault="0097679B">
      <w:pPr>
        <w:rPr>
          <w:rFonts w:ascii="Arial" w:hAnsi="Arial" w:cs="Arial"/>
          <w:sz w:val="20"/>
          <w:szCs w:val="20"/>
        </w:rPr>
      </w:pPr>
      <w:r>
        <w:rPr>
          <w:rFonts w:ascii="Arial" w:hAnsi="Arial" w:cs="Arial"/>
          <w:sz w:val="20"/>
          <w:szCs w:val="20"/>
        </w:rPr>
        <w:br w:type="page"/>
      </w:r>
    </w:p>
    <w:p w14:paraId="65273869" w14:textId="10E62239" w:rsidR="009F0DF5" w:rsidRPr="0097679B" w:rsidRDefault="009F0DF5" w:rsidP="000B6ADD">
      <w:pPr>
        <w:spacing w:line="480" w:lineRule="auto"/>
        <w:rPr>
          <w:rFonts w:ascii="Arial" w:hAnsi="Arial" w:cs="Arial"/>
          <w:sz w:val="20"/>
          <w:szCs w:val="20"/>
        </w:rPr>
      </w:pPr>
      <w:r w:rsidRPr="0097679B">
        <w:rPr>
          <w:rFonts w:ascii="Arial" w:hAnsi="Arial" w:cs="Arial"/>
          <w:sz w:val="20"/>
          <w:szCs w:val="20"/>
        </w:rPr>
        <w:lastRenderedPageBreak/>
        <w:t>Table 4:</w:t>
      </w:r>
      <w:bookmarkStart w:id="9" w:name="_Toc60537353"/>
      <w:bookmarkStart w:id="10" w:name="_Toc65624493"/>
      <w:r w:rsidRPr="0097679B">
        <w:rPr>
          <w:rFonts w:ascii="Arial" w:hAnsi="Arial" w:cs="Arial"/>
          <w:sz w:val="20"/>
          <w:szCs w:val="20"/>
        </w:rPr>
        <w:t xml:space="preserve"> Univariable </w:t>
      </w:r>
      <w:r w:rsidR="00116F72">
        <w:rPr>
          <w:rFonts w:ascii="Arial" w:hAnsi="Arial" w:cs="Arial"/>
          <w:sz w:val="20"/>
          <w:szCs w:val="20"/>
        </w:rPr>
        <w:t>time-dependent Cox proportional-hazards models to indicate associations</w:t>
      </w:r>
      <w:r w:rsidRPr="0097679B">
        <w:rPr>
          <w:rFonts w:ascii="Arial" w:hAnsi="Arial" w:cs="Arial"/>
          <w:sz w:val="20"/>
          <w:szCs w:val="20"/>
        </w:rPr>
        <w:t xml:space="preserve"> between the main predictor variables identified in the composite models and the </w:t>
      </w:r>
      <w:r w:rsidR="003B502F">
        <w:rPr>
          <w:rFonts w:ascii="Arial" w:hAnsi="Arial" w:cs="Arial"/>
          <w:sz w:val="20"/>
          <w:szCs w:val="20"/>
        </w:rPr>
        <w:t xml:space="preserve">laminitis </w:t>
      </w:r>
      <w:r w:rsidRPr="0097679B">
        <w:rPr>
          <w:rFonts w:ascii="Arial" w:hAnsi="Arial" w:cs="Arial"/>
          <w:sz w:val="20"/>
          <w:szCs w:val="20"/>
        </w:rPr>
        <w:t>hazard.</w:t>
      </w:r>
      <w:bookmarkEnd w:id="9"/>
      <w:bookmarkEnd w:id="10"/>
      <w:r w:rsidRPr="0097679B">
        <w:rPr>
          <w:rFonts w:ascii="Arial" w:hAnsi="Arial" w:cs="Arial"/>
          <w:sz w:val="20"/>
          <w:szCs w:val="20"/>
        </w:rPr>
        <w:t xml:space="preserve"> CI = confiden</w:t>
      </w:r>
      <w:r w:rsidR="009A450D">
        <w:rPr>
          <w:rFonts w:ascii="Arial" w:hAnsi="Arial" w:cs="Arial"/>
          <w:sz w:val="20"/>
          <w:szCs w:val="20"/>
        </w:rPr>
        <w:t>ce interval</w:t>
      </w:r>
      <w:r w:rsidR="00A71F98">
        <w:rPr>
          <w:rFonts w:ascii="Arial" w:hAnsi="Arial" w:cs="Arial"/>
          <w:sz w:val="20"/>
          <w:szCs w:val="20"/>
        </w:rPr>
        <w:t xml:space="preserve"> (estimated as ±1.96 x standard error for concordance)</w:t>
      </w:r>
    </w:p>
    <w:tbl>
      <w:tblPr>
        <w:tblStyle w:val="TableGrid"/>
        <w:tblW w:w="0" w:type="auto"/>
        <w:tblLook w:val="04A0" w:firstRow="1" w:lastRow="0" w:firstColumn="1" w:lastColumn="0" w:noHBand="0" w:noVBand="1"/>
      </w:tblPr>
      <w:tblGrid>
        <w:gridCol w:w="1980"/>
        <w:gridCol w:w="1719"/>
        <w:gridCol w:w="1258"/>
        <w:gridCol w:w="1596"/>
      </w:tblGrid>
      <w:tr w:rsidR="009F0DF5" w:rsidRPr="0097679B" w14:paraId="1F76D25E" w14:textId="77777777" w:rsidTr="00A6780B">
        <w:tc>
          <w:tcPr>
            <w:tcW w:w="1980" w:type="dxa"/>
          </w:tcPr>
          <w:p w14:paraId="2CABF40E"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 xml:space="preserve">Explanatory Variable </w:t>
            </w:r>
          </w:p>
        </w:tc>
        <w:tc>
          <w:tcPr>
            <w:tcW w:w="1719" w:type="dxa"/>
          </w:tcPr>
          <w:p w14:paraId="5BBE83BE"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 xml:space="preserve">Hazard ratio </w:t>
            </w:r>
          </w:p>
          <w:p w14:paraId="36D0F4E1"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(95% CI)</w:t>
            </w:r>
          </w:p>
        </w:tc>
        <w:tc>
          <w:tcPr>
            <w:tcW w:w="1258" w:type="dxa"/>
          </w:tcPr>
          <w:p w14:paraId="094F21F3"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 xml:space="preserve">P value </w:t>
            </w:r>
          </w:p>
          <w:p w14:paraId="3BD62252"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(Wald)</w:t>
            </w:r>
          </w:p>
        </w:tc>
        <w:tc>
          <w:tcPr>
            <w:tcW w:w="1596" w:type="dxa"/>
          </w:tcPr>
          <w:p w14:paraId="20EF82BA" w14:textId="75CD0ED3" w:rsidR="009F0DF5" w:rsidRPr="0097679B" w:rsidRDefault="009A450D" w:rsidP="003612A5">
            <w:pPr>
              <w:pStyle w:val="Thesisparagraph"/>
              <w:rPr>
                <w:rFonts w:ascii="Arial" w:hAnsi="Arial" w:cs="Arial"/>
                <w:sz w:val="20"/>
                <w:szCs w:val="20"/>
              </w:rPr>
            </w:pPr>
            <w:r>
              <w:rPr>
                <w:rFonts w:ascii="Arial" w:hAnsi="Arial" w:cs="Arial"/>
                <w:sz w:val="20"/>
                <w:szCs w:val="20"/>
              </w:rPr>
              <w:t>Concordance (95% CI</w:t>
            </w:r>
            <w:r w:rsidR="009F0DF5" w:rsidRPr="0097679B">
              <w:rPr>
                <w:rFonts w:ascii="Arial" w:hAnsi="Arial" w:cs="Arial"/>
                <w:sz w:val="20"/>
                <w:szCs w:val="20"/>
              </w:rPr>
              <w:t>)</w:t>
            </w:r>
          </w:p>
        </w:tc>
      </w:tr>
      <w:tr w:rsidR="009F0DF5" w:rsidRPr="0097679B" w14:paraId="3B712779" w14:textId="77777777" w:rsidTr="00A6780B">
        <w:tc>
          <w:tcPr>
            <w:tcW w:w="1980" w:type="dxa"/>
          </w:tcPr>
          <w:p w14:paraId="2C712DDA" w14:textId="7C4578AA" w:rsidR="009F0DF5" w:rsidRPr="0097679B" w:rsidRDefault="00223BF4" w:rsidP="003612A5">
            <w:pPr>
              <w:pStyle w:val="Thesisparagraph"/>
              <w:rPr>
                <w:rFonts w:ascii="Arial" w:hAnsi="Arial" w:cs="Arial"/>
                <w:sz w:val="20"/>
                <w:szCs w:val="20"/>
              </w:rPr>
            </w:pPr>
            <w:r>
              <w:rPr>
                <w:rFonts w:ascii="Arial" w:hAnsi="Arial" w:cs="Arial"/>
                <w:sz w:val="20"/>
                <w:szCs w:val="20"/>
              </w:rPr>
              <w:t>[Insulin]T60</w:t>
            </w:r>
            <w:r>
              <w:rPr>
                <w:rFonts w:ascii="Arial" w:hAnsi="Arial" w:cs="Arial"/>
                <w:sz w:val="20"/>
                <w:szCs w:val="20"/>
                <w:vertAlign w:val="subscript"/>
              </w:rPr>
              <w:t>10</w:t>
            </w:r>
          </w:p>
        </w:tc>
        <w:tc>
          <w:tcPr>
            <w:tcW w:w="1719" w:type="dxa"/>
          </w:tcPr>
          <w:p w14:paraId="0CF8C589"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1.08 (1.06-1.09)</w:t>
            </w:r>
          </w:p>
        </w:tc>
        <w:tc>
          <w:tcPr>
            <w:tcW w:w="1258" w:type="dxa"/>
          </w:tcPr>
          <w:p w14:paraId="3EBEDB3B" w14:textId="346D51A2" w:rsidR="009F0DF5" w:rsidRPr="00BB7B3E" w:rsidRDefault="00B420E0" w:rsidP="003B502F">
            <w:pPr>
              <w:pStyle w:val="Thesisparagraph"/>
              <w:rPr>
                <w:rFonts w:ascii="Arial" w:hAnsi="Arial" w:cs="Arial"/>
                <w:sz w:val="20"/>
                <w:szCs w:val="20"/>
                <w:vertAlign w:val="superscript"/>
              </w:rPr>
            </w:pPr>
            <w:r>
              <w:rPr>
                <w:rFonts w:ascii="Arial" w:hAnsi="Arial" w:cs="Arial"/>
                <w:sz w:val="20"/>
                <w:szCs w:val="20"/>
              </w:rPr>
              <w:t>&lt;0.001</w:t>
            </w:r>
          </w:p>
        </w:tc>
        <w:tc>
          <w:tcPr>
            <w:tcW w:w="1596" w:type="dxa"/>
          </w:tcPr>
          <w:p w14:paraId="5C3C6C93" w14:textId="77777777" w:rsidR="009A450D" w:rsidRDefault="009F0DF5" w:rsidP="009A450D">
            <w:pPr>
              <w:pStyle w:val="Thesisparagraph"/>
              <w:rPr>
                <w:rFonts w:ascii="Arial" w:hAnsi="Arial" w:cs="Arial"/>
                <w:sz w:val="20"/>
                <w:szCs w:val="20"/>
              </w:rPr>
            </w:pPr>
            <w:r w:rsidRPr="0097679B">
              <w:rPr>
                <w:rFonts w:ascii="Arial" w:hAnsi="Arial" w:cs="Arial"/>
                <w:sz w:val="20"/>
                <w:szCs w:val="20"/>
              </w:rPr>
              <w:t xml:space="preserve">0.84  </w:t>
            </w:r>
          </w:p>
          <w:p w14:paraId="3AED44B2" w14:textId="18D5C6E8" w:rsidR="009F0DF5" w:rsidRPr="0097679B" w:rsidRDefault="00736272" w:rsidP="009A450D">
            <w:pPr>
              <w:pStyle w:val="Thesisparagraph"/>
              <w:rPr>
                <w:rFonts w:ascii="Arial" w:hAnsi="Arial" w:cs="Arial"/>
                <w:sz w:val="20"/>
                <w:szCs w:val="20"/>
              </w:rPr>
            </w:pPr>
            <w:r>
              <w:rPr>
                <w:rFonts w:ascii="Arial" w:hAnsi="Arial" w:cs="Arial"/>
                <w:sz w:val="20"/>
                <w:szCs w:val="20"/>
              </w:rPr>
              <w:t>(0.77-0.91)</w:t>
            </w:r>
          </w:p>
        </w:tc>
      </w:tr>
      <w:tr w:rsidR="009F0DF5" w:rsidRPr="0097679B" w14:paraId="29A3E23D" w14:textId="77777777" w:rsidTr="00BB7B3E">
        <w:tc>
          <w:tcPr>
            <w:tcW w:w="1980" w:type="dxa"/>
          </w:tcPr>
          <w:p w14:paraId="7F041961" w14:textId="743FC151"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[insulin]T0</w:t>
            </w:r>
          </w:p>
        </w:tc>
        <w:tc>
          <w:tcPr>
            <w:tcW w:w="1719" w:type="dxa"/>
          </w:tcPr>
          <w:p w14:paraId="5B4EA8EE"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1.01 (1.01-1.01)</w:t>
            </w:r>
          </w:p>
        </w:tc>
        <w:tc>
          <w:tcPr>
            <w:tcW w:w="1258" w:type="dxa"/>
          </w:tcPr>
          <w:p w14:paraId="73B394B0" w14:textId="0E8345A8" w:rsidR="009F0DF5" w:rsidRPr="00BB7B3E" w:rsidRDefault="00B420E0" w:rsidP="003B502F">
            <w:pPr>
              <w:pStyle w:val="Thesisparagraph"/>
              <w:rPr>
                <w:rFonts w:ascii="Arial" w:hAnsi="Arial" w:cs="Arial"/>
                <w:sz w:val="20"/>
                <w:szCs w:val="20"/>
                <w:vertAlign w:val="superscript"/>
              </w:rPr>
            </w:pPr>
            <w:r>
              <w:rPr>
                <w:rFonts w:ascii="Arial" w:hAnsi="Arial" w:cs="Arial"/>
                <w:sz w:val="20"/>
                <w:szCs w:val="20"/>
              </w:rPr>
              <w:t>&lt;0.001</w:t>
            </w:r>
          </w:p>
        </w:tc>
        <w:tc>
          <w:tcPr>
            <w:tcW w:w="1596" w:type="dxa"/>
          </w:tcPr>
          <w:p w14:paraId="41409B81" w14:textId="5A3BD415" w:rsidR="00736272" w:rsidRDefault="009A450D" w:rsidP="003612A5">
            <w:pPr>
              <w:pStyle w:val="Thesisparagraph"/>
              <w:rPr>
                <w:rFonts w:ascii="Arial" w:hAnsi="Arial" w:cs="Arial"/>
                <w:sz w:val="20"/>
                <w:szCs w:val="20"/>
              </w:rPr>
            </w:pPr>
            <w:r>
              <w:rPr>
                <w:rFonts w:ascii="Arial" w:hAnsi="Arial" w:cs="Arial"/>
                <w:sz w:val="20"/>
                <w:szCs w:val="20"/>
              </w:rPr>
              <w:t>0.79</w:t>
            </w:r>
          </w:p>
          <w:p w14:paraId="4B5C2929" w14:textId="331402BB" w:rsidR="009F0DF5" w:rsidRPr="0097679B" w:rsidRDefault="00B420E0" w:rsidP="003612A5">
            <w:pPr>
              <w:pStyle w:val="Thesisparagraph"/>
              <w:rPr>
                <w:rFonts w:ascii="Arial" w:hAnsi="Arial" w:cs="Arial"/>
                <w:sz w:val="20"/>
                <w:szCs w:val="20"/>
              </w:rPr>
            </w:pPr>
            <w:r>
              <w:rPr>
                <w:rFonts w:ascii="Arial" w:hAnsi="Arial" w:cs="Arial"/>
                <w:sz w:val="20"/>
                <w:szCs w:val="20"/>
              </w:rPr>
              <w:t>(</w:t>
            </w:r>
            <w:r w:rsidR="00736272">
              <w:rPr>
                <w:rFonts w:ascii="Arial" w:hAnsi="Arial" w:cs="Arial"/>
                <w:sz w:val="20"/>
                <w:szCs w:val="20"/>
              </w:rPr>
              <w:t>0.72</w:t>
            </w:r>
            <w:r>
              <w:rPr>
                <w:rFonts w:ascii="Arial" w:hAnsi="Arial" w:cs="Arial"/>
                <w:sz w:val="20"/>
                <w:szCs w:val="20"/>
              </w:rPr>
              <w:t>-0.86)</w:t>
            </w:r>
          </w:p>
        </w:tc>
      </w:tr>
      <w:tr w:rsidR="009F0DF5" w:rsidRPr="0097679B" w14:paraId="231EA000" w14:textId="77777777" w:rsidTr="00BB7B3E">
        <w:tc>
          <w:tcPr>
            <w:tcW w:w="1980" w:type="dxa"/>
          </w:tcPr>
          <w:p w14:paraId="0F2AF78F"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[adiponectin]</w:t>
            </w:r>
          </w:p>
        </w:tc>
        <w:tc>
          <w:tcPr>
            <w:tcW w:w="1719" w:type="dxa"/>
          </w:tcPr>
          <w:p w14:paraId="7E67E1AB"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0.88 (0.84-0.93)</w:t>
            </w:r>
          </w:p>
        </w:tc>
        <w:tc>
          <w:tcPr>
            <w:tcW w:w="1258" w:type="dxa"/>
          </w:tcPr>
          <w:p w14:paraId="72494A37" w14:textId="597C8F6C" w:rsidR="009F0DF5" w:rsidRPr="00BB7B3E" w:rsidRDefault="00B420E0" w:rsidP="003B502F">
            <w:pPr>
              <w:pStyle w:val="Thesisparagraph"/>
              <w:rPr>
                <w:rFonts w:ascii="Arial" w:hAnsi="Arial" w:cs="Arial"/>
                <w:sz w:val="20"/>
                <w:szCs w:val="20"/>
                <w:vertAlign w:val="superscript"/>
              </w:rPr>
            </w:pPr>
            <w:r>
              <w:rPr>
                <w:rFonts w:ascii="Arial" w:hAnsi="Arial" w:cs="Arial"/>
                <w:sz w:val="20"/>
                <w:szCs w:val="20"/>
              </w:rPr>
              <w:t>&lt;0.001</w:t>
            </w:r>
          </w:p>
        </w:tc>
        <w:tc>
          <w:tcPr>
            <w:tcW w:w="1596" w:type="dxa"/>
          </w:tcPr>
          <w:p w14:paraId="546706D7" w14:textId="77777777" w:rsidR="009A450D" w:rsidRDefault="009A450D" w:rsidP="003612A5">
            <w:pPr>
              <w:pStyle w:val="Thesisparagraph"/>
              <w:rPr>
                <w:rFonts w:ascii="Arial" w:hAnsi="Arial" w:cs="Arial"/>
                <w:sz w:val="20"/>
                <w:szCs w:val="20"/>
              </w:rPr>
            </w:pPr>
            <w:r>
              <w:rPr>
                <w:rFonts w:ascii="Arial" w:hAnsi="Arial" w:cs="Arial"/>
                <w:sz w:val="20"/>
                <w:szCs w:val="20"/>
              </w:rPr>
              <w:t xml:space="preserve">0.77  </w:t>
            </w:r>
          </w:p>
          <w:p w14:paraId="00B10BCE" w14:textId="723ACA12" w:rsidR="009F0DF5" w:rsidRPr="0097679B" w:rsidRDefault="009A450D" w:rsidP="003612A5">
            <w:pPr>
              <w:pStyle w:val="Thesisparagraph"/>
              <w:rPr>
                <w:rFonts w:ascii="Arial" w:hAnsi="Arial" w:cs="Arial"/>
                <w:sz w:val="20"/>
                <w:szCs w:val="20"/>
              </w:rPr>
            </w:pPr>
            <w:r>
              <w:rPr>
                <w:rFonts w:ascii="Arial" w:hAnsi="Arial" w:cs="Arial"/>
                <w:sz w:val="20"/>
                <w:szCs w:val="20"/>
              </w:rPr>
              <w:t>(0.69-0.85)</w:t>
            </w:r>
          </w:p>
        </w:tc>
      </w:tr>
      <w:tr w:rsidR="009F0DF5" w:rsidRPr="0097679B" w14:paraId="476FC1E0" w14:textId="77777777" w:rsidTr="00BB7B3E">
        <w:tc>
          <w:tcPr>
            <w:tcW w:w="1980" w:type="dxa"/>
          </w:tcPr>
          <w:p w14:paraId="68ECE263"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Hoof divergence score</w:t>
            </w:r>
          </w:p>
        </w:tc>
        <w:tc>
          <w:tcPr>
            <w:tcW w:w="1719" w:type="dxa"/>
          </w:tcPr>
          <w:p w14:paraId="62B5D2C2" w14:textId="77777777" w:rsidR="009F0DF5" w:rsidRPr="0097679B" w:rsidRDefault="009F0DF5" w:rsidP="003612A5">
            <w:pPr>
              <w:pStyle w:val="Thesisparagraph"/>
              <w:rPr>
                <w:rFonts w:ascii="Arial" w:hAnsi="Arial" w:cs="Arial"/>
                <w:sz w:val="20"/>
                <w:szCs w:val="20"/>
              </w:rPr>
            </w:pPr>
            <w:r w:rsidRPr="0097679B">
              <w:rPr>
                <w:rFonts w:ascii="Arial" w:hAnsi="Arial" w:cs="Arial"/>
                <w:sz w:val="20"/>
                <w:szCs w:val="20"/>
              </w:rPr>
              <w:t xml:space="preserve">1.9 (1.4-2.5)     </w:t>
            </w:r>
          </w:p>
        </w:tc>
        <w:tc>
          <w:tcPr>
            <w:tcW w:w="1258" w:type="dxa"/>
          </w:tcPr>
          <w:p w14:paraId="74633617" w14:textId="0E3B8617" w:rsidR="009F0DF5" w:rsidRPr="00BB7B3E" w:rsidRDefault="00B420E0" w:rsidP="003B502F">
            <w:pPr>
              <w:pStyle w:val="Thesisparagraph"/>
              <w:rPr>
                <w:rFonts w:ascii="Arial" w:hAnsi="Arial" w:cs="Arial"/>
                <w:sz w:val="20"/>
                <w:szCs w:val="20"/>
                <w:vertAlign w:val="superscript"/>
              </w:rPr>
            </w:pPr>
            <w:r>
              <w:rPr>
                <w:rFonts w:ascii="Arial" w:hAnsi="Arial" w:cs="Arial"/>
                <w:sz w:val="20"/>
                <w:szCs w:val="20"/>
              </w:rPr>
              <w:t>&lt;0.001</w:t>
            </w:r>
          </w:p>
        </w:tc>
        <w:tc>
          <w:tcPr>
            <w:tcW w:w="1596" w:type="dxa"/>
          </w:tcPr>
          <w:p w14:paraId="3E0F056D" w14:textId="77777777" w:rsidR="009A450D" w:rsidRDefault="009A450D" w:rsidP="003612A5">
            <w:pPr>
              <w:pStyle w:val="Thesisparagraph"/>
              <w:rPr>
                <w:rFonts w:ascii="Arial" w:hAnsi="Arial" w:cs="Arial"/>
                <w:sz w:val="20"/>
                <w:szCs w:val="20"/>
              </w:rPr>
            </w:pPr>
            <w:r>
              <w:rPr>
                <w:rFonts w:ascii="Arial" w:hAnsi="Arial" w:cs="Arial"/>
                <w:sz w:val="20"/>
                <w:szCs w:val="20"/>
              </w:rPr>
              <w:t>0.68</w:t>
            </w:r>
            <w:r w:rsidR="00736272">
              <w:rPr>
                <w:rFonts w:ascii="Arial" w:hAnsi="Arial" w:cs="Arial"/>
                <w:sz w:val="20"/>
                <w:szCs w:val="20"/>
              </w:rPr>
              <w:t xml:space="preserve"> </w:t>
            </w:r>
          </w:p>
          <w:p w14:paraId="1D1EF37D" w14:textId="0B1EF7A4" w:rsidR="009F0DF5" w:rsidRPr="0097679B" w:rsidRDefault="00736272" w:rsidP="003612A5">
            <w:pPr>
              <w:pStyle w:val="Thesisparagraph"/>
              <w:rPr>
                <w:rFonts w:ascii="Arial" w:hAnsi="Arial" w:cs="Arial"/>
                <w:sz w:val="20"/>
                <w:szCs w:val="20"/>
              </w:rPr>
            </w:pPr>
            <w:r>
              <w:rPr>
                <w:rFonts w:ascii="Arial" w:hAnsi="Arial" w:cs="Arial"/>
                <w:sz w:val="20"/>
                <w:szCs w:val="20"/>
              </w:rPr>
              <w:t>(0.61-0.75)</w:t>
            </w:r>
          </w:p>
        </w:tc>
      </w:tr>
    </w:tbl>
    <w:p w14:paraId="2769EF29" w14:textId="6D353A49" w:rsidR="00705D41" w:rsidRPr="0097679B" w:rsidRDefault="00705D41" w:rsidP="000617A0">
      <w:pPr>
        <w:spacing w:line="480" w:lineRule="auto"/>
        <w:rPr>
          <w:rFonts w:ascii="Arial" w:hAnsi="Arial" w:cs="Arial"/>
          <w:sz w:val="20"/>
          <w:szCs w:val="20"/>
        </w:rPr>
      </w:pPr>
    </w:p>
    <w:p w14:paraId="63CB76F0" w14:textId="77777777" w:rsidR="000B6ADD" w:rsidRDefault="000B6ADD">
      <w:pPr>
        <w:rPr>
          <w:rFonts w:ascii="Arial" w:hAnsi="Arial" w:cs="Arial"/>
          <w:sz w:val="20"/>
          <w:szCs w:val="20"/>
        </w:rPr>
      </w:pPr>
      <w:bookmarkStart w:id="11" w:name="_Toc65624496"/>
      <w:r>
        <w:rPr>
          <w:rFonts w:ascii="Arial" w:hAnsi="Arial" w:cs="Arial"/>
          <w:sz w:val="20"/>
          <w:szCs w:val="20"/>
        </w:rPr>
        <w:br w:type="page"/>
      </w:r>
    </w:p>
    <w:p w14:paraId="7AA51B78" w14:textId="2508DB1E" w:rsidR="00260C2B" w:rsidRPr="00C91938" w:rsidRDefault="00C1572F" w:rsidP="00C91938">
      <w:pPr>
        <w:spacing w:line="480" w:lineRule="auto"/>
        <w:rPr>
          <w:rFonts w:ascii="Arial" w:hAnsi="Arial" w:cs="Arial"/>
          <w:sz w:val="20"/>
          <w:szCs w:val="20"/>
        </w:rPr>
      </w:pPr>
      <w:r>
        <w:rPr>
          <w:rFonts w:ascii="Arial" w:hAnsi="Arial" w:cs="Arial"/>
          <w:sz w:val="20"/>
          <w:szCs w:val="20"/>
        </w:rPr>
        <w:lastRenderedPageBreak/>
        <w:t>Table 5</w:t>
      </w:r>
      <w:r>
        <w:rPr>
          <w:rFonts w:ascii="Arial" w:hAnsi="Arial" w:cs="Arial"/>
          <w:i/>
          <w:sz w:val="20"/>
          <w:szCs w:val="20"/>
        </w:rPr>
        <w:t xml:space="preserve">: </w:t>
      </w:r>
      <w:r>
        <w:rPr>
          <w:rFonts w:ascii="Arial" w:hAnsi="Arial" w:cs="Arial"/>
          <w:sz w:val="20"/>
          <w:szCs w:val="20"/>
        </w:rPr>
        <w:t xml:space="preserve">Estimated cumulative </w:t>
      </w:r>
      <w:r w:rsidR="003B502F">
        <w:rPr>
          <w:rFonts w:ascii="Arial" w:hAnsi="Arial" w:cs="Arial"/>
          <w:sz w:val="20"/>
          <w:szCs w:val="20"/>
        </w:rPr>
        <w:t xml:space="preserve">laminitis </w:t>
      </w:r>
      <w:r>
        <w:rPr>
          <w:rFonts w:ascii="Arial" w:hAnsi="Arial" w:cs="Arial"/>
          <w:sz w:val="20"/>
          <w:szCs w:val="20"/>
        </w:rPr>
        <w:t>incidence</w:t>
      </w:r>
      <w:r w:rsidR="00C91938">
        <w:rPr>
          <w:rFonts w:ascii="Arial" w:hAnsi="Arial" w:cs="Arial"/>
          <w:sz w:val="20"/>
          <w:szCs w:val="20"/>
        </w:rPr>
        <w:t xml:space="preserve">, hazard ratios and centiles of the population for </w:t>
      </w:r>
      <w:r>
        <w:rPr>
          <w:rFonts w:ascii="Arial" w:hAnsi="Arial" w:cs="Arial"/>
          <w:sz w:val="20"/>
          <w:szCs w:val="20"/>
        </w:rPr>
        <w:t>low</w:t>
      </w:r>
      <w:r w:rsidR="00116F72" w:rsidRPr="00C1572F">
        <w:rPr>
          <w:rFonts w:ascii="Arial" w:hAnsi="Arial" w:cs="Arial"/>
          <w:sz w:val="20"/>
          <w:szCs w:val="20"/>
        </w:rPr>
        <w:t>, medium and</w:t>
      </w:r>
      <w:r>
        <w:rPr>
          <w:rFonts w:ascii="Arial" w:hAnsi="Arial" w:cs="Arial"/>
          <w:sz w:val="20"/>
          <w:szCs w:val="20"/>
        </w:rPr>
        <w:t xml:space="preserve"> </w:t>
      </w:r>
      <w:r w:rsidR="00070C34">
        <w:rPr>
          <w:rFonts w:ascii="Arial" w:hAnsi="Arial" w:cs="Arial"/>
          <w:sz w:val="20"/>
          <w:szCs w:val="20"/>
        </w:rPr>
        <w:t>high-risk</w:t>
      </w:r>
      <w:r w:rsidR="00AE3406">
        <w:rPr>
          <w:rFonts w:ascii="Arial" w:hAnsi="Arial" w:cs="Arial"/>
          <w:sz w:val="20"/>
          <w:szCs w:val="20"/>
        </w:rPr>
        <w:t xml:space="preserve"> categories</w:t>
      </w:r>
      <w:r w:rsidR="00116F72" w:rsidRPr="00C1572F">
        <w:rPr>
          <w:rFonts w:ascii="Arial" w:hAnsi="Arial" w:cs="Arial"/>
          <w:sz w:val="20"/>
          <w:szCs w:val="20"/>
        </w:rPr>
        <w:t xml:space="preserve"> for </w:t>
      </w:r>
      <w:r>
        <w:rPr>
          <w:rFonts w:ascii="Arial" w:hAnsi="Arial" w:cs="Arial"/>
          <w:sz w:val="20"/>
          <w:szCs w:val="20"/>
        </w:rPr>
        <w:t xml:space="preserve">[insulin]T0, [insulin]T60 and </w:t>
      </w:r>
      <w:r w:rsidR="00116F72" w:rsidRPr="00C1572F">
        <w:rPr>
          <w:rFonts w:ascii="Arial" w:hAnsi="Arial" w:cs="Arial"/>
          <w:sz w:val="20"/>
          <w:szCs w:val="20"/>
        </w:rPr>
        <w:t xml:space="preserve"> [adiponectin</w:t>
      </w:r>
      <w:bookmarkEnd w:id="11"/>
      <w:r w:rsidR="00C91938">
        <w:rPr>
          <w:rFonts w:ascii="Arial" w:hAnsi="Arial" w:cs="Arial"/>
          <w:sz w:val="20"/>
          <w:szCs w:val="20"/>
        </w:rPr>
        <w:t>]. NA = no events</w:t>
      </w:r>
      <w:r w:rsidR="003B502F">
        <w:rPr>
          <w:rFonts w:ascii="Arial" w:hAnsi="Arial" w:cs="Arial"/>
          <w:sz w:val="20"/>
          <w:szCs w:val="20"/>
        </w:rPr>
        <w:t>,</w:t>
      </w:r>
      <w:r w:rsidR="00116F72" w:rsidRPr="00C91938">
        <w:rPr>
          <w:rFonts w:ascii="Arial" w:hAnsi="Arial" w:cs="Arial"/>
          <w:sz w:val="20"/>
          <w:szCs w:val="20"/>
        </w:rPr>
        <w:t xml:space="preserve"> survival not calculated</w:t>
      </w:r>
      <w:r w:rsidR="00C91938">
        <w:rPr>
          <w:rFonts w:ascii="Arial" w:hAnsi="Arial" w:cs="Arial"/>
          <w:sz w:val="20"/>
          <w:szCs w:val="20"/>
        </w:rPr>
        <w:t>. All groups were differed significantly from the reference category (p ≤0.001)</w:t>
      </w:r>
      <w:r w:rsidR="00EA33C7">
        <w:rPr>
          <w:rFonts w:ascii="Arial" w:hAnsi="Arial" w:cs="Arial"/>
          <w:sz w:val="20"/>
          <w:szCs w:val="20"/>
        </w:rPr>
        <w:t xml:space="preserve"> using time-dependent Cox proportional-hazards models.</w:t>
      </w:r>
    </w:p>
    <w:tbl>
      <w:tblPr>
        <w:tblStyle w:val="TableGrid"/>
        <w:tblW w:w="0" w:type="auto"/>
        <w:tblLayout w:type="fixed"/>
        <w:tblLook w:val="04A0" w:firstRow="1" w:lastRow="0" w:firstColumn="1" w:lastColumn="0" w:noHBand="0" w:noVBand="1"/>
      </w:tblPr>
      <w:tblGrid>
        <w:gridCol w:w="552"/>
        <w:gridCol w:w="1134"/>
        <w:gridCol w:w="1134"/>
        <w:gridCol w:w="1418"/>
        <w:gridCol w:w="1027"/>
        <w:gridCol w:w="1028"/>
        <w:gridCol w:w="1028"/>
        <w:gridCol w:w="1028"/>
      </w:tblGrid>
      <w:tr w:rsidR="00116F72" w:rsidRPr="00116F72" w14:paraId="631C97BB" w14:textId="77777777" w:rsidTr="00BB7B3E">
        <w:trPr>
          <w:trHeight w:val="878"/>
        </w:trPr>
        <w:tc>
          <w:tcPr>
            <w:tcW w:w="552" w:type="dxa"/>
            <w:vMerge w:val="restart"/>
            <w:tcBorders>
              <w:top w:val="single" w:sz="12" w:space="0" w:color="auto"/>
              <w:left w:val="single" w:sz="12" w:space="0" w:color="auto"/>
              <w:bottom w:val="single" w:sz="4" w:space="0" w:color="auto"/>
              <w:right w:val="single" w:sz="4" w:space="0" w:color="auto"/>
            </w:tcBorders>
            <w:textDirection w:val="btLr"/>
          </w:tcPr>
          <w:p w14:paraId="22A1E8E9" w14:textId="77777777" w:rsidR="00116F72" w:rsidRPr="00116F72" w:rsidRDefault="00116F72" w:rsidP="00BB7B3E">
            <w:pPr>
              <w:pStyle w:val="Thesisparagraph"/>
              <w:ind w:left="113" w:right="113"/>
              <w:jc w:val="center"/>
              <w:rPr>
                <w:rFonts w:ascii="Arial" w:hAnsi="Arial" w:cs="Arial"/>
                <w:sz w:val="20"/>
                <w:szCs w:val="20"/>
              </w:rPr>
            </w:pPr>
            <w:r w:rsidRPr="00116F72">
              <w:rPr>
                <w:rFonts w:ascii="Arial" w:hAnsi="Arial" w:cs="Arial"/>
                <w:sz w:val="20"/>
                <w:szCs w:val="20"/>
              </w:rPr>
              <w:t>Analyte</w:t>
            </w:r>
          </w:p>
        </w:tc>
        <w:tc>
          <w:tcPr>
            <w:tcW w:w="1134" w:type="dxa"/>
            <w:vMerge w:val="restart"/>
            <w:tcBorders>
              <w:top w:val="single" w:sz="12" w:space="0" w:color="auto"/>
              <w:left w:val="single" w:sz="4" w:space="0" w:color="auto"/>
              <w:bottom w:val="single" w:sz="4" w:space="0" w:color="auto"/>
              <w:right w:val="single" w:sz="4" w:space="0" w:color="auto"/>
            </w:tcBorders>
          </w:tcPr>
          <w:p w14:paraId="3870F8C7" w14:textId="1548E511" w:rsidR="00116F72" w:rsidRPr="00116F72" w:rsidRDefault="00116F72" w:rsidP="00AE3406">
            <w:pPr>
              <w:pStyle w:val="Thesisparagraph"/>
              <w:jc w:val="center"/>
              <w:rPr>
                <w:rFonts w:ascii="Arial" w:hAnsi="Arial" w:cs="Arial"/>
                <w:sz w:val="20"/>
                <w:szCs w:val="20"/>
              </w:rPr>
            </w:pPr>
            <w:r w:rsidRPr="00116F72">
              <w:rPr>
                <w:rFonts w:ascii="Arial" w:hAnsi="Arial" w:cs="Arial"/>
                <w:sz w:val="20"/>
                <w:szCs w:val="20"/>
              </w:rPr>
              <w:t xml:space="preserve">Risk </w:t>
            </w:r>
            <w:r w:rsidR="00AE3406">
              <w:rPr>
                <w:rFonts w:ascii="Arial" w:hAnsi="Arial" w:cs="Arial"/>
                <w:sz w:val="20"/>
                <w:szCs w:val="20"/>
              </w:rPr>
              <w:t xml:space="preserve">Category </w:t>
            </w:r>
            <w:r w:rsidR="009D0CF9">
              <w:rPr>
                <w:rFonts w:ascii="Arial" w:hAnsi="Arial" w:cs="Arial"/>
                <w:sz w:val="20"/>
                <w:szCs w:val="20"/>
              </w:rPr>
              <w:t>(</w:t>
            </w:r>
            <w:r w:rsidR="003612A5">
              <w:rPr>
                <w:rFonts w:ascii="Arial" w:hAnsi="Arial" w:cs="Arial"/>
                <w:sz w:val="20"/>
                <w:szCs w:val="20"/>
              </w:rPr>
              <w:t>concentration)</w:t>
            </w:r>
          </w:p>
        </w:tc>
        <w:tc>
          <w:tcPr>
            <w:tcW w:w="1134" w:type="dxa"/>
            <w:vMerge w:val="restart"/>
            <w:tcBorders>
              <w:top w:val="single" w:sz="12" w:space="0" w:color="auto"/>
              <w:left w:val="single" w:sz="4" w:space="0" w:color="auto"/>
              <w:bottom w:val="single" w:sz="4" w:space="0" w:color="auto"/>
              <w:right w:val="single" w:sz="4" w:space="0" w:color="auto"/>
            </w:tcBorders>
          </w:tcPr>
          <w:p w14:paraId="6104C4BB"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 xml:space="preserve">Centiles </w:t>
            </w:r>
          </w:p>
        </w:tc>
        <w:tc>
          <w:tcPr>
            <w:tcW w:w="1418" w:type="dxa"/>
            <w:vMerge w:val="restart"/>
            <w:tcBorders>
              <w:top w:val="single" w:sz="12" w:space="0" w:color="auto"/>
              <w:left w:val="single" w:sz="4" w:space="0" w:color="auto"/>
              <w:bottom w:val="single" w:sz="4" w:space="0" w:color="auto"/>
              <w:right w:val="single" w:sz="4" w:space="0" w:color="auto"/>
            </w:tcBorders>
          </w:tcPr>
          <w:p w14:paraId="6B927008" w14:textId="77777777" w:rsidR="00116F72" w:rsidRDefault="009D0CF9" w:rsidP="009D0CF9">
            <w:pPr>
              <w:pStyle w:val="Thesisparagraph"/>
              <w:jc w:val="center"/>
              <w:rPr>
                <w:rFonts w:ascii="Arial" w:hAnsi="Arial" w:cs="Arial"/>
                <w:sz w:val="20"/>
                <w:szCs w:val="20"/>
              </w:rPr>
            </w:pPr>
            <w:r>
              <w:rPr>
                <w:rFonts w:ascii="Arial" w:hAnsi="Arial" w:cs="Arial"/>
                <w:sz w:val="20"/>
                <w:szCs w:val="20"/>
              </w:rPr>
              <w:t>Hazard Ratio</w:t>
            </w:r>
          </w:p>
          <w:p w14:paraId="78F0F4B1" w14:textId="74DCA6EA" w:rsidR="00C91938" w:rsidRPr="00116F72" w:rsidRDefault="00C91938" w:rsidP="009D0CF9">
            <w:pPr>
              <w:pStyle w:val="Thesisparagraph"/>
              <w:jc w:val="center"/>
              <w:rPr>
                <w:rFonts w:ascii="Arial" w:hAnsi="Arial" w:cs="Arial"/>
                <w:sz w:val="20"/>
                <w:szCs w:val="20"/>
              </w:rPr>
            </w:pPr>
            <w:r>
              <w:rPr>
                <w:rFonts w:ascii="Arial" w:hAnsi="Arial" w:cs="Arial"/>
                <w:sz w:val="20"/>
                <w:szCs w:val="20"/>
              </w:rPr>
              <w:t>(Ref= reference category)</w:t>
            </w:r>
          </w:p>
        </w:tc>
        <w:tc>
          <w:tcPr>
            <w:tcW w:w="4111" w:type="dxa"/>
            <w:gridSpan w:val="4"/>
            <w:tcBorders>
              <w:top w:val="single" w:sz="12" w:space="0" w:color="auto"/>
              <w:left w:val="single" w:sz="4" w:space="0" w:color="auto"/>
              <w:bottom w:val="single" w:sz="4" w:space="0" w:color="auto"/>
              <w:right w:val="single" w:sz="12" w:space="0" w:color="auto"/>
            </w:tcBorders>
          </w:tcPr>
          <w:p w14:paraId="4EE821E3" w14:textId="22FA5C54" w:rsidR="00116F72" w:rsidRPr="00116F72" w:rsidRDefault="00C1572F" w:rsidP="00C91938">
            <w:pPr>
              <w:pStyle w:val="Thesisparagraph"/>
              <w:ind w:firstLine="32"/>
              <w:jc w:val="center"/>
              <w:rPr>
                <w:rFonts w:ascii="Arial" w:hAnsi="Arial" w:cs="Arial"/>
                <w:sz w:val="20"/>
                <w:szCs w:val="20"/>
              </w:rPr>
            </w:pPr>
            <w:r>
              <w:rPr>
                <w:rFonts w:ascii="Arial" w:hAnsi="Arial" w:cs="Arial"/>
                <w:sz w:val="20"/>
                <w:szCs w:val="20"/>
              </w:rPr>
              <w:t>Cumulative incidence of laminitis (%)</w:t>
            </w:r>
          </w:p>
          <w:p w14:paraId="3A68D769" w14:textId="77777777" w:rsidR="00116F72" w:rsidRPr="00116F72" w:rsidRDefault="00116F72" w:rsidP="00C91938">
            <w:pPr>
              <w:pStyle w:val="Thesisparagraph"/>
              <w:ind w:firstLine="32"/>
              <w:jc w:val="center"/>
              <w:rPr>
                <w:rFonts w:ascii="Arial" w:hAnsi="Arial" w:cs="Arial"/>
                <w:sz w:val="20"/>
                <w:szCs w:val="20"/>
              </w:rPr>
            </w:pPr>
            <w:r w:rsidRPr="00116F72">
              <w:rPr>
                <w:rFonts w:ascii="Arial" w:hAnsi="Arial" w:cs="Arial"/>
                <w:sz w:val="20"/>
                <w:szCs w:val="20"/>
              </w:rPr>
              <w:t>(95% CI)</w:t>
            </w:r>
          </w:p>
        </w:tc>
      </w:tr>
      <w:tr w:rsidR="00116F72" w:rsidRPr="00116F72" w14:paraId="5BB23382" w14:textId="77777777" w:rsidTr="00C91938">
        <w:trPr>
          <w:trHeight w:val="877"/>
        </w:trPr>
        <w:tc>
          <w:tcPr>
            <w:tcW w:w="552" w:type="dxa"/>
            <w:vMerge/>
            <w:tcBorders>
              <w:top w:val="single" w:sz="4" w:space="0" w:color="auto"/>
              <w:left w:val="single" w:sz="12" w:space="0" w:color="auto"/>
              <w:bottom w:val="single" w:sz="12" w:space="0" w:color="auto"/>
              <w:right w:val="single" w:sz="4" w:space="0" w:color="auto"/>
            </w:tcBorders>
          </w:tcPr>
          <w:p w14:paraId="5AF5D0CD" w14:textId="77777777" w:rsidR="00116F72" w:rsidRPr="00116F72" w:rsidRDefault="00116F72" w:rsidP="003612A5">
            <w:pPr>
              <w:pStyle w:val="Thesisparagraph"/>
              <w:jc w:val="center"/>
              <w:rPr>
                <w:rFonts w:ascii="Arial" w:hAnsi="Arial" w:cs="Arial"/>
                <w:sz w:val="20"/>
                <w:szCs w:val="20"/>
              </w:rPr>
            </w:pPr>
          </w:p>
        </w:tc>
        <w:tc>
          <w:tcPr>
            <w:tcW w:w="1134" w:type="dxa"/>
            <w:vMerge/>
            <w:tcBorders>
              <w:top w:val="single" w:sz="4" w:space="0" w:color="auto"/>
              <w:left w:val="single" w:sz="4" w:space="0" w:color="auto"/>
              <w:bottom w:val="single" w:sz="12" w:space="0" w:color="auto"/>
              <w:right w:val="single" w:sz="4" w:space="0" w:color="auto"/>
            </w:tcBorders>
          </w:tcPr>
          <w:p w14:paraId="23582995" w14:textId="77777777" w:rsidR="00116F72" w:rsidRPr="00116F72" w:rsidRDefault="00116F72" w:rsidP="003612A5">
            <w:pPr>
              <w:pStyle w:val="Thesisparagraph"/>
              <w:jc w:val="center"/>
              <w:rPr>
                <w:rFonts w:ascii="Arial" w:hAnsi="Arial" w:cs="Arial"/>
                <w:sz w:val="20"/>
                <w:szCs w:val="20"/>
              </w:rPr>
            </w:pPr>
          </w:p>
        </w:tc>
        <w:tc>
          <w:tcPr>
            <w:tcW w:w="1134" w:type="dxa"/>
            <w:vMerge/>
            <w:tcBorders>
              <w:top w:val="single" w:sz="4" w:space="0" w:color="auto"/>
              <w:left w:val="single" w:sz="4" w:space="0" w:color="auto"/>
              <w:bottom w:val="single" w:sz="12" w:space="0" w:color="auto"/>
              <w:right w:val="single" w:sz="4" w:space="0" w:color="auto"/>
            </w:tcBorders>
          </w:tcPr>
          <w:p w14:paraId="083FFC32" w14:textId="77777777" w:rsidR="00116F72" w:rsidRPr="00116F72" w:rsidRDefault="00116F72" w:rsidP="003612A5">
            <w:pPr>
              <w:pStyle w:val="Thesisparagraph"/>
              <w:jc w:val="center"/>
              <w:rPr>
                <w:rFonts w:ascii="Arial" w:hAnsi="Arial" w:cs="Arial"/>
                <w:sz w:val="20"/>
                <w:szCs w:val="20"/>
              </w:rPr>
            </w:pPr>
          </w:p>
        </w:tc>
        <w:tc>
          <w:tcPr>
            <w:tcW w:w="1418" w:type="dxa"/>
            <w:vMerge/>
            <w:tcBorders>
              <w:top w:val="single" w:sz="4" w:space="0" w:color="auto"/>
              <w:left w:val="single" w:sz="4" w:space="0" w:color="auto"/>
              <w:bottom w:val="single" w:sz="12" w:space="0" w:color="auto"/>
              <w:right w:val="single" w:sz="4" w:space="0" w:color="auto"/>
            </w:tcBorders>
          </w:tcPr>
          <w:p w14:paraId="19BAAD15" w14:textId="77777777" w:rsidR="00116F72" w:rsidRPr="00116F72" w:rsidRDefault="00116F72" w:rsidP="003612A5">
            <w:pPr>
              <w:pStyle w:val="Thesisparagraph"/>
              <w:jc w:val="center"/>
              <w:rPr>
                <w:rFonts w:ascii="Arial" w:hAnsi="Arial" w:cs="Arial"/>
                <w:sz w:val="20"/>
                <w:szCs w:val="20"/>
              </w:rPr>
            </w:pPr>
          </w:p>
        </w:tc>
        <w:tc>
          <w:tcPr>
            <w:tcW w:w="1027" w:type="dxa"/>
            <w:tcBorders>
              <w:top w:val="single" w:sz="4" w:space="0" w:color="auto"/>
              <w:left w:val="single" w:sz="4" w:space="0" w:color="auto"/>
              <w:bottom w:val="single" w:sz="12" w:space="0" w:color="auto"/>
              <w:right w:val="single" w:sz="4" w:space="0" w:color="auto"/>
            </w:tcBorders>
          </w:tcPr>
          <w:p w14:paraId="298ECAD5"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1yr</w:t>
            </w:r>
          </w:p>
        </w:tc>
        <w:tc>
          <w:tcPr>
            <w:tcW w:w="1028" w:type="dxa"/>
            <w:tcBorders>
              <w:top w:val="single" w:sz="4" w:space="0" w:color="auto"/>
              <w:left w:val="single" w:sz="4" w:space="0" w:color="auto"/>
              <w:bottom w:val="single" w:sz="12" w:space="0" w:color="auto"/>
              <w:right w:val="single" w:sz="4" w:space="0" w:color="auto"/>
            </w:tcBorders>
          </w:tcPr>
          <w:p w14:paraId="66081CCD"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2yr</w:t>
            </w:r>
          </w:p>
        </w:tc>
        <w:tc>
          <w:tcPr>
            <w:tcW w:w="1028" w:type="dxa"/>
            <w:tcBorders>
              <w:top w:val="single" w:sz="4" w:space="0" w:color="auto"/>
              <w:left w:val="single" w:sz="4" w:space="0" w:color="auto"/>
              <w:bottom w:val="single" w:sz="12" w:space="0" w:color="auto"/>
              <w:right w:val="single" w:sz="4" w:space="0" w:color="auto"/>
            </w:tcBorders>
          </w:tcPr>
          <w:p w14:paraId="6045D2FE"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3yr</w:t>
            </w:r>
          </w:p>
        </w:tc>
        <w:tc>
          <w:tcPr>
            <w:tcW w:w="1028" w:type="dxa"/>
            <w:tcBorders>
              <w:top w:val="single" w:sz="4" w:space="0" w:color="auto"/>
              <w:left w:val="single" w:sz="4" w:space="0" w:color="auto"/>
              <w:bottom w:val="single" w:sz="12" w:space="0" w:color="auto"/>
              <w:right w:val="single" w:sz="12" w:space="0" w:color="auto"/>
            </w:tcBorders>
          </w:tcPr>
          <w:p w14:paraId="71BC310A"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4yr</w:t>
            </w:r>
          </w:p>
        </w:tc>
      </w:tr>
      <w:tr w:rsidR="00116F72" w:rsidRPr="00116F72" w14:paraId="6F28BFD4" w14:textId="77777777" w:rsidTr="00C91938">
        <w:tc>
          <w:tcPr>
            <w:tcW w:w="552" w:type="dxa"/>
            <w:vMerge w:val="restart"/>
            <w:tcBorders>
              <w:top w:val="single" w:sz="12" w:space="0" w:color="auto"/>
              <w:left w:val="single" w:sz="12" w:space="0" w:color="auto"/>
              <w:bottom w:val="nil"/>
              <w:right w:val="single" w:sz="4" w:space="0" w:color="auto"/>
            </w:tcBorders>
            <w:textDirection w:val="btLr"/>
          </w:tcPr>
          <w:p w14:paraId="5E6EEB33" w14:textId="5A0B2F60" w:rsidR="00116F72" w:rsidRPr="00116F72" w:rsidRDefault="00116F72" w:rsidP="003612A5">
            <w:pPr>
              <w:pStyle w:val="Thesisparagraph"/>
              <w:ind w:left="113" w:right="113"/>
              <w:jc w:val="center"/>
              <w:rPr>
                <w:rFonts w:ascii="Arial" w:hAnsi="Arial" w:cs="Arial"/>
                <w:sz w:val="20"/>
                <w:szCs w:val="20"/>
              </w:rPr>
            </w:pPr>
            <w:r w:rsidRPr="00116F72">
              <w:rPr>
                <w:rFonts w:ascii="Arial" w:hAnsi="Arial" w:cs="Arial"/>
                <w:sz w:val="20"/>
                <w:szCs w:val="20"/>
              </w:rPr>
              <w:t xml:space="preserve"> [insulin]</w:t>
            </w:r>
            <w:r w:rsidR="009D0CF9">
              <w:rPr>
                <w:rFonts w:ascii="Arial" w:hAnsi="Arial" w:cs="Arial"/>
                <w:sz w:val="20"/>
                <w:szCs w:val="20"/>
              </w:rPr>
              <w:t>T0</w:t>
            </w:r>
            <w:r w:rsidR="003612A5">
              <w:rPr>
                <w:rFonts w:ascii="Arial" w:hAnsi="Arial" w:cs="Arial"/>
                <w:sz w:val="20"/>
                <w:szCs w:val="20"/>
              </w:rPr>
              <w:t xml:space="preserve"> µIU/ml</w:t>
            </w:r>
          </w:p>
        </w:tc>
        <w:tc>
          <w:tcPr>
            <w:tcW w:w="1134" w:type="dxa"/>
            <w:tcBorders>
              <w:top w:val="single" w:sz="12" w:space="0" w:color="auto"/>
              <w:left w:val="single" w:sz="4" w:space="0" w:color="auto"/>
              <w:bottom w:val="dashed" w:sz="4" w:space="0" w:color="auto"/>
              <w:right w:val="single" w:sz="4" w:space="0" w:color="auto"/>
            </w:tcBorders>
          </w:tcPr>
          <w:p w14:paraId="1CB3E394"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Low</w:t>
            </w:r>
          </w:p>
          <w:p w14:paraId="6041EFB9" w14:textId="00A255B1"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&lt;21.6</w:t>
            </w:r>
          </w:p>
        </w:tc>
        <w:tc>
          <w:tcPr>
            <w:tcW w:w="1134" w:type="dxa"/>
            <w:tcBorders>
              <w:top w:val="single" w:sz="12" w:space="0" w:color="auto"/>
              <w:left w:val="single" w:sz="4" w:space="0" w:color="auto"/>
              <w:bottom w:val="dashed" w:sz="4" w:space="0" w:color="auto"/>
              <w:right w:val="single" w:sz="4" w:space="0" w:color="auto"/>
            </w:tcBorders>
          </w:tcPr>
          <w:p w14:paraId="5C967122"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0-70</w:t>
            </w:r>
            <w:r w:rsidRPr="00116F72">
              <w:rPr>
                <w:rFonts w:ascii="Arial" w:hAnsi="Arial" w:cs="Arial"/>
                <w:sz w:val="20"/>
                <w:szCs w:val="20"/>
                <w:vertAlign w:val="superscript"/>
              </w:rPr>
              <w:t>th</w:t>
            </w:r>
          </w:p>
        </w:tc>
        <w:tc>
          <w:tcPr>
            <w:tcW w:w="1418" w:type="dxa"/>
            <w:tcBorders>
              <w:top w:val="single" w:sz="12" w:space="0" w:color="auto"/>
              <w:left w:val="single" w:sz="4" w:space="0" w:color="auto"/>
              <w:bottom w:val="dashed" w:sz="4" w:space="0" w:color="auto"/>
              <w:right w:val="single" w:sz="4" w:space="0" w:color="auto"/>
            </w:tcBorders>
          </w:tcPr>
          <w:p w14:paraId="127F18E5" w14:textId="771D6621" w:rsidR="00116F72" w:rsidRPr="00116F72" w:rsidRDefault="00C91938" w:rsidP="003612A5">
            <w:pPr>
              <w:pStyle w:val="Thesisparagraph"/>
              <w:jc w:val="center"/>
              <w:rPr>
                <w:rFonts w:ascii="Arial" w:hAnsi="Arial" w:cs="Arial"/>
                <w:sz w:val="20"/>
                <w:szCs w:val="20"/>
              </w:rPr>
            </w:pPr>
            <w:r>
              <w:rPr>
                <w:rFonts w:ascii="Arial" w:hAnsi="Arial" w:cs="Arial"/>
                <w:sz w:val="20"/>
                <w:szCs w:val="20"/>
              </w:rPr>
              <w:t>Ref</w:t>
            </w:r>
          </w:p>
        </w:tc>
        <w:tc>
          <w:tcPr>
            <w:tcW w:w="1027" w:type="dxa"/>
            <w:tcBorders>
              <w:top w:val="single" w:sz="12" w:space="0" w:color="auto"/>
              <w:left w:val="single" w:sz="4" w:space="0" w:color="auto"/>
              <w:bottom w:val="dashed" w:sz="4" w:space="0" w:color="auto"/>
              <w:right w:val="single" w:sz="4" w:space="0" w:color="auto"/>
            </w:tcBorders>
          </w:tcPr>
          <w:p w14:paraId="30EAC01D" w14:textId="77777777" w:rsidR="00116F72" w:rsidRPr="00116F72" w:rsidRDefault="00116F72" w:rsidP="003612A5">
            <w:pPr>
              <w:pStyle w:val="Thesisparagraph"/>
              <w:jc w:val="center"/>
              <w:rPr>
                <w:rFonts w:ascii="Arial" w:hAnsi="Arial" w:cs="Arial"/>
                <w:b/>
                <w:sz w:val="20"/>
                <w:szCs w:val="20"/>
              </w:rPr>
            </w:pPr>
            <w:r w:rsidRPr="00116F72">
              <w:rPr>
                <w:rFonts w:ascii="Arial" w:hAnsi="Arial" w:cs="Arial"/>
                <w:b/>
                <w:sz w:val="20"/>
                <w:szCs w:val="20"/>
              </w:rPr>
              <w:t>NA</w:t>
            </w:r>
          </w:p>
        </w:tc>
        <w:tc>
          <w:tcPr>
            <w:tcW w:w="1028" w:type="dxa"/>
            <w:tcBorders>
              <w:top w:val="single" w:sz="12" w:space="0" w:color="auto"/>
              <w:left w:val="single" w:sz="4" w:space="0" w:color="auto"/>
              <w:bottom w:val="dashed" w:sz="4" w:space="0" w:color="auto"/>
              <w:right w:val="single" w:sz="4" w:space="0" w:color="auto"/>
            </w:tcBorders>
          </w:tcPr>
          <w:p w14:paraId="56F50348" w14:textId="77777777" w:rsidR="00C1572F" w:rsidRDefault="00C1572F" w:rsidP="003612A5">
            <w:pPr>
              <w:pStyle w:val="Thesisparagraph"/>
              <w:jc w:val="center"/>
              <w:rPr>
                <w:rFonts w:ascii="Arial" w:hAnsi="Arial" w:cs="Arial"/>
                <w:b/>
                <w:sz w:val="20"/>
                <w:szCs w:val="20"/>
              </w:rPr>
            </w:pPr>
            <w:r>
              <w:rPr>
                <w:rFonts w:ascii="Arial" w:hAnsi="Arial" w:cs="Arial"/>
                <w:b/>
                <w:sz w:val="20"/>
                <w:szCs w:val="20"/>
              </w:rPr>
              <w:t>1</w:t>
            </w:r>
          </w:p>
          <w:p w14:paraId="38D8F7D8" w14:textId="51010EB6"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 xml:space="preserve"> </w:t>
            </w:r>
            <w:r w:rsidR="00C1572F">
              <w:rPr>
                <w:rFonts w:ascii="Arial" w:hAnsi="Arial" w:cs="Arial"/>
                <w:sz w:val="20"/>
                <w:szCs w:val="20"/>
              </w:rPr>
              <w:t>(0-2</w:t>
            </w:r>
            <w:r w:rsidRPr="00116F72">
              <w:rPr>
                <w:rFonts w:ascii="Arial" w:hAnsi="Arial" w:cs="Arial"/>
                <w:sz w:val="20"/>
                <w:szCs w:val="20"/>
              </w:rPr>
              <w:t xml:space="preserve">)        </w:t>
            </w:r>
          </w:p>
        </w:tc>
        <w:tc>
          <w:tcPr>
            <w:tcW w:w="1028" w:type="dxa"/>
            <w:tcBorders>
              <w:top w:val="single" w:sz="12" w:space="0" w:color="auto"/>
              <w:left w:val="single" w:sz="4" w:space="0" w:color="auto"/>
              <w:bottom w:val="dashed" w:sz="4" w:space="0" w:color="auto"/>
              <w:right w:val="single" w:sz="4" w:space="0" w:color="auto"/>
            </w:tcBorders>
          </w:tcPr>
          <w:p w14:paraId="76A8F51A" w14:textId="3D6440AF" w:rsidR="00116F72" w:rsidRPr="00116F72" w:rsidRDefault="00116F72" w:rsidP="003612A5">
            <w:pPr>
              <w:pStyle w:val="Thesisparagraph"/>
              <w:jc w:val="center"/>
              <w:rPr>
                <w:rFonts w:ascii="Arial" w:hAnsi="Arial" w:cs="Arial"/>
                <w:b/>
                <w:sz w:val="20"/>
                <w:szCs w:val="20"/>
              </w:rPr>
            </w:pPr>
            <w:r w:rsidRPr="00116F72">
              <w:rPr>
                <w:rFonts w:ascii="Arial" w:hAnsi="Arial" w:cs="Arial"/>
                <w:b/>
                <w:sz w:val="20"/>
                <w:szCs w:val="20"/>
              </w:rPr>
              <w:t>5</w:t>
            </w:r>
          </w:p>
          <w:p w14:paraId="4ACFEC44" w14:textId="7B09D3BC" w:rsidR="00116F72" w:rsidRPr="00116F72" w:rsidRDefault="00C1572F" w:rsidP="003612A5">
            <w:pPr>
              <w:pStyle w:val="Thesisparagraph"/>
              <w:jc w:val="center"/>
              <w:rPr>
                <w:rFonts w:ascii="Arial" w:hAnsi="Arial" w:cs="Arial"/>
                <w:sz w:val="20"/>
                <w:szCs w:val="20"/>
              </w:rPr>
            </w:pPr>
            <w:r>
              <w:rPr>
                <w:rFonts w:ascii="Arial" w:hAnsi="Arial" w:cs="Arial"/>
                <w:sz w:val="20"/>
                <w:szCs w:val="20"/>
              </w:rPr>
              <w:t>(2-8</w:t>
            </w:r>
            <w:r w:rsidR="00116F72" w:rsidRPr="00116F72">
              <w:rPr>
                <w:rFonts w:ascii="Arial" w:hAnsi="Arial" w:cs="Arial"/>
                <w:sz w:val="20"/>
                <w:szCs w:val="20"/>
              </w:rPr>
              <w:t>)</w:t>
            </w:r>
          </w:p>
        </w:tc>
        <w:tc>
          <w:tcPr>
            <w:tcW w:w="1028" w:type="dxa"/>
            <w:tcBorders>
              <w:top w:val="single" w:sz="12" w:space="0" w:color="auto"/>
              <w:left w:val="single" w:sz="4" w:space="0" w:color="auto"/>
              <w:bottom w:val="dashed" w:sz="4" w:space="0" w:color="auto"/>
              <w:right w:val="single" w:sz="12" w:space="0" w:color="auto"/>
            </w:tcBorders>
          </w:tcPr>
          <w:p w14:paraId="25A7D66E" w14:textId="0FB67182" w:rsidR="00116F72" w:rsidRPr="00116F72" w:rsidRDefault="00C1572F" w:rsidP="003612A5">
            <w:pPr>
              <w:pStyle w:val="Thesisparagraph"/>
              <w:jc w:val="center"/>
              <w:rPr>
                <w:rFonts w:ascii="Arial" w:hAnsi="Arial" w:cs="Arial"/>
                <w:b/>
                <w:sz w:val="20"/>
                <w:szCs w:val="20"/>
              </w:rPr>
            </w:pPr>
            <w:r>
              <w:rPr>
                <w:rFonts w:ascii="Arial" w:hAnsi="Arial" w:cs="Arial"/>
                <w:b/>
                <w:sz w:val="20"/>
                <w:szCs w:val="20"/>
              </w:rPr>
              <w:t>6</w:t>
            </w:r>
          </w:p>
          <w:p w14:paraId="32D9F8C1" w14:textId="55374848" w:rsidR="00116F72" w:rsidRPr="00116F72" w:rsidRDefault="00C1572F" w:rsidP="003612A5">
            <w:pPr>
              <w:pStyle w:val="Thesisparagraph"/>
              <w:jc w:val="center"/>
              <w:rPr>
                <w:rFonts w:ascii="Arial" w:hAnsi="Arial" w:cs="Arial"/>
                <w:sz w:val="20"/>
                <w:szCs w:val="20"/>
              </w:rPr>
            </w:pPr>
            <w:r>
              <w:rPr>
                <w:rFonts w:ascii="Arial" w:hAnsi="Arial" w:cs="Arial"/>
                <w:sz w:val="20"/>
                <w:szCs w:val="20"/>
              </w:rPr>
              <w:t>(2-9</w:t>
            </w:r>
            <w:r w:rsidR="00116F72" w:rsidRPr="00116F72">
              <w:rPr>
                <w:rFonts w:ascii="Arial" w:hAnsi="Arial" w:cs="Arial"/>
                <w:sz w:val="20"/>
                <w:szCs w:val="20"/>
              </w:rPr>
              <w:t xml:space="preserve">)        </w:t>
            </w:r>
          </w:p>
        </w:tc>
      </w:tr>
      <w:tr w:rsidR="00116F72" w:rsidRPr="00116F72" w14:paraId="5000DA01" w14:textId="77777777" w:rsidTr="00C91938">
        <w:tc>
          <w:tcPr>
            <w:tcW w:w="552" w:type="dxa"/>
            <w:vMerge/>
            <w:tcBorders>
              <w:top w:val="nil"/>
              <w:left w:val="single" w:sz="12" w:space="0" w:color="auto"/>
              <w:bottom w:val="nil"/>
              <w:right w:val="single" w:sz="4" w:space="0" w:color="auto"/>
            </w:tcBorders>
          </w:tcPr>
          <w:p w14:paraId="09541F4E"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dashed" w:sz="4" w:space="0" w:color="auto"/>
              <w:right w:val="single" w:sz="4" w:space="0" w:color="auto"/>
            </w:tcBorders>
          </w:tcPr>
          <w:p w14:paraId="6ACB3902"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Medium</w:t>
            </w:r>
          </w:p>
          <w:p w14:paraId="7B41AD67" w14:textId="0F70578B"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21.6-45.2</w:t>
            </w:r>
          </w:p>
        </w:tc>
        <w:tc>
          <w:tcPr>
            <w:tcW w:w="1134" w:type="dxa"/>
            <w:tcBorders>
              <w:top w:val="dashed" w:sz="4" w:space="0" w:color="auto"/>
              <w:left w:val="single" w:sz="4" w:space="0" w:color="auto"/>
              <w:bottom w:val="dashed" w:sz="4" w:space="0" w:color="auto"/>
              <w:right w:val="single" w:sz="4" w:space="0" w:color="auto"/>
            </w:tcBorders>
          </w:tcPr>
          <w:p w14:paraId="21A63FDB"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71</w:t>
            </w:r>
            <w:r w:rsidRPr="00116F72">
              <w:rPr>
                <w:rFonts w:ascii="Arial" w:hAnsi="Arial" w:cs="Arial"/>
                <w:sz w:val="20"/>
                <w:szCs w:val="20"/>
                <w:vertAlign w:val="superscript"/>
              </w:rPr>
              <w:t>st</w:t>
            </w:r>
            <w:r w:rsidRPr="00116F72">
              <w:rPr>
                <w:rFonts w:ascii="Arial" w:hAnsi="Arial" w:cs="Arial"/>
                <w:sz w:val="20"/>
                <w:szCs w:val="20"/>
              </w:rPr>
              <w:t>-90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dashed" w:sz="4" w:space="0" w:color="auto"/>
              <w:right w:val="single" w:sz="4" w:space="0" w:color="auto"/>
            </w:tcBorders>
          </w:tcPr>
          <w:p w14:paraId="04790409" w14:textId="77777777" w:rsidR="00116F72" w:rsidRPr="00C91938" w:rsidRDefault="00C91938" w:rsidP="003612A5">
            <w:pPr>
              <w:pStyle w:val="Thesisparagraph"/>
              <w:jc w:val="center"/>
              <w:rPr>
                <w:rFonts w:ascii="Arial" w:hAnsi="Arial" w:cs="Arial"/>
                <w:b/>
                <w:sz w:val="20"/>
                <w:szCs w:val="20"/>
              </w:rPr>
            </w:pPr>
            <w:r w:rsidRPr="00C91938">
              <w:rPr>
                <w:rFonts w:ascii="Arial" w:hAnsi="Arial" w:cs="Arial"/>
                <w:b/>
                <w:sz w:val="20"/>
                <w:szCs w:val="20"/>
              </w:rPr>
              <w:t>4.2</w:t>
            </w:r>
          </w:p>
          <w:p w14:paraId="01EC7CB8" w14:textId="4E5CB951" w:rsidR="00C91938" w:rsidRPr="00C91938" w:rsidRDefault="00C91938" w:rsidP="003612A5">
            <w:pPr>
              <w:pStyle w:val="Thesisparagraph"/>
              <w:jc w:val="center"/>
              <w:rPr>
                <w:rFonts w:ascii="Arial" w:hAnsi="Arial" w:cs="Arial"/>
                <w:sz w:val="20"/>
                <w:szCs w:val="20"/>
              </w:rPr>
            </w:pPr>
            <w:r w:rsidRPr="00C91938">
              <w:rPr>
                <w:rFonts w:ascii="Arial" w:hAnsi="Arial" w:cs="Arial"/>
                <w:sz w:val="20"/>
                <w:szCs w:val="20"/>
              </w:rPr>
              <w:t>(1.8-10.1)</w:t>
            </w:r>
          </w:p>
        </w:tc>
        <w:tc>
          <w:tcPr>
            <w:tcW w:w="1027" w:type="dxa"/>
            <w:tcBorders>
              <w:top w:val="dashed" w:sz="4" w:space="0" w:color="auto"/>
              <w:left w:val="single" w:sz="4" w:space="0" w:color="auto"/>
              <w:bottom w:val="dashed" w:sz="4" w:space="0" w:color="auto"/>
              <w:right w:val="single" w:sz="4" w:space="0" w:color="auto"/>
            </w:tcBorders>
          </w:tcPr>
          <w:p w14:paraId="6F8BCA7D" w14:textId="77777777" w:rsidR="00C1572F" w:rsidRDefault="00C1572F" w:rsidP="003612A5">
            <w:pPr>
              <w:pStyle w:val="Thesisparagraph"/>
              <w:jc w:val="center"/>
              <w:rPr>
                <w:rFonts w:ascii="Arial" w:hAnsi="Arial" w:cs="Arial"/>
                <w:sz w:val="20"/>
                <w:szCs w:val="20"/>
              </w:rPr>
            </w:pPr>
            <w:r>
              <w:rPr>
                <w:rFonts w:ascii="Arial" w:hAnsi="Arial" w:cs="Arial"/>
                <w:b/>
                <w:sz w:val="20"/>
                <w:szCs w:val="20"/>
              </w:rPr>
              <w:t>4</w:t>
            </w:r>
            <w:r w:rsidR="00116F72" w:rsidRPr="00116F72">
              <w:rPr>
                <w:rFonts w:ascii="Arial" w:hAnsi="Arial" w:cs="Arial"/>
                <w:sz w:val="20"/>
                <w:szCs w:val="20"/>
              </w:rPr>
              <w:t xml:space="preserve">  </w:t>
            </w:r>
          </w:p>
          <w:p w14:paraId="68794F3F" w14:textId="1AD4C4BA" w:rsidR="00116F72" w:rsidRPr="00116F72" w:rsidRDefault="00C1572F" w:rsidP="003612A5">
            <w:pPr>
              <w:pStyle w:val="Thesisparagraph"/>
              <w:jc w:val="center"/>
              <w:rPr>
                <w:rFonts w:ascii="Arial" w:hAnsi="Arial" w:cs="Arial"/>
                <w:sz w:val="20"/>
                <w:szCs w:val="20"/>
              </w:rPr>
            </w:pPr>
            <w:r>
              <w:rPr>
                <w:rFonts w:ascii="Arial" w:hAnsi="Arial" w:cs="Arial"/>
                <w:sz w:val="20"/>
                <w:szCs w:val="20"/>
              </w:rPr>
              <w:t>(0-10</w:t>
            </w:r>
            <w:r w:rsidR="00116F72" w:rsidRPr="00116F72">
              <w:rPr>
                <w:rFonts w:ascii="Arial" w:hAnsi="Arial" w:cs="Arial"/>
                <w:sz w:val="20"/>
                <w:szCs w:val="20"/>
              </w:rPr>
              <w:t xml:space="preserve">)        </w:t>
            </w:r>
          </w:p>
        </w:tc>
        <w:tc>
          <w:tcPr>
            <w:tcW w:w="1028" w:type="dxa"/>
            <w:tcBorders>
              <w:top w:val="dashed" w:sz="4" w:space="0" w:color="auto"/>
              <w:left w:val="single" w:sz="4" w:space="0" w:color="auto"/>
              <w:bottom w:val="dashed" w:sz="4" w:space="0" w:color="auto"/>
              <w:right w:val="single" w:sz="4" w:space="0" w:color="auto"/>
            </w:tcBorders>
          </w:tcPr>
          <w:p w14:paraId="2579835D" w14:textId="77777777" w:rsidR="00C1572F" w:rsidRDefault="00C1572F" w:rsidP="003612A5">
            <w:pPr>
              <w:pStyle w:val="Thesisparagraph"/>
              <w:jc w:val="center"/>
              <w:rPr>
                <w:rFonts w:ascii="Arial" w:hAnsi="Arial" w:cs="Arial"/>
                <w:sz w:val="20"/>
                <w:szCs w:val="20"/>
              </w:rPr>
            </w:pPr>
            <w:r>
              <w:rPr>
                <w:rFonts w:ascii="Arial" w:hAnsi="Arial" w:cs="Arial"/>
                <w:b/>
                <w:sz w:val="20"/>
                <w:szCs w:val="20"/>
              </w:rPr>
              <w:t>11</w:t>
            </w:r>
            <w:r w:rsidR="00116F72" w:rsidRPr="00116F72">
              <w:rPr>
                <w:rFonts w:ascii="Arial" w:hAnsi="Arial" w:cs="Arial"/>
                <w:sz w:val="20"/>
                <w:szCs w:val="20"/>
              </w:rPr>
              <w:t xml:space="preserve">  </w:t>
            </w:r>
          </w:p>
          <w:p w14:paraId="10E20AC5" w14:textId="6EA0AF7F"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w:t>
            </w:r>
            <w:r w:rsidR="00C1572F">
              <w:rPr>
                <w:rFonts w:ascii="Arial" w:hAnsi="Arial" w:cs="Arial"/>
                <w:sz w:val="20"/>
                <w:szCs w:val="20"/>
              </w:rPr>
              <w:t>1-20</w:t>
            </w:r>
            <w:r w:rsidRPr="00116F72">
              <w:rPr>
                <w:rFonts w:ascii="Arial" w:hAnsi="Arial" w:cs="Arial"/>
                <w:sz w:val="20"/>
                <w:szCs w:val="20"/>
              </w:rPr>
              <w:t xml:space="preserve">)        </w:t>
            </w:r>
          </w:p>
        </w:tc>
        <w:tc>
          <w:tcPr>
            <w:tcW w:w="1028" w:type="dxa"/>
            <w:tcBorders>
              <w:top w:val="dashed" w:sz="4" w:space="0" w:color="auto"/>
              <w:left w:val="single" w:sz="4" w:space="0" w:color="auto"/>
              <w:bottom w:val="dashed" w:sz="4" w:space="0" w:color="auto"/>
              <w:right w:val="single" w:sz="4" w:space="0" w:color="auto"/>
            </w:tcBorders>
          </w:tcPr>
          <w:p w14:paraId="7FE35731" w14:textId="77777777" w:rsidR="00C1572F" w:rsidRDefault="00C1572F" w:rsidP="00C1572F">
            <w:pPr>
              <w:pStyle w:val="Thesisparagraph"/>
              <w:jc w:val="center"/>
              <w:rPr>
                <w:rFonts w:ascii="Arial" w:hAnsi="Arial" w:cs="Arial"/>
                <w:sz w:val="20"/>
                <w:szCs w:val="20"/>
              </w:rPr>
            </w:pPr>
            <w:r>
              <w:rPr>
                <w:rFonts w:ascii="Arial" w:hAnsi="Arial" w:cs="Arial"/>
                <w:b/>
                <w:sz w:val="20"/>
                <w:szCs w:val="20"/>
              </w:rPr>
              <w:t>18</w:t>
            </w:r>
            <w:r w:rsidR="00116F72" w:rsidRPr="00116F72">
              <w:rPr>
                <w:rFonts w:ascii="Arial" w:hAnsi="Arial" w:cs="Arial"/>
                <w:sz w:val="20"/>
                <w:szCs w:val="20"/>
              </w:rPr>
              <w:t xml:space="preserve">  </w:t>
            </w:r>
          </w:p>
          <w:p w14:paraId="4AC3DABE" w14:textId="47360ED2" w:rsidR="00116F72" w:rsidRPr="00116F72" w:rsidRDefault="00116F72" w:rsidP="00C1572F">
            <w:pPr>
              <w:pStyle w:val="Thesisparagraph"/>
              <w:jc w:val="center"/>
              <w:rPr>
                <w:rFonts w:ascii="Arial" w:hAnsi="Arial" w:cs="Arial"/>
                <w:sz w:val="20"/>
                <w:szCs w:val="20"/>
              </w:rPr>
            </w:pPr>
            <w:r w:rsidRPr="00116F72">
              <w:rPr>
                <w:rFonts w:ascii="Arial" w:hAnsi="Arial" w:cs="Arial"/>
                <w:sz w:val="20"/>
                <w:szCs w:val="20"/>
              </w:rPr>
              <w:t>(</w:t>
            </w:r>
            <w:r w:rsidR="00C1572F">
              <w:rPr>
                <w:rFonts w:ascii="Arial" w:hAnsi="Arial" w:cs="Arial"/>
                <w:sz w:val="20"/>
                <w:szCs w:val="20"/>
              </w:rPr>
              <w:t xml:space="preserve">6- 28) </w:t>
            </w:r>
          </w:p>
        </w:tc>
        <w:tc>
          <w:tcPr>
            <w:tcW w:w="1028" w:type="dxa"/>
            <w:tcBorders>
              <w:top w:val="dashed" w:sz="4" w:space="0" w:color="auto"/>
              <w:left w:val="single" w:sz="4" w:space="0" w:color="auto"/>
              <w:bottom w:val="dashed" w:sz="4" w:space="0" w:color="auto"/>
              <w:right w:val="single" w:sz="12" w:space="0" w:color="auto"/>
            </w:tcBorders>
          </w:tcPr>
          <w:p w14:paraId="56AB872F" w14:textId="573BE884" w:rsidR="00116F72" w:rsidRPr="00116F72" w:rsidRDefault="00C1572F" w:rsidP="003612A5">
            <w:pPr>
              <w:pStyle w:val="Thesisparagraph"/>
              <w:jc w:val="center"/>
              <w:rPr>
                <w:rFonts w:ascii="Arial" w:hAnsi="Arial" w:cs="Arial"/>
                <w:b/>
                <w:sz w:val="20"/>
                <w:szCs w:val="20"/>
              </w:rPr>
            </w:pPr>
            <w:r>
              <w:rPr>
                <w:rFonts w:ascii="Arial" w:hAnsi="Arial" w:cs="Arial"/>
                <w:b/>
                <w:sz w:val="20"/>
                <w:szCs w:val="20"/>
              </w:rPr>
              <w:t>22</w:t>
            </w:r>
          </w:p>
          <w:p w14:paraId="0D6DFFF4" w14:textId="5F74F88B" w:rsidR="00116F72" w:rsidRPr="00116F72" w:rsidRDefault="00C1572F" w:rsidP="003612A5">
            <w:pPr>
              <w:pStyle w:val="Thesisparagraph"/>
              <w:jc w:val="center"/>
              <w:rPr>
                <w:rFonts w:ascii="Arial" w:hAnsi="Arial" w:cs="Arial"/>
                <w:sz w:val="20"/>
                <w:szCs w:val="20"/>
              </w:rPr>
            </w:pPr>
            <w:r>
              <w:rPr>
                <w:rFonts w:ascii="Arial" w:hAnsi="Arial" w:cs="Arial"/>
                <w:sz w:val="20"/>
                <w:szCs w:val="20"/>
              </w:rPr>
              <w:t>(10-33)</w:t>
            </w:r>
            <w:r w:rsidR="00116F72" w:rsidRPr="00116F72">
              <w:rPr>
                <w:rFonts w:ascii="Arial" w:hAnsi="Arial" w:cs="Arial"/>
                <w:sz w:val="20"/>
                <w:szCs w:val="20"/>
              </w:rPr>
              <w:t xml:space="preserve">      </w:t>
            </w:r>
          </w:p>
        </w:tc>
      </w:tr>
      <w:tr w:rsidR="00116F72" w:rsidRPr="00116F72" w14:paraId="3FBB4C01" w14:textId="77777777" w:rsidTr="00C91938">
        <w:tc>
          <w:tcPr>
            <w:tcW w:w="552" w:type="dxa"/>
            <w:vMerge/>
            <w:tcBorders>
              <w:top w:val="nil"/>
              <w:left w:val="single" w:sz="12" w:space="0" w:color="auto"/>
              <w:bottom w:val="single" w:sz="12" w:space="0" w:color="auto"/>
              <w:right w:val="single" w:sz="4" w:space="0" w:color="auto"/>
            </w:tcBorders>
          </w:tcPr>
          <w:p w14:paraId="4BB83234"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single" w:sz="12" w:space="0" w:color="auto"/>
              <w:right w:val="single" w:sz="4" w:space="0" w:color="auto"/>
            </w:tcBorders>
          </w:tcPr>
          <w:p w14:paraId="55CD657C"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High</w:t>
            </w:r>
          </w:p>
          <w:p w14:paraId="746AC68F" w14:textId="18395DE7"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&gt;45.2</w:t>
            </w:r>
          </w:p>
        </w:tc>
        <w:tc>
          <w:tcPr>
            <w:tcW w:w="1134" w:type="dxa"/>
            <w:tcBorders>
              <w:top w:val="dashed" w:sz="4" w:space="0" w:color="auto"/>
              <w:left w:val="single" w:sz="4" w:space="0" w:color="auto"/>
              <w:bottom w:val="single" w:sz="12" w:space="0" w:color="auto"/>
              <w:right w:val="single" w:sz="4" w:space="0" w:color="auto"/>
            </w:tcBorders>
          </w:tcPr>
          <w:p w14:paraId="3F505BB4"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91</w:t>
            </w:r>
            <w:r w:rsidRPr="00116F72">
              <w:rPr>
                <w:rFonts w:ascii="Arial" w:hAnsi="Arial" w:cs="Arial"/>
                <w:sz w:val="20"/>
                <w:szCs w:val="20"/>
                <w:vertAlign w:val="superscript"/>
              </w:rPr>
              <w:t>st</w:t>
            </w:r>
            <w:r w:rsidRPr="00116F72">
              <w:rPr>
                <w:rFonts w:ascii="Arial" w:hAnsi="Arial" w:cs="Arial"/>
                <w:sz w:val="20"/>
                <w:szCs w:val="20"/>
              </w:rPr>
              <w:t>-100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single" w:sz="12" w:space="0" w:color="auto"/>
              <w:right w:val="single" w:sz="4" w:space="0" w:color="auto"/>
            </w:tcBorders>
          </w:tcPr>
          <w:p w14:paraId="1EDCDF5F" w14:textId="77777777" w:rsidR="00116F72" w:rsidRPr="00C91938" w:rsidRDefault="00C91938" w:rsidP="003612A5">
            <w:pPr>
              <w:pStyle w:val="Thesisparagraph"/>
              <w:jc w:val="center"/>
              <w:rPr>
                <w:rFonts w:ascii="Arial" w:hAnsi="Arial" w:cs="Arial"/>
                <w:b/>
                <w:sz w:val="20"/>
                <w:szCs w:val="20"/>
              </w:rPr>
            </w:pPr>
            <w:r w:rsidRPr="00C91938">
              <w:rPr>
                <w:rFonts w:ascii="Arial" w:hAnsi="Arial" w:cs="Arial"/>
                <w:b/>
                <w:sz w:val="20"/>
                <w:szCs w:val="20"/>
              </w:rPr>
              <w:t>18.6</w:t>
            </w:r>
          </w:p>
          <w:p w14:paraId="08DAD6B2" w14:textId="0DBA4ACF" w:rsidR="00C91938" w:rsidRPr="00116F72" w:rsidRDefault="00C91938" w:rsidP="003612A5">
            <w:pPr>
              <w:pStyle w:val="Thesisparagraph"/>
              <w:jc w:val="center"/>
              <w:rPr>
                <w:rFonts w:ascii="Arial" w:hAnsi="Arial" w:cs="Arial"/>
                <w:sz w:val="20"/>
                <w:szCs w:val="20"/>
              </w:rPr>
            </w:pPr>
            <w:r>
              <w:rPr>
                <w:rFonts w:ascii="Arial" w:hAnsi="Arial" w:cs="Arial"/>
                <w:sz w:val="20"/>
                <w:szCs w:val="20"/>
              </w:rPr>
              <w:t>(8.5-40.8)</w:t>
            </w:r>
          </w:p>
        </w:tc>
        <w:tc>
          <w:tcPr>
            <w:tcW w:w="1027" w:type="dxa"/>
            <w:tcBorders>
              <w:top w:val="dashed" w:sz="4" w:space="0" w:color="auto"/>
              <w:left w:val="single" w:sz="4" w:space="0" w:color="auto"/>
              <w:bottom w:val="single" w:sz="12" w:space="0" w:color="auto"/>
              <w:right w:val="single" w:sz="4" w:space="0" w:color="auto"/>
            </w:tcBorders>
          </w:tcPr>
          <w:p w14:paraId="4C971D39" w14:textId="77777777" w:rsidR="00C1572F" w:rsidRDefault="00C1572F" w:rsidP="003612A5">
            <w:pPr>
              <w:pStyle w:val="Thesisparagraph"/>
              <w:jc w:val="center"/>
              <w:rPr>
                <w:rFonts w:ascii="Arial" w:hAnsi="Arial" w:cs="Arial"/>
                <w:sz w:val="20"/>
                <w:szCs w:val="20"/>
              </w:rPr>
            </w:pPr>
            <w:r>
              <w:rPr>
                <w:rFonts w:ascii="Arial" w:hAnsi="Arial" w:cs="Arial"/>
                <w:b/>
                <w:sz w:val="20"/>
                <w:szCs w:val="20"/>
              </w:rPr>
              <w:t>39</w:t>
            </w:r>
            <w:r w:rsidR="00116F72" w:rsidRPr="00116F72">
              <w:rPr>
                <w:rFonts w:ascii="Arial" w:hAnsi="Arial" w:cs="Arial"/>
                <w:sz w:val="20"/>
                <w:szCs w:val="20"/>
              </w:rPr>
              <w:t xml:space="preserve">  </w:t>
            </w:r>
          </w:p>
          <w:p w14:paraId="4E6B1705" w14:textId="7A049EB5" w:rsidR="00116F72" w:rsidRPr="00116F72" w:rsidRDefault="00C1572F" w:rsidP="003612A5">
            <w:pPr>
              <w:pStyle w:val="Thesisparagraph"/>
              <w:jc w:val="center"/>
              <w:rPr>
                <w:rFonts w:ascii="Arial" w:hAnsi="Arial" w:cs="Arial"/>
                <w:sz w:val="20"/>
                <w:szCs w:val="20"/>
              </w:rPr>
            </w:pPr>
            <w:r>
              <w:rPr>
                <w:rFonts w:ascii="Arial" w:hAnsi="Arial" w:cs="Arial"/>
                <w:sz w:val="20"/>
                <w:szCs w:val="20"/>
              </w:rPr>
              <w:t>(10-58)</w:t>
            </w:r>
            <w:r w:rsidR="00116F72" w:rsidRPr="00116F72">
              <w:rPr>
                <w:rFonts w:ascii="Arial" w:hAnsi="Arial" w:cs="Arial"/>
                <w:sz w:val="20"/>
                <w:szCs w:val="20"/>
              </w:rPr>
              <w:t xml:space="preserve">      </w:t>
            </w:r>
          </w:p>
        </w:tc>
        <w:tc>
          <w:tcPr>
            <w:tcW w:w="1028" w:type="dxa"/>
            <w:tcBorders>
              <w:top w:val="dashed" w:sz="4" w:space="0" w:color="auto"/>
              <w:left w:val="single" w:sz="4" w:space="0" w:color="auto"/>
              <w:bottom w:val="single" w:sz="12" w:space="0" w:color="auto"/>
              <w:right w:val="single" w:sz="4" w:space="0" w:color="auto"/>
            </w:tcBorders>
          </w:tcPr>
          <w:p w14:paraId="5857D242" w14:textId="1E497DDE" w:rsidR="00C1572F" w:rsidRDefault="00C1572F" w:rsidP="003612A5">
            <w:pPr>
              <w:pStyle w:val="Thesisparagraph"/>
              <w:jc w:val="center"/>
              <w:rPr>
                <w:rFonts w:ascii="Arial" w:hAnsi="Arial" w:cs="Arial"/>
                <w:sz w:val="20"/>
                <w:szCs w:val="20"/>
              </w:rPr>
            </w:pPr>
            <w:r>
              <w:rPr>
                <w:rFonts w:ascii="Arial" w:hAnsi="Arial" w:cs="Arial"/>
                <w:b/>
                <w:sz w:val="20"/>
                <w:szCs w:val="20"/>
              </w:rPr>
              <w:t>51</w:t>
            </w:r>
            <w:r w:rsidR="00116F72" w:rsidRPr="00116F72">
              <w:rPr>
                <w:rFonts w:ascii="Arial" w:hAnsi="Arial" w:cs="Arial"/>
                <w:sz w:val="20"/>
                <w:szCs w:val="20"/>
              </w:rPr>
              <w:t xml:space="preserve"> </w:t>
            </w:r>
          </w:p>
          <w:p w14:paraId="7D5F0908" w14:textId="6516FF50" w:rsidR="00116F72" w:rsidRPr="00116F72" w:rsidRDefault="00C1572F" w:rsidP="00C1572F">
            <w:pPr>
              <w:pStyle w:val="Thesisparagraph"/>
              <w:jc w:val="center"/>
              <w:rPr>
                <w:rFonts w:ascii="Arial" w:hAnsi="Arial" w:cs="Arial"/>
                <w:sz w:val="20"/>
                <w:szCs w:val="20"/>
              </w:rPr>
            </w:pPr>
            <w:r>
              <w:rPr>
                <w:rFonts w:ascii="Arial" w:hAnsi="Arial" w:cs="Arial"/>
                <w:sz w:val="20"/>
                <w:szCs w:val="20"/>
              </w:rPr>
              <w:t>(22-69)</w:t>
            </w:r>
          </w:p>
        </w:tc>
        <w:tc>
          <w:tcPr>
            <w:tcW w:w="1028" w:type="dxa"/>
            <w:tcBorders>
              <w:top w:val="dashed" w:sz="4" w:space="0" w:color="auto"/>
              <w:left w:val="single" w:sz="4" w:space="0" w:color="auto"/>
              <w:bottom w:val="single" w:sz="12" w:space="0" w:color="auto"/>
              <w:right w:val="single" w:sz="4" w:space="0" w:color="auto"/>
            </w:tcBorders>
          </w:tcPr>
          <w:p w14:paraId="1B888B39" w14:textId="77777777" w:rsidR="00C1572F" w:rsidRDefault="00C1572F" w:rsidP="003612A5">
            <w:pPr>
              <w:pStyle w:val="Thesisparagraph"/>
              <w:jc w:val="center"/>
              <w:rPr>
                <w:rFonts w:ascii="Arial" w:hAnsi="Arial" w:cs="Arial"/>
                <w:sz w:val="20"/>
                <w:szCs w:val="20"/>
              </w:rPr>
            </w:pPr>
            <w:r>
              <w:rPr>
                <w:rFonts w:ascii="Arial" w:hAnsi="Arial" w:cs="Arial"/>
                <w:b/>
                <w:sz w:val="20"/>
                <w:szCs w:val="20"/>
              </w:rPr>
              <w:t>59</w:t>
            </w:r>
            <w:r w:rsidR="00116F72" w:rsidRPr="00116F72">
              <w:rPr>
                <w:rFonts w:ascii="Arial" w:hAnsi="Arial" w:cs="Arial"/>
                <w:sz w:val="20"/>
                <w:szCs w:val="20"/>
              </w:rPr>
              <w:t xml:space="preserve">  </w:t>
            </w:r>
          </w:p>
          <w:p w14:paraId="41EA7F87" w14:textId="2246C38F" w:rsidR="00116F72" w:rsidRPr="00116F72" w:rsidRDefault="00C1572F" w:rsidP="00C1572F">
            <w:pPr>
              <w:pStyle w:val="Thesisparagraph"/>
              <w:jc w:val="center"/>
              <w:rPr>
                <w:rFonts w:ascii="Arial" w:hAnsi="Arial" w:cs="Arial"/>
                <w:sz w:val="20"/>
                <w:szCs w:val="20"/>
              </w:rPr>
            </w:pPr>
            <w:r>
              <w:rPr>
                <w:rFonts w:ascii="Arial" w:hAnsi="Arial" w:cs="Arial"/>
                <w:sz w:val="20"/>
                <w:szCs w:val="20"/>
              </w:rPr>
              <w:t>(34-75)</w:t>
            </w:r>
          </w:p>
        </w:tc>
        <w:tc>
          <w:tcPr>
            <w:tcW w:w="1028" w:type="dxa"/>
            <w:tcBorders>
              <w:top w:val="dashed" w:sz="4" w:space="0" w:color="auto"/>
              <w:left w:val="single" w:sz="4" w:space="0" w:color="auto"/>
              <w:bottom w:val="single" w:sz="12" w:space="0" w:color="auto"/>
              <w:right w:val="single" w:sz="12" w:space="0" w:color="auto"/>
            </w:tcBorders>
          </w:tcPr>
          <w:p w14:paraId="5C2B2F30" w14:textId="3DD97331" w:rsidR="00116F72" w:rsidRPr="00116F72" w:rsidRDefault="00C1572F" w:rsidP="003612A5">
            <w:pPr>
              <w:pStyle w:val="Thesisparagraph"/>
              <w:jc w:val="center"/>
              <w:rPr>
                <w:rFonts w:ascii="Arial" w:hAnsi="Arial" w:cs="Arial"/>
                <w:b/>
                <w:sz w:val="20"/>
                <w:szCs w:val="20"/>
              </w:rPr>
            </w:pPr>
            <w:r>
              <w:rPr>
                <w:rFonts w:ascii="Arial" w:hAnsi="Arial" w:cs="Arial"/>
                <w:b/>
                <w:sz w:val="20"/>
                <w:szCs w:val="20"/>
              </w:rPr>
              <w:t>69</w:t>
            </w:r>
          </w:p>
          <w:p w14:paraId="7FBE39C6" w14:textId="2969004D" w:rsidR="00116F72" w:rsidRPr="00116F72" w:rsidRDefault="00C1572F" w:rsidP="00C1572F">
            <w:pPr>
              <w:pStyle w:val="Thesisparagraph"/>
              <w:jc w:val="center"/>
              <w:rPr>
                <w:rFonts w:ascii="Arial" w:hAnsi="Arial" w:cs="Arial"/>
                <w:sz w:val="20"/>
                <w:szCs w:val="20"/>
              </w:rPr>
            </w:pPr>
            <w:r>
              <w:rPr>
                <w:rFonts w:ascii="Arial" w:hAnsi="Arial" w:cs="Arial"/>
                <w:sz w:val="20"/>
                <w:szCs w:val="20"/>
              </w:rPr>
              <w:t>(48-82)</w:t>
            </w:r>
          </w:p>
        </w:tc>
      </w:tr>
      <w:tr w:rsidR="00116F72" w:rsidRPr="00116F72" w14:paraId="5DF9AE69" w14:textId="77777777" w:rsidTr="00C91938">
        <w:tc>
          <w:tcPr>
            <w:tcW w:w="552" w:type="dxa"/>
            <w:vMerge w:val="restart"/>
            <w:tcBorders>
              <w:top w:val="single" w:sz="12" w:space="0" w:color="auto"/>
              <w:left w:val="single" w:sz="12" w:space="0" w:color="auto"/>
              <w:bottom w:val="nil"/>
              <w:right w:val="single" w:sz="4" w:space="0" w:color="auto"/>
            </w:tcBorders>
            <w:textDirection w:val="btLr"/>
          </w:tcPr>
          <w:p w14:paraId="0F5F8B92" w14:textId="4EA63A01" w:rsidR="00116F72" w:rsidRPr="00116F72" w:rsidRDefault="009D0CF9" w:rsidP="003612A5">
            <w:pPr>
              <w:pStyle w:val="Thesisparagraph"/>
              <w:ind w:left="113" w:right="113"/>
              <w:jc w:val="center"/>
              <w:rPr>
                <w:rFonts w:ascii="Arial" w:hAnsi="Arial" w:cs="Arial"/>
                <w:sz w:val="20"/>
                <w:szCs w:val="20"/>
              </w:rPr>
            </w:pPr>
            <w:r>
              <w:rPr>
                <w:rFonts w:ascii="Arial" w:hAnsi="Arial" w:cs="Arial"/>
                <w:sz w:val="20"/>
                <w:szCs w:val="20"/>
              </w:rPr>
              <w:t>[insulin]</w:t>
            </w:r>
            <w:r w:rsidR="00116F72" w:rsidRPr="00116F72">
              <w:rPr>
                <w:rFonts w:ascii="Arial" w:hAnsi="Arial" w:cs="Arial"/>
                <w:sz w:val="20"/>
                <w:szCs w:val="20"/>
              </w:rPr>
              <w:t>T60</w:t>
            </w:r>
            <w:r w:rsidR="003612A5">
              <w:rPr>
                <w:rFonts w:ascii="Arial" w:hAnsi="Arial" w:cs="Arial"/>
                <w:sz w:val="20"/>
                <w:szCs w:val="20"/>
              </w:rPr>
              <w:t xml:space="preserve"> µIU/ml</w:t>
            </w:r>
          </w:p>
        </w:tc>
        <w:tc>
          <w:tcPr>
            <w:tcW w:w="1134" w:type="dxa"/>
            <w:tcBorders>
              <w:top w:val="single" w:sz="12" w:space="0" w:color="auto"/>
              <w:left w:val="single" w:sz="4" w:space="0" w:color="auto"/>
              <w:bottom w:val="dashed" w:sz="4" w:space="0" w:color="auto"/>
              <w:right w:val="single" w:sz="4" w:space="0" w:color="auto"/>
            </w:tcBorders>
          </w:tcPr>
          <w:p w14:paraId="115F6674"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Low</w:t>
            </w:r>
          </w:p>
          <w:p w14:paraId="5F7A2545" w14:textId="700B790D"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&lt;53.4</w:t>
            </w:r>
          </w:p>
        </w:tc>
        <w:tc>
          <w:tcPr>
            <w:tcW w:w="1134" w:type="dxa"/>
            <w:tcBorders>
              <w:top w:val="single" w:sz="12" w:space="0" w:color="auto"/>
              <w:left w:val="single" w:sz="4" w:space="0" w:color="auto"/>
              <w:bottom w:val="dashed" w:sz="4" w:space="0" w:color="auto"/>
              <w:right w:val="single" w:sz="4" w:space="0" w:color="auto"/>
            </w:tcBorders>
          </w:tcPr>
          <w:p w14:paraId="6BF4C1F9"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0-60</w:t>
            </w:r>
            <w:r w:rsidRPr="00116F72">
              <w:rPr>
                <w:rFonts w:ascii="Arial" w:hAnsi="Arial" w:cs="Arial"/>
                <w:sz w:val="20"/>
                <w:szCs w:val="20"/>
                <w:vertAlign w:val="superscript"/>
              </w:rPr>
              <w:t>th</w:t>
            </w:r>
          </w:p>
        </w:tc>
        <w:tc>
          <w:tcPr>
            <w:tcW w:w="1418" w:type="dxa"/>
            <w:tcBorders>
              <w:top w:val="single" w:sz="12" w:space="0" w:color="auto"/>
              <w:left w:val="single" w:sz="4" w:space="0" w:color="auto"/>
              <w:bottom w:val="dashed" w:sz="4" w:space="0" w:color="auto"/>
              <w:right w:val="single" w:sz="4" w:space="0" w:color="auto"/>
            </w:tcBorders>
          </w:tcPr>
          <w:p w14:paraId="27C25B9A" w14:textId="1E3F1396" w:rsidR="00116F72" w:rsidRPr="00116F72" w:rsidRDefault="00C91938" w:rsidP="003612A5">
            <w:pPr>
              <w:pStyle w:val="Thesisparagraph"/>
              <w:jc w:val="center"/>
              <w:rPr>
                <w:rFonts w:ascii="Arial" w:hAnsi="Arial" w:cs="Arial"/>
                <w:sz w:val="20"/>
                <w:szCs w:val="20"/>
              </w:rPr>
            </w:pPr>
            <w:r>
              <w:rPr>
                <w:rFonts w:ascii="Arial" w:hAnsi="Arial" w:cs="Arial"/>
                <w:sz w:val="20"/>
                <w:szCs w:val="20"/>
              </w:rPr>
              <w:t>Ref</w:t>
            </w:r>
          </w:p>
        </w:tc>
        <w:tc>
          <w:tcPr>
            <w:tcW w:w="1027" w:type="dxa"/>
            <w:tcBorders>
              <w:top w:val="single" w:sz="12" w:space="0" w:color="auto"/>
              <w:left w:val="single" w:sz="4" w:space="0" w:color="auto"/>
              <w:bottom w:val="dashed" w:sz="4" w:space="0" w:color="auto"/>
              <w:right w:val="single" w:sz="4" w:space="0" w:color="auto"/>
            </w:tcBorders>
          </w:tcPr>
          <w:p w14:paraId="6640FD62" w14:textId="77777777" w:rsidR="00116F72" w:rsidRPr="00116F72" w:rsidRDefault="00116F72" w:rsidP="003612A5">
            <w:pPr>
              <w:pStyle w:val="Thesisparagraph"/>
              <w:jc w:val="center"/>
              <w:rPr>
                <w:rFonts w:ascii="Arial" w:hAnsi="Arial" w:cs="Arial"/>
                <w:b/>
                <w:sz w:val="20"/>
                <w:szCs w:val="20"/>
              </w:rPr>
            </w:pPr>
            <w:r w:rsidRPr="00116F72">
              <w:rPr>
                <w:rFonts w:ascii="Arial" w:hAnsi="Arial" w:cs="Arial"/>
                <w:b/>
                <w:sz w:val="20"/>
                <w:szCs w:val="20"/>
              </w:rPr>
              <w:t>NA</w:t>
            </w:r>
          </w:p>
        </w:tc>
        <w:tc>
          <w:tcPr>
            <w:tcW w:w="1028" w:type="dxa"/>
            <w:tcBorders>
              <w:top w:val="single" w:sz="12" w:space="0" w:color="auto"/>
              <w:left w:val="single" w:sz="4" w:space="0" w:color="auto"/>
              <w:bottom w:val="dashed" w:sz="4" w:space="0" w:color="auto"/>
              <w:right w:val="single" w:sz="4" w:space="0" w:color="auto"/>
            </w:tcBorders>
          </w:tcPr>
          <w:p w14:paraId="66457BA8" w14:textId="77777777" w:rsidR="00116F72" w:rsidRPr="00116F72" w:rsidRDefault="00116F72" w:rsidP="003612A5">
            <w:pPr>
              <w:pStyle w:val="Thesisparagraph"/>
              <w:jc w:val="center"/>
              <w:rPr>
                <w:rFonts w:ascii="Arial" w:hAnsi="Arial" w:cs="Arial"/>
                <w:b/>
                <w:sz w:val="20"/>
                <w:szCs w:val="20"/>
              </w:rPr>
            </w:pPr>
            <w:r w:rsidRPr="00116F72">
              <w:rPr>
                <w:rFonts w:ascii="Arial" w:hAnsi="Arial" w:cs="Arial"/>
                <w:b/>
                <w:sz w:val="20"/>
                <w:szCs w:val="20"/>
              </w:rPr>
              <w:t>NA</w:t>
            </w:r>
          </w:p>
        </w:tc>
        <w:tc>
          <w:tcPr>
            <w:tcW w:w="1028" w:type="dxa"/>
            <w:tcBorders>
              <w:top w:val="single" w:sz="12" w:space="0" w:color="auto"/>
              <w:left w:val="single" w:sz="4" w:space="0" w:color="auto"/>
              <w:bottom w:val="dashed" w:sz="4" w:space="0" w:color="auto"/>
              <w:right w:val="single" w:sz="4" w:space="0" w:color="auto"/>
            </w:tcBorders>
          </w:tcPr>
          <w:p w14:paraId="24BB4D72"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 xml:space="preserve">  2</w:t>
            </w:r>
            <w:r w:rsidR="00116F72" w:rsidRPr="00116F72">
              <w:rPr>
                <w:rFonts w:ascii="Arial" w:hAnsi="Arial" w:cs="Arial"/>
                <w:b/>
                <w:sz w:val="20"/>
                <w:szCs w:val="20"/>
              </w:rPr>
              <w:t xml:space="preserve"> </w:t>
            </w:r>
          </w:p>
          <w:p w14:paraId="12A5BAD2" w14:textId="5282B815" w:rsidR="00116F72" w:rsidRPr="00116F72" w:rsidRDefault="009D0CF9" w:rsidP="003612A5">
            <w:pPr>
              <w:pStyle w:val="Thesisparagraph"/>
              <w:jc w:val="center"/>
              <w:rPr>
                <w:rFonts w:ascii="Arial" w:hAnsi="Arial" w:cs="Arial"/>
                <w:sz w:val="20"/>
                <w:szCs w:val="20"/>
              </w:rPr>
            </w:pPr>
            <w:r>
              <w:rPr>
                <w:rFonts w:ascii="Arial" w:hAnsi="Arial" w:cs="Arial"/>
                <w:sz w:val="20"/>
                <w:szCs w:val="20"/>
              </w:rPr>
              <w:t>(0-5</w:t>
            </w:r>
            <w:r w:rsidR="00116F72" w:rsidRPr="00116F72">
              <w:rPr>
                <w:rFonts w:ascii="Arial" w:hAnsi="Arial" w:cs="Arial"/>
                <w:sz w:val="20"/>
                <w:szCs w:val="20"/>
              </w:rPr>
              <w:t xml:space="preserve">)       </w:t>
            </w:r>
          </w:p>
        </w:tc>
        <w:tc>
          <w:tcPr>
            <w:tcW w:w="1028" w:type="dxa"/>
            <w:tcBorders>
              <w:top w:val="single" w:sz="12" w:space="0" w:color="auto"/>
              <w:left w:val="single" w:sz="4" w:space="0" w:color="auto"/>
              <w:bottom w:val="dashed" w:sz="4" w:space="0" w:color="auto"/>
              <w:right w:val="single" w:sz="12" w:space="0" w:color="auto"/>
            </w:tcBorders>
          </w:tcPr>
          <w:p w14:paraId="7AFCB525" w14:textId="79B3BAA8"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3</w:t>
            </w:r>
          </w:p>
          <w:p w14:paraId="4BBE48BF" w14:textId="635940E3"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w:t>
            </w:r>
            <w:r w:rsidR="009D0CF9">
              <w:rPr>
                <w:rFonts w:ascii="Arial" w:hAnsi="Arial" w:cs="Arial"/>
                <w:sz w:val="20"/>
                <w:szCs w:val="20"/>
              </w:rPr>
              <w:t>0-6</w:t>
            </w:r>
            <w:r w:rsidRPr="00116F72">
              <w:rPr>
                <w:rFonts w:ascii="Arial" w:hAnsi="Arial" w:cs="Arial"/>
                <w:sz w:val="20"/>
                <w:szCs w:val="20"/>
              </w:rPr>
              <w:t>)</w:t>
            </w:r>
          </w:p>
        </w:tc>
      </w:tr>
      <w:tr w:rsidR="00116F72" w:rsidRPr="00116F72" w14:paraId="7FCDAADA" w14:textId="77777777" w:rsidTr="00C91938">
        <w:tc>
          <w:tcPr>
            <w:tcW w:w="552" w:type="dxa"/>
            <w:vMerge/>
            <w:tcBorders>
              <w:top w:val="nil"/>
              <w:left w:val="single" w:sz="12" w:space="0" w:color="auto"/>
              <w:bottom w:val="nil"/>
              <w:right w:val="single" w:sz="4" w:space="0" w:color="auto"/>
            </w:tcBorders>
          </w:tcPr>
          <w:p w14:paraId="4EA4E8FB"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dashed" w:sz="4" w:space="0" w:color="auto"/>
              <w:right w:val="single" w:sz="4" w:space="0" w:color="auto"/>
            </w:tcBorders>
          </w:tcPr>
          <w:p w14:paraId="3612BB0D"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Medium</w:t>
            </w:r>
          </w:p>
          <w:p w14:paraId="278AC22C" w14:textId="0BC7EEFA"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53.4-153</w:t>
            </w:r>
          </w:p>
        </w:tc>
        <w:tc>
          <w:tcPr>
            <w:tcW w:w="1134" w:type="dxa"/>
            <w:tcBorders>
              <w:top w:val="dashed" w:sz="4" w:space="0" w:color="auto"/>
              <w:left w:val="single" w:sz="4" w:space="0" w:color="auto"/>
              <w:bottom w:val="dashed" w:sz="4" w:space="0" w:color="auto"/>
              <w:right w:val="single" w:sz="4" w:space="0" w:color="auto"/>
            </w:tcBorders>
          </w:tcPr>
          <w:p w14:paraId="1147D56C"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61</w:t>
            </w:r>
            <w:r w:rsidRPr="00116F72">
              <w:rPr>
                <w:rFonts w:ascii="Arial" w:hAnsi="Arial" w:cs="Arial"/>
                <w:sz w:val="20"/>
                <w:szCs w:val="20"/>
                <w:vertAlign w:val="superscript"/>
              </w:rPr>
              <w:t>st</w:t>
            </w:r>
            <w:r w:rsidRPr="00116F72">
              <w:rPr>
                <w:rFonts w:ascii="Arial" w:hAnsi="Arial" w:cs="Arial"/>
                <w:sz w:val="20"/>
                <w:szCs w:val="20"/>
              </w:rPr>
              <w:t>-90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dashed" w:sz="4" w:space="0" w:color="auto"/>
              <w:right w:val="single" w:sz="4" w:space="0" w:color="auto"/>
            </w:tcBorders>
          </w:tcPr>
          <w:p w14:paraId="6FFBF05C" w14:textId="77777777" w:rsidR="00116F72" w:rsidRPr="00C91938" w:rsidRDefault="00695822" w:rsidP="003612A5">
            <w:pPr>
              <w:pStyle w:val="Thesisparagraph"/>
              <w:jc w:val="center"/>
              <w:rPr>
                <w:rFonts w:ascii="Arial" w:hAnsi="Arial" w:cs="Arial"/>
                <w:b/>
                <w:sz w:val="20"/>
                <w:szCs w:val="20"/>
              </w:rPr>
            </w:pPr>
            <w:r w:rsidRPr="00C91938">
              <w:rPr>
                <w:rFonts w:ascii="Arial" w:hAnsi="Arial" w:cs="Arial"/>
                <w:b/>
                <w:sz w:val="20"/>
                <w:szCs w:val="20"/>
              </w:rPr>
              <w:t>7.6</w:t>
            </w:r>
          </w:p>
          <w:p w14:paraId="0BD355FF" w14:textId="0F3D8115" w:rsidR="00695822" w:rsidRPr="00116F72" w:rsidRDefault="00695822" w:rsidP="003612A5">
            <w:pPr>
              <w:pStyle w:val="Thesisparagraph"/>
              <w:jc w:val="center"/>
              <w:rPr>
                <w:rFonts w:ascii="Arial" w:hAnsi="Arial" w:cs="Arial"/>
                <w:sz w:val="20"/>
                <w:szCs w:val="20"/>
              </w:rPr>
            </w:pPr>
            <w:r>
              <w:rPr>
                <w:rFonts w:ascii="Arial" w:hAnsi="Arial" w:cs="Arial"/>
                <w:sz w:val="20"/>
                <w:szCs w:val="20"/>
              </w:rPr>
              <w:t>(2.5-23)</w:t>
            </w:r>
          </w:p>
        </w:tc>
        <w:tc>
          <w:tcPr>
            <w:tcW w:w="1027" w:type="dxa"/>
            <w:tcBorders>
              <w:top w:val="dashed" w:sz="4" w:space="0" w:color="auto"/>
              <w:left w:val="single" w:sz="4" w:space="0" w:color="auto"/>
              <w:bottom w:val="dashed" w:sz="4" w:space="0" w:color="auto"/>
              <w:right w:val="single" w:sz="4" w:space="0" w:color="auto"/>
            </w:tcBorders>
          </w:tcPr>
          <w:p w14:paraId="58338E37"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4</w:t>
            </w:r>
          </w:p>
          <w:p w14:paraId="4596CF3C" w14:textId="239482DF"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 xml:space="preserve">  </w:t>
            </w:r>
            <w:r w:rsidR="009D0CF9">
              <w:rPr>
                <w:rFonts w:ascii="Arial" w:hAnsi="Arial" w:cs="Arial"/>
                <w:sz w:val="20"/>
                <w:szCs w:val="20"/>
              </w:rPr>
              <w:t>(0-10</w:t>
            </w:r>
            <w:r w:rsidRPr="00116F72">
              <w:rPr>
                <w:rFonts w:ascii="Arial" w:hAnsi="Arial" w:cs="Arial"/>
                <w:sz w:val="20"/>
                <w:szCs w:val="20"/>
              </w:rPr>
              <w:t xml:space="preserve">)        </w:t>
            </w:r>
          </w:p>
        </w:tc>
        <w:tc>
          <w:tcPr>
            <w:tcW w:w="1028" w:type="dxa"/>
            <w:tcBorders>
              <w:top w:val="dashed" w:sz="4" w:space="0" w:color="auto"/>
              <w:left w:val="single" w:sz="4" w:space="0" w:color="auto"/>
              <w:bottom w:val="dashed" w:sz="4" w:space="0" w:color="auto"/>
              <w:right w:val="single" w:sz="4" w:space="0" w:color="auto"/>
            </w:tcBorders>
          </w:tcPr>
          <w:p w14:paraId="23861A1E"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9</w:t>
            </w:r>
          </w:p>
          <w:p w14:paraId="45990218" w14:textId="0AA8D07E" w:rsidR="00116F72" w:rsidRPr="00116F72" w:rsidRDefault="00695822" w:rsidP="00695822">
            <w:pPr>
              <w:pStyle w:val="Thesisparagraph"/>
              <w:jc w:val="center"/>
              <w:rPr>
                <w:rFonts w:ascii="Arial" w:hAnsi="Arial" w:cs="Arial"/>
                <w:sz w:val="20"/>
                <w:szCs w:val="20"/>
              </w:rPr>
            </w:pPr>
            <w:r>
              <w:rPr>
                <w:rFonts w:ascii="Arial" w:hAnsi="Arial" w:cs="Arial"/>
                <w:sz w:val="20"/>
                <w:szCs w:val="20"/>
              </w:rPr>
              <w:t>(2-17)</w:t>
            </w:r>
            <w:r w:rsidR="00116F72" w:rsidRPr="00116F72">
              <w:rPr>
                <w:rFonts w:ascii="Arial" w:hAnsi="Arial" w:cs="Arial"/>
                <w:sz w:val="20"/>
                <w:szCs w:val="20"/>
              </w:rPr>
              <w:t xml:space="preserve"> </w:t>
            </w:r>
          </w:p>
        </w:tc>
        <w:tc>
          <w:tcPr>
            <w:tcW w:w="1028" w:type="dxa"/>
            <w:tcBorders>
              <w:top w:val="dashed" w:sz="4" w:space="0" w:color="auto"/>
              <w:left w:val="single" w:sz="4" w:space="0" w:color="auto"/>
              <w:bottom w:val="dashed" w:sz="4" w:space="0" w:color="auto"/>
              <w:right w:val="single" w:sz="4" w:space="0" w:color="auto"/>
            </w:tcBorders>
          </w:tcPr>
          <w:p w14:paraId="1CF51AD9"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14</w:t>
            </w:r>
          </w:p>
          <w:p w14:paraId="19F22FA2" w14:textId="04A7823E" w:rsidR="00116F72" w:rsidRPr="00116F72" w:rsidRDefault="00116F72" w:rsidP="00695822">
            <w:pPr>
              <w:pStyle w:val="Thesisparagraph"/>
              <w:jc w:val="center"/>
              <w:rPr>
                <w:rFonts w:ascii="Arial" w:hAnsi="Arial" w:cs="Arial"/>
                <w:sz w:val="20"/>
                <w:szCs w:val="20"/>
              </w:rPr>
            </w:pPr>
            <w:r w:rsidRPr="00116F72">
              <w:rPr>
                <w:rFonts w:ascii="Arial" w:hAnsi="Arial" w:cs="Arial"/>
                <w:sz w:val="20"/>
                <w:szCs w:val="20"/>
              </w:rPr>
              <w:t xml:space="preserve"> (</w:t>
            </w:r>
            <w:r w:rsidR="00695822">
              <w:rPr>
                <w:rFonts w:ascii="Arial" w:hAnsi="Arial" w:cs="Arial"/>
                <w:sz w:val="20"/>
                <w:szCs w:val="20"/>
              </w:rPr>
              <w:t>5-22)</w:t>
            </w:r>
          </w:p>
        </w:tc>
        <w:tc>
          <w:tcPr>
            <w:tcW w:w="1028" w:type="dxa"/>
            <w:tcBorders>
              <w:top w:val="dashed" w:sz="4" w:space="0" w:color="auto"/>
              <w:left w:val="single" w:sz="4" w:space="0" w:color="auto"/>
              <w:bottom w:val="dashed" w:sz="4" w:space="0" w:color="auto"/>
              <w:right w:val="single" w:sz="12" w:space="0" w:color="auto"/>
            </w:tcBorders>
          </w:tcPr>
          <w:p w14:paraId="7B1A1651" w14:textId="7AB4B064"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20</w:t>
            </w:r>
          </w:p>
          <w:p w14:paraId="32D711AB" w14:textId="475D40D7" w:rsidR="00116F72" w:rsidRPr="00116F72" w:rsidRDefault="00EC13C1" w:rsidP="003612A5">
            <w:pPr>
              <w:pStyle w:val="Thesisparagraph"/>
              <w:jc w:val="center"/>
              <w:rPr>
                <w:rFonts w:ascii="Arial" w:hAnsi="Arial" w:cs="Arial"/>
                <w:sz w:val="20"/>
                <w:szCs w:val="20"/>
              </w:rPr>
            </w:pPr>
            <w:r>
              <w:rPr>
                <w:rFonts w:ascii="Arial" w:hAnsi="Arial" w:cs="Arial"/>
                <w:sz w:val="20"/>
                <w:szCs w:val="20"/>
              </w:rPr>
              <w:t>(10-29</w:t>
            </w:r>
            <w:r w:rsidR="00116F72" w:rsidRPr="00116F72">
              <w:rPr>
                <w:rFonts w:ascii="Arial" w:hAnsi="Arial" w:cs="Arial"/>
                <w:sz w:val="20"/>
                <w:szCs w:val="20"/>
              </w:rPr>
              <w:t>)</w:t>
            </w:r>
          </w:p>
        </w:tc>
      </w:tr>
      <w:tr w:rsidR="00116F72" w:rsidRPr="00116F72" w14:paraId="20B30786" w14:textId="77777777" w:rsidTr="00C91938">
        <w:tc>
          <w:tcPr>
            <w:tcW w:w="552" w:type="dxa"/>
            <w:vMerge/>
            <w:tcBorders>
              <w:top w:val="nil"/>
              <w:left w:val="single" w:sz="12" w:space="0" w:color="auto"/>
              <w:bottom w:val="single" w:sz="12" w:space="0" w:color="auto"/>
              <w:right w:val="single" w:sz="4" w:space="0" w:color="auto"/>
            </w:tcBorders>
          </w:tcPr>
          <w:p w14:paraId="10207651"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single" w:sz="12" w:space="0" w:color="auto"/>
              <w:right w:val="single" w:sz="4" w:space="0" w:color="auto"/>
            </w:tcBorders>
          </w:tcPr>
          <w:p w14:paraId="64E615BF"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High</w:t>
            </w:r>
          </w:p>
          <w:p w14:paraId="4867C47D" w14:textId="18830A1A"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&gt;153</w:t>
            </w:r>
          </w:p>
        </w:tc>
        <w:tc>
          <w:tcPr>
            <w:tcW w:w="1134" w:type="dxa"/>
            <w:tcBorders>
              <w:top w:val="dashed" w:sz="4" w:space="0" w:color="auto"/>
              <w:left w:val="single" w:sz="4" w:space="0" w:color="auto"/>
              <w:bottom w:val="single" w:sz="12" w:space="0" w:color="auto"/>
              <w:right w:val="single" w:sz="4" w:space="0" w:color="auto"/>
            </w:tcBorders>
          </w:tcPr>
          <w:p w14:paraId="4FE9B8B0"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91</w:t>
            </w:r>
            <w:r w:rsidRPr="00116F72">
              <w:rPr>
                <w:rFonts w:ascii="Arial" w:hAnsi="Arial" w:cs="Arial"/>
                <w:sz w:val="20"/>
                <w:szCs w:val="20"/>
                <w:vertAlign w:val="superscript"/>
              </w:rPr>
              <w:t>st</w:t>
            </w:r>
            <w:r w:rsidRPr="00116F72">
              <w:rPr>
                <w:rFonts w:ascii="Arial" w:hAnsi="Arial" w:cs="Arial"/>
                <w:sz w:val="20"/>
                <w:szCs w:val="20"/>
              </w:rPr>
              <w:t>-100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single" w:sz="12" w:space="0" w:color="auto"/>
              <w:right w:val="single" w:sz="4" w:space="0" w:color="auto"/>
            </w:tcBorders>
          </w:tcPr>
          <w:p w14:paraId="6A89E4B8" w14:textId="58EADC11" w:rsidR="00116F72" w:rsidRPr="00C91938" w:rsidRDefault="00695822" w:rsidP="003612A5">
            <w:pPr>
              <w:pStyle w:val="Thesisparagraph"/>
              <w:jc w:val="center"/>
              <w:rPr>
                <w:rFonts w:ascii="Arial" w:hAnsi="Arial" w:cs="Arial"/>
                <w:b/>
                <w:sz w:val="20"/>
                <w:szCs w:val="20"/>
              </w:rPr>
            </w:pPr>
            <w:r w:rsidRPr="00C91938">
              <w:rPr>
                <w:rFonts w:ascii="Arial" w:hAnsi="Arial" w:cs="Arial"/>
                <w:b/>
                <w:sz w:val="20"/>
                <w:szCs w:val="20"/>
              </w:rPr>
              <w:t>44.3</w:t>
            </w:r>
          </w:p>
          <w:p w14:paraId="545F2A80" w14:textId="372AEC30" w:rsidR="00695822" w:rsidRPr="00116F72" w:rsidRDefault="00695822" w:rsidP="003612A5">
            <w:pPr>
              <w:pStyle w:val="Thesisparagraph"/>
              <w:jc w:val="center"/>
              <w:rPr>
                <w:rFonts w:ascii="Arial" w:hAnsi="Arial" w:cs="Arial"/>
                <w:sz w:val="20"/>
                <w:szCs w:val="20"/>
              </w:rPr>
            </w:pPr>
            <w:r>
              <w:rPr>
                <w:rFonts w:ascii="Arial" w:hAnsi="Arial" w:cs="Arial"/>
                <w:sz w:val="20"/>
                <w:szCs w:val="20"/>
              </w:rPr>
              <w:t>(</w:t>
            </w:r>
            <w:r w:rsidR="00C91938">
              <w:rPr>
                <w:rFonts w:ascii="Arial" w:hAnsi="Arial" w:cs="Arial"/>
                <w:sz w:val="20"/>
                <w:szCs w:val="20"/>
              </w:rPr>
              <w:t>15.2-128.7)</w:t>
            </w:r>
          </w:p>
        </w:tc>
        <w:tc>
          <w:tcPr>
            <w:tcW w:w="1027" w:type="dxa"/>
            <w:tcBorders>
              <w:top w:val="dashed" w:sz="4" w:space="0" w:color="auto"/>
              <w:left w:val="single" w:sz="4" w:space="0" w:color="auto"/>
              <w:bottom w:val="single" w:sz="12" w:space="0" w:color="auto"/>
              <w:right w:val="single" w:sz="4" w:space="0" w:color="auto"/>
            </w:tcBorders>
          </w:tcPr>
          <w:p w14:paraId="4A1084C5"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34</w:t>
            </w:r>
          </w:p>
          <w:p w14:paraId="61EE6649" w14:textId="5DAB29A8" w:rsidR="00116F72" w:rsidRPr="00116F72" w:rsidRDefault="00EC13C1" w:rsidP="003612A5">
            <w:pPr>
              <w:pStyle w:val="Thesisparagraph"/>
              <w:jc w:val="center"/>
              <w:rPr>
                <w:rFonts w:ascii="Arial" w:hAnsi="Arial" w:cs="Arial"/>
                <w:sz w:val="20"/>
                <w:szCs w:val="20"/>
              </w:rPr>
            </w:pPr>
            <w:r>
              <w:rPr>
                <w:rFonts w:ascii="Arial" w:hAnsi="Arial" w:cs="Arial"/>
                <w:sz w:val="20"/>
                <w:szCs w:val="20"/>
              </w:rPr>
              <w:t>(10-52)</w:t>
            </w:r>
          </w:p>
        </w:tc>
        <w:tc>
          <w:tcPr>
            <w:tcW w:w="1028" w:type="dxa"/>
            <w:tcBorders>
              <w:top w:val="dashed" w:sz="4" w:space="0" w:color="auto"/>
              <w:left w:val="single" w:sz="4" w:space="0" w:color="auto"/>
              <w:bottom w:val="single" w:sz="12" w:space="0" w:color="auto"/>
              <w:right w:val="single" w:sz="4" w:space="0" w:color="auto"/>
            </w:tcBorders>
          </w:tcPr>
          <w:p w14:paraId="519E7196" w14:textId="77777777" w:rsidR="00EC13C1" w:rsidRDefault="009D0CF9" w:rsidP="00EC13C1">
            <w:pPr>
              <w:pStyle w:val="Thesisparagraph"/>
              <w:jc w:val="center"/>
              <w:rPr>
                <w:rFonts w:ascii="Arial" w:hAnsi="Arial" w:cs="Arial"/>
                <w:sz w:val="20"/>
                <w:szCs w:val="20"/>
              </w:rPr>
            </w:pPr>
            <w:r>
              <w:rPr>
                <w:rFonts w:ascii="Arial" w:hAnsi="Arial" w:cs="Arial"/>
                <w:b/>
                <w:sz w:val="20"/>
                <w:szCs w:val="20"/>
              </w:rPr>
              <w:t>44</w:t>
            </w:r>
            <w:r w:rsidR="00116F72" w:rsidRPr="00116F72">
              <w:rPr>
                <w:rFonts w:ascii="Arial" w:hAnsi="Arial" w:cs="Arial"/>
                <w:sz w:val="20"/>
                <w:szCs w:val="20"/>
              </w:rPr>
              <w:t xml:space="preserve">  </w:t>
            </w:r>
          </w:p>
          <w:p w14:paraId="11D6ED0B" w14:textId="1A733AAB" w:rsidR="00116F72" w:rsidRPr="00116F72" w:rsidRDefault="00EC13C1" w:rsidP="00EC13C1">
            <w:pPr>
              <w:pStyle w:val="Thesisparagraph"/>
              <w:jc w:val="center"/>
              <w:rPr>
                <w:rFonts w:ascii="Arial" w:hAnsi="Arial" w:cs="Arial"/>
                <w:sz w:val="20"/>
                <w:szCs w:val="20"/>
              </w:rPr>
            </w:pPr>
            <w:r>
              <w:rPr>
                <w:rFonts w:ascii="Arial" w:hAnsi="Arial" w:cs="Arial"/>
                <w:sz w:val="20"/>
                <w:szCs w:val="20"/>
              </w:rPr>
              <w:t>(9-41)</w:t>
            </w:r>
          </w:p>
        </w:tc>
        <w:tc>
          <w:tcPr>
            <w:tcW w:w="1028" w:type="dxa"/>
            <w:tcBorders>
              <w:top w:val="dashed" w:sz="4" w:space="0" w:color="auto"/>
              <w:left w:val="single" w:sz="4" w:space="0" w:color="auto"/>
              <w:bottom w:val="single" w:sz="12" w:space="0" w:color="auto"/>
              <w:right w:val="single" w:sz="4" w:space="0" w:color="auto"/>
            </w:tcBorders>
          </w:tcPr>
          <w:p w14:paraId="6BBD77A2" w14:textId="77777777" w:rsidR="00EC13C1" w:rsidRDefault="009D0CF9" w:rsidP="00EC13C1">
            <w:pPr>
              <w:pStyle w:val="Thesisparagraph"/>
              <w:jc w:val="center"/>
              <w:rPr>
                <w:rFonts w:ascii="Arial" w:hAnsi="Arial" w:cs="Arial"/>
                <w:sz w:val="20"/>
                <w:szCs w:val="20"/>
              </w:rPr>
            </w:pPr>
            <w:r>
              <w:rPr>
                <w:rFonts w:ascii="Arial" w:hAnsi="Arial" w:cs="Arial"/>
                <w:b/>
                <w:sz w:val="20"/>
                <w:szCs w:val="20"/>
              </w:rPr>
              <w:t>61</w:t>
            </w:r>
            <w:r w:rsidR="00116F72" w:rsidRPr="00116F72">
              <w:rPr>
                <w:rFonts w:ascii="Arial" w:hAnsi="Arial" w:cs="Arial"/>
                <w:sz w:val="20"/>
                <w:szCs w:val="20"/>
              </w:rPr>
              <w:t xml:space="preserve"> </w:t>
            </w:r>
          </w:p>
          <w:p w14:paraId="7D506F65" w14:textId="0715D5F3" w:rsidR="00116F72" w:rsidRPr="00116F72" w:rsidRDefault="00116F72" w:rsidP="00EC13C1">
            <w:pPr>
              <w:pStyle w:val="Thesisparagraph"/>
              <w:jc w:val="center"/>
              <w:rPr>
                <w:rFonts w:ascii="Arial" w:hAnsi="Arial" w:cs="Arial"/>
                <w:sz w:val="20"/>
                <w:szCs w:val="20"/>
              </w:rPr>
            </w:pPr>
            <w:r w:rsidRPr="00116F72">
              <w:rPr>
                <w:rFonts w:ascii="Arial" w:hAnsi="Arial" w:cs="Arial"/>
                <w:sz w:val="20"/>
                <w:szCs w:val="20"/>
              </w:rPr>
              <w:t xml:space="preserve"> </w:t>
            </w:r>
            <w:r w:rsidR="00EC13C1">
              <w:rPr>
                <w:rFonts w:ascii="Arial" w:hAnsi="Arial" w:cs="Arial"/>
                <w:sz w:val="20"/>
                <w:szCs w:val="20"/>
              </w:rPr>
              <w:t>(39-75)</w:t>
            </w:r>
          </w:p>
        </w:tc>
        <w:tc>
          <w:tcPr>
            <w:tcW w:w="1028" w:type="dxa"/>
            <w:tcBorders>
              <w:top w:val="dashed" w:sz="4" w:space="0" w:color="auto"/>
              <w:left w:val="single" w:sz="4" w:space="0" w:color="auto"/>
              <w:bottom w:val="single" w:sz="12" w:space="0" w:color="auto"/>
              <w:right w:val="single" w:sz="12" w:space="0" w:color="auto"/>
            </w:tcBorders>
          </w:tcPr>
          <w:p w14:paraId="11CE82EF" w14:textId="6DBB8739"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73</w:t>
            </w:r>
          </w:p>
          <w:p w14:paraId="3A81CD70" w14:textId="32945936" w:rsidR="00116F72" w:rsidRPr="00116F72" w:rsidRDefault="00EC13C1" w:rsidP="003612A5">
            <w:pPr>
              <w:pStyle w:val="Thesisparagraph"/>
              <w:jc w:val="center"/>
              <w:rPr>
                <w:rFonts w:ascii="Arial" w:hAnsi="Arial" w:cs="Arial"/>
                <w:sz w:val="20"/>
                <w:szCs w:val="20"/>
              </w:rPr>
            </w:pPr>
            <w:r>
              <w:rPr>
                <w:rFonts w:ascii="Arial" w:hAnsi="Arial" w:cs="Arial"/>
                <w:sz w:val="20"/>
                <w:szCs w:val="20"/>
              </w:rPr>
              <w:t>(52-84)</w:t>
            </w:r>
          </w:p>
        </w:tc>
      </w:tr>
      <w:tr w:rsidR="00116F72" w:rsidRPr="00116F72" w14:paraId="6577D34D" w14:textId="77777777" w:rsidTr="00C91938">
        <w:tc>
          <w:tcPr>
            <w:tcW w:w="552" w:type="dxa"/>
            <w:vMerge w:val="restart"/>
            <w:tcBorders>
              <w:top w:val="single" w:sz="12" w:space="0" w:color="auto"/>
              <w:left w:val="single" w:sz="12" w:space="0" w:color="auto"/>
              <w:bottom w:val="nil"/>
              <w:right w:val="single" w:sz="4" w:space="0" w:color="auto"/>
            </w:tcBorders>
            <w:textDirection w:val="btLr"/>
          </w:tcPr>
          <w:p w14:paraId="0F345E40" w14:textId="0AE7FAAD" w:rsidR="00116F72" w:rsidRPr="00116F72" w:rsidRDefault="00116F72" w:rsidP="003612A5">
            <w:pPr>
              <w:pStyle w:val="Thesisparagraph"/>
              <w:ind w:left="113" w:right="113"/>
              <w:jc w:val="center"/>
              <w:rPr>
                <w:rFonts w:ascii="Arial" w:hAnsi="Arial" w:cs="Arial"/>
                <w:sz w:val="20"/>
                <w:szCs w:val="20"/>
              </w:rPr>
            </w:pPr>
            <w:r w:rsidRPr="00116F72">
              <w:rPr>
                <w:rFonts w:ascii="Arial" w:hAnsi="Arial" w:cs="Arial"/>
                <w:sz w:val="20"/>
                <w:szCs w:val="20"/>
              </w:rPr>
              <w:t>[adiponectin]</w:t>
            </w:r>
            <w:r w:rsidR="003612A5">
              <w:rPr>
                <w:rFonts w:ascii="Arial" w:hAnsi="Arial" w:cs="Arial"/>
                <w:sz w:val="20"/>
                <w:szCs w:val="20"/>
              </w:rPr>
              <w:t xml:space="preserve"> </w:t>
            </w:r>
            <w:r w:rsidR="003612A5" w:rsidRPr="00116F72">
              <w:rPr>
                <w:rFonts w:ascii="Arial" w:hAnsi="Arial" w:cs="Arial"/>
                <w:sz w:val="20"/>
                <w:szCs w:val="20"/>
              </w:rPr>
              <w:t>µg/ml</w:t>
            </w:r>
          </w:p>
        </w:tc>
        <w:tc>
          <w:tcPr>
            <w:tcW w:w="1134" w:type="dxa"/>
            <w:tcBorders>
              <w:top w:val="single" w:sz="12" w:space="0" w:color="auto"/>
              <w:left w:val="single" w:sz="4" w:space="0" w:color="auto"/>
              <w:bottom w:val="dashed" w:sz="4" w:space="0" w:color="auto"/>
              <w:right w:val="single" w:sz="4" w:space="0" w:color="auto"/>
            </w:tcBorders>
          </w:tcPr>
          <w:p w14:paraId="0F6B3712"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Low</w:t>
            </w:r>
          </w:p>
          <w:p w14:paraId="67106410" w14:textId="16E7B5FA"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&gt;10.1</w:t>
            </w:r>
          </w:p>
        </w:tc>
        <w:tc>
          <w:tcPr>
            <w:tcW w:w="1134" w:type="dxa"/>
            <w:tcBorders>
              <w:top w:val="single" w:sz="12" w:space="0" w:color="auto"/>
              <w:left w:val="single" w:sz="4" w:space="0" w:color="auto"/>
              <w:bottom w:val="dashed" w:sz="4" w:space="0" w:color="auto"/>
              <w:right w:val="single" w:sz="4" w:space="0" w:color="auto"/>
            </w:tcBorders>
          </w:tcPr>
          <w:p w14:paraId="7ADB9718"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31</w:t>
            </w:r>
            <w:r w:rsidRPr="00116F72">
              <w:rPr>
                <w:rFonts w:ascii="Arial" w:hAnsi="Arial" w:cs="Arial"/>
                <w:sz w:val="20"/>
                <w:szCs w:val="20"/>
                <w:vertAlign w:val="superscript"/>
              </w:rPr>
              <w:t>st</w:t>
            </w:r>
            <w:r w:rsidRPr="00116F72">
              <w:rPr>
                <w:rFonts w:ascii="Arial" w:hAnsi="Arial" w:cs="Arial"/>
                <w:sz w:val="20"/>
                <w:szCs w:val="20"/>
              </w:rPr>
              <w:t>-100</w:t>
            </w:r>
            <w:r w:rsidRPr="00116F72">
              <w:rPr>
                <w:rFonts w:ascii="Arial" w:hAnsi="Arial" w:cs="Arial"/>
                <w:sz w:val="20"/>
                <w:szCs w:val="20"/>
                <w:vertAlign w:val="superscript"/>
              </w:rPr>
              <w:t>th</w:t>
            </w:r>
          </w:p>
        </w:tc>
        <w:tc>
          <w:tcPr>
            <w:tcW w:w="1418" w:type="dxa"/>
            <w:tcBorders>
              <w:top w:val="single" w:sz="12" w:space="0" w:color="auto"/>
              <w:left w:val="single" w:sz="4" w:space="0" w:color="auto"/>
              <w:bottom w:val="dashed" w:sz="4" w:space="0" w:color="auto"/>
              <w:right w:val="single" w:sz="4" w:space="0" w:color="auto"/>
            </w:tcBorders>
          </w:tcPr>
          <w:p w14:paraId="55407964" w14:textId="1A3B1CEA" w:rsidR="00116F72" w:rsidRPr="00116F72" w:rsidRDefault="00260C2B" w:rsidP="003612A5">
            <w:pPr>
              <w:pStyle w:val="Thesisparagraph"/>
              <w:jc w:val="center"/>
              <w:rPr>
                <w:rFonts w:ascii="Arial" w:hAnsi="Arial" w:cs="Arial"/>
                <w:sz w:val="20"/>
                <w:szCs w:val="20"/>
              </w:rPr>
            </w:pPr>
            <w:r>
              <w:rPr>
                <w:rFonts w:ascii="Arial" w:hAnsi="Arial" w:cs="Arial"/>
                <w:sz w:val="20"/>
                <w:szCs w:val="20"/>
              </w:rPr>
              <w:t>Ref</w:t>
            </w:r>
          </w:p>
        </w:tc>
        <w:tc>
          <w:tcPr>
            <w:tcW w:w="1027" w:type="dxa"/>
            <w:tcBorders>
              <w:top w:val="single" w:sz="12" w:space="0" w:color="auto"/>
              <w:left w:val="single" w:sz="4" w:space="0" w:color="auto"/>
              <w:bottom w:val="dashed" w:sz="4" w:space="0" w:color="auto"/>
              <w:right w:val="single" w:sz="4" w:space="0" w:color="auto"/>
            </w:tcBorders>
          </w:tcPr>
          <w:p w14:paraId="1FE54EB4"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2</w:t>
            </w:r>
          </w:p>
          <w:p w14:paraId="257DCCF8" w14:textId="00C259EB" w:rsidR="00116F72" w:rsidRPr="00116F72" w:rsidRDefault="00EC13C1" w:rsidP="003612A5">
            <w:pPr>
              <w:pStyle w:val="Thesisparagraph"/>
              <w:jc w:val="center"/>
              <w:rPr>
                <w:rFonts w:ascii="Arial" w:hAnsi="Arial" w:cs="Arial"/>
                <w:sz w:val="20"/>
                <w:szCs w:val="20"/>
              </w:rPr>
            </w:pPr>
            <w:r>
              <w:rPr>
                <w:rFonts w:ascii="Arial" w:hAnsi="Arial" w:cs="Arial"/>
                <w:sz w:val="20"/>
                <w:szCs w:val="20"/>
              </w:rPr>
              <w:t>(0-4)</w:t>
            </w:r>
            <w:r w:rsidR="00116F72" w:rsidRPr="00116F72">
              <w:rPr>
                <w:rFonts w:ascii="Arial" w:hAnsi="Arial" w:cs="Arial"/>
                <w:sz w:val="20"/>
                <w:szCs w:val="20"/>
              </w:rPr>
              <w:t xml:space="preserve">        </w:t>
            </w:r>
          </w:p>
        </w:tc>
        <w:tc>
          <w:tcPr>
            <w:tcW w:w="1028" w:type="dxa"/>
            <w:tcBorders>
              <w:top w:val="single" w:sz="12" w:space="0" w:color="auto"/>
              <w:left w:val="single" w:sz="4" w:space="0" w:color="auto"/>
              <w:bottom w:val="dashed" w:sz="4" w:space="0" w:color="auto"/>
              <w:right w:val="single" w:sz="4" w:space="0" w:color="auto"/>
            </w:tcBorders>
          </w:tcPr>
          <w:p w14:paraId="662CFF30" w14:textId="5C8B5D3E"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3</w:t>
            </w:r>
          </w:p>
          <w:p w14:paraId="6746BE02" w14:textId="544156AF" w:rsidR="00116F72" w:rsidRPr="00116F72" w:rsidRDefault="00EC13C1" w:rsidP="003612A5">
            <w:pPr>
              <w:pStyle w:val="Thesisparagraph"/>
              <w:jc w:val="center"/>
              <w:rPr>
                <w:rFonts w:ascii="Arial" w:hAnsi="Arial" w:cs="Arial"/>
                <w:sz w:val="20"/>
                <w:szCs w:val="20"/>
              </w:rPr>
            </w:pPr>
            <w:r>
              <w:rPr>
                <w:rFonts w:ascii="Arial" w:hAnsi="Arial" w:cs="Arial"/>
                <w:sz w:val="20"/>
                <w:szCs w:val="20"/>
              </w:rPr>
              <w:t>(0-6)</w:t>
            </w:r>
            <w:r w:rsidR="00116F72" w:rsidRPr="00116F72">
              <w:rPr>
                <w:rFonts w:ascii="Arial" w:hAnsi="Arial" w:cs="Arial"/>
                <w:sz w:val="20"/>
                <w:szCs w:val="20"/>
              </w:rPr>
              <w:t xml:space="preserve">        </w:t>
            </w:r>
          </w:p>
        </w:tc>
        <w:tc>
          <w:tcPr>
            <w:tcW w:w="1028" w:type="dxa"/>
            <w:tcBorders>
              <w:top w:val="single" w:sz="12" w:space="0" w:color="auto"/>
              <w:left w:val="single" w:sz="4" w:space="0" w:color="auto"/>
              <w:bottom w:val="dashed" w:sz="4" w:space="0" w:color="auto"/>
              <w:right w:val="single" w:sz="4" w:space="0" w:color="auto"/>
            </w:tcBorders>
          </w:tcPr>
          <w:p w14:paraId="6A43768A"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5</w:t>
            </w:r>
          </w:p>
          <w:p w14:paraId="1FF4504F" w14:textId="3F3C48B6" w:rsidR="00116F72" w:rsidRPr="00116F72" w:rsidRDefault="00EC13C1" w:rsidP="003612A5">
            <w:pPr>
              <w:pStyle w:val="Thesisparagraph"/>
              <w:jc w:val="center"/>
              <w:rPr>
                <w:rFonts w:ascii="Arial" w:hAnsi="Arial" w:cs="Arial"/>
                <w:sz w:val="20"/>
                <w:szCs w:val="20"/>
              </w:rPr>
            </w:pPr>
            <w:r>
              <w:rPr>
                <w:rFonts w:ascii="Arial" w:hAnsi="Arial" w:cs="Arial"/>
                <w:sz w:val="20"/>
                <w:szCs w:val="20"/>
              </w:rPr>
              <w:t>(2-9)</w:t>
            </w:r>
            <w:r w:rsidR="00116F72" w:rsidRPr="00116F72">
              <w:rPr>
                <w:rFonts w:ascii="Arial" w:hAnsi="Arial" w:cs="Arial"/>
                <w:sz w:val="20"/>
                <w:szCs w:val="20"/>
              </w:rPr>
              <w:t xml:space="preserve">       </w:t>
            </w:r>
          </w:p>
        </w:tc>
        <w:tc>
          <w:tcPr>
            <w:tcW w:w="1028" w:type="dxa"/>
            <w:tcBorders>
              <w:top w:val="single" w:sz="12" w:space="0" w:color="auto"/>
              <w:left w:val="single" w:sz="4" w:space="0" w:color="auto"/>
              <w:bottom w:val="dashed" w:sz="4" w:space="0" w:color="auto"/>
              <w:right w:val="single" w:sz="12" w:space="0" w:color="auto"/>
            </w:tcBorders>
          </w:tcPr>
          <w:p w14:paraId="7AB9AAA8" w14:textId="4A95219B"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7</w:t>
            </w:r>
          </w:p>
          <w:p w14:paraId="3FD4E591" w14:textId="44066A7B" w:rsidR="00116F72" w:rsidRPr="00116F72" w:rsidRDefault="00EC13C1" w:rsidP="003612A5">
            <w:pPr>
              <w:pStyle w:val="Thesisparagraph"/>
              <w:jc w:val="center"/>
              <w:rPr>
                <w:rFonts w:ascii="Arial" w:hAnsi="Arial" w:cs="Arial"/>
                <w:sz w:val="20"/>
                <w:szCs w:val="20"/>
              </w:rPr>
            </w:pPr>
            <w:r>
              <w:rPr>
                <w:rFonts w:ascii="Arial" w:hAnsi="Arial" w:cs="Arial"/>
                <w:sz w:val="20"/>
                <w:szCs w:val="20"/>
              </w:rPr>
              <w:t>(3-10)</w:t>
            </w:r>
          </w:p>
        </w:tc>
      </w:tr>
      <w:tr w:rsidR="00116F72" w:rsidRPr="00116F72" w14:paraId="7A8A730D" w14:textId="77777777" w:rsidTr="00C91938">
        <w:tc>
          <w:tcPr>
            <w:tcW w:w="552" w:type="dxa"/>
            <w:vMerge/>
            <w:tcBorders>
              <w:top w:val="nil"/>
              <w:left w:val="single" w:sz="12" w:space="0" w:color="auto"/>
              <w:bottom w:val="nil"/>
              <w:right w:val="single" w:sz="4" w:space="0" w:color="auto"/>
            </w:tcBorders>
          </w:tcPr>
          <w:p w14:paraId="40F212D4"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dashed" w:sz="4" w:space="0" w:color="auto"/>
              <w:right w:val="single" w:sz="4" w:space="0" w:color="auto"/>
            </w:tcBorders>
          </w:tcPr>
          <w:p w14:paraId="5DE712C5"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Medium</w:t>
            </w:r>
          </w:p>
          <w:p w14:paraId="21C93166" w14:textId="63F8D1A2"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4.3-10.1</w:t>
            </w:r>
          </w:p>
        </w:tc>
        <w:tc>
          <w:tcPr>
            <w:tcW w:w="1134" w:type="dxa"/>
            <w:tcBorders>
              <w:top w:val="dashed" w:sz="4" w:space="0" w:color="auto"/>
              <w:left w:val="single" w:sz="4" w:space="0" w:color="auto"/>
              <w:bottom w:val="dashed" w:sz="4" w:space="0" w:color="auto"/>
              <w:right w:val="single" w:sz="4" w:space="0" w:color="auto"/>
            </w:tcBorders>
          </w:tcPr>
          <w:p w14:paraId="3E78DC7D"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11</w:t>
            </w:r>
            <w:r w:rsidRPr="00116F72">
              <w:rPr>
                <w:rFonts w:ascii="Arial" w:hAnsi="Arial" w:cs="Arial"/>
                <w:sz w:val="20"/>
                <w:szCs w:val="20"/>
                <w:vertAlign w:val="superscript"/>
              </w:rPr>
              <w:t>th</w:t>
            </w:r>
            <w:r w:rsidRPr="00116F72">
              <w:rPr>
                <w:rFonts w:ascii="Arial" w:hAnsi="Arial" w:cs="Arial"/>
                <w:sz w:val="20"/>
                <w:szCs w:val="20"/>
              </w:rPr>
              <w:t>-30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dashed" w:sz="4" w:space="0" w:color="auto"/>
              <w:right w:val="single" w:sz="4" w:space="0" w:color="auto"/>
            </w:tcBorders>
          </w:tcPr>
          <w:p w14:paraId="5822C475" w14:textId="2447AB28" w:rsidR="00116F72" w:rsidRPr="00C91938" w:rsidRDefault="00260C2B" w:rsidP="003612A5">
            <w:pPr>
              <w:pStyle w:val="Thesisparagraph"/>
              <w:jc w:val="center"/>
              <w:rPr>
                <w:rFonts w:ascii="Arial" w:hAnsi="Arial" w:cs="Arial"/>
                <w:b/>
                <w:sz w:val="20"/>
                <w:szCs w:val="20"/>
              </w:rPr>
            </w:pPr>
            <w:r w:rsidRPr="00C91938">
              <w:rPr>
                <w:rFonts w:ascii="Arial" w:hAnsi="Arial" w:cs="Arial"/>
                <w:b/>
                <w:sz w:val="20"/>
                <w:szCs w:val="20"/>
              </w:rPr>
              <w:t>5</w:t>
            </w:r>
          </w:p>
          <w:p w14:paraId="3DAF775C" w14:textId="51341B9A" w:rsidR="00260C2B" w:rsidRPr="00116F72" w:rsidRDefault="00260C2B" w:rsidP="003612A5">
            <w:pPr>
              <w:pStyle w:val="Thesisparagraph"/>
              <w:jc w:val="center"/>
              <w:rPr>
                <w:rFonts w:ascii="Arial" w:hAnsi="Arial" w:cs="Arial"/>
                <w:sz w:val="20"/>
                <w:szCs w:val="20"/>
              </w:rPr>
            </w:pPr>
            <w:r>
              <w:rPr>
                <w:rFonts w:ascii="Arial" w:hAnsi="Arial" w:cs="Arial"/>
                <w:sz w:val="20"/>
                <w:szCs w:val="20"/>
              </w:rPr>
              <w:t>(2.3-11)</w:t>
            </w:r>
          </w:p>
        </w:tc>
        <w:tc>
          <w:tcPr>
            <w:tcW w:w="1027" w:type="dxa"/>
            <w:tcBorders>
              <w:top w:val="dashed" w:sz="4" w:space="0" w:color="auto"/>
              <w:left w:val="single" w:sz="4" w:space="0" w:color="auto"/>
              <w:bottom w:val="dashed" w:sz="4" w:space="0" w:color="auto"/>
              <w:right w:val="single" w:sz="4" w:space="0" w:color="auto"/>
            </w:tcBorders>
          </w:tcPr>
          <w:p w14:paraId="578D6469"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2</w:t>
            </w:r>
          </w:p>
          <w:p w14:paraId="0F82D6FF" w14:textId="2DE6F490" w:rsidR="00116F72" w:rsidRPr="00116F72" w:rsidRDefault="003612A5" w:rsidP="003612A5">
            <w:pPr>
              <w:pStyle w:val="Thesisparagraph"/>
              <w:jc w:val="center"/>
              <w:rPr>
                <w:rFonts w:ascii="Arial" w:hAnsi="Arial" w:cs="Arial"/>
                <w:sz w:val="20"/>
                <w:szCs w:val="20"/>
              </w:rPr>
            </w:pPr>
            <w:r>
              <w:rPr>
                <w:rFonts w:ascii="Arial" w:hAnsi="Arial" w:cs="Arial"/>
                <w:sz w:val="20"/>
                <w:szCs w:val="20"/>
              </w:rPr>
              <w:t>(0-6)</w:t>
            </w:r>
          </w:p>
        </w:tc>
        <w:tc>
          <w:tcPr>
            <w:tcW w:w="1028" w:type="dxa"/>
            <w:tcBorders>
              <w:top w:val="dashed" w:sz="4" w:space="0" w:color="auto"/>
              <w:left w:val="single" w:sz="4" w:space="0" w:color="auto"/>
              <w:bottom w:val="dashed" w:sz="4" w:space="0" w:color="auto"/>
              <w:right w:val="single" w:sz="4" w:space="0" w:color="auto"/>
            </w:tcBorders>
          </w:tcPr>
          <w:p w14:paraId="6E2939CF"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6</w:t>
            </w:r>
          </w:p>
          <w:p w14:paraId="297EAE8F" w14:textId="1C91BF13" w:rsidR="00116F72" w:rsidRPr="00116F72" w:rsidRDefault="003612A5" w:rsidP="003612A5">
            <w:pPr>
              <w:pStyle w:val="Thesisparagraph"/>
              <w:jc w:val="center"/>
              <w:rPr>
                <w:rFonts w:ascii="Arial" w:hAnsi="Arial" w:cs="Arial"/>
                <w:sz w:val="20"/>
                <w:szCs w:val="20"/>
              </w:rPr>
            </w:pPr>
            <w:r>
              <w:rPr>
                <w:rFonts w:ascii="Arial" w:hAnsi="Arial" w:cs="Arial"/>
                <w:sz w:val="20"/>
                <w:szCs w:val="20"/>
              </w:rPr>
              <w:t>(0-12)</w:t>
            </w:r>
          </w:p>
        </w:tc>
        <w:tc>
          <w:tcPr>
            <w:tcW w:w="1028" w:type="dxa"/>
            <w:tcBorders>
              <w:top w:val="dashed" w:sz="4" w:space="0" w:color="auto"/>
              <w:left w:val="single" w:sz="4" w:space="0" w:color="auto"/>
              <w:bottom w:val="dashed" w:sz="4" w:space="0" w:color="auto"/>
              <w:right w:val="single" w:sz="4" w:space="0" w:color="auto"/>
            </w:tcBorders>
          </w:tcPr>
          <w:p w14:paraId="105EEB98"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16</w:t>
            </w:r>
          </w:p>
          <w:p w14:paraId="7BFB6715" w14:textId="7DF7225F" w:rsidR="00116F72" w:rsidRPr="00116F72" w:rsidRDefault="00EC13C1" w:rsidP="003612A5">
            <w:pPr>
              <w:pStyle w:val="Thesisparagraph"/>
              <w:jc w:val="center"/>
              <w:rPr>
                <w:rFonts w:ascii="Arial" w:hAnsi="Arial" w:cs="Arial"/>
                <w:sz w:val="20"/>
                <w:szCs w:val="20"/>
              </w:rPr>
            </w:pPr>
            <w:r>
              <w:rPr>
                <w:rFonts w:ascii="Arial" w:hAnsi="Arial" w:cs="Arial"/>
                <w:sz w:val="20"/>
                <w:szCs w:val="20"/>
              </w:rPr>
              <w:t>(5-26)</w:t>
            </w:r>
          </w:p>
        </w:tc>
        <w:tc>
          <w:tcPr>
            <w:tcW w:w="1028" w:type="dxa"/>
            <w:tcBorders>
              <w:top w:val="dashed" w:sz="4" w:space="0" w:color="auto"/>
              <w:left w:val="single" w:sz="4" w:space="0" w:color="auto"/>
              <w:bottom w:val="dashed" w:sz="4" w:space="0" w:color="auto"/>
              <w:right w:val="single" w:sz="12" w:space="0" w:color="auto"/>
            </w:tcBorders>
          </w:tcPr>
          <w:p w14:paraId="76AE873D" w14:textId="318C9DD2"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30</w:t>
            </w:r>
          </w:p>
          <w:p w14:paraId="20871DAE" w14:textId="73E982A9" w:rsidR="00116F72" w:rsidRPr="00116F72" w:rsidRDefault="00EC13C1" w:rsidP="003612A5">
            <w:pPr>
              <w:pStyle w:val="Thesisparagraph"/>
              <w:jc w:val="center"/>
              <w:rPr>
                <w:rFonts w:ascii="Arial" w:hAnsi="Arial" w:cs="Arial"/>
                <w:sz w:val="20"/>
                <w:szCs w:val="20"/>
              </w:rPr>
            </w:pPr>
            <w:r>
              <w:rPr>
                <w:rFonts w:ascii="Arial" w:hAnsi="Arial" w:cs="Arial"/>
                <w:sz w:val="20"/>
                <w:szCs w:val="20"/>
              </w:rPr>
              <w:t>(16-42)</w:t>
            </w:r>
          </w:p>
        </w:tc>
      </w:tr>
      <w:tr w:rsidR="00116F72" w:rsidRPr="00116F72" w14:paraId="00E7F086" w14:textId="77777777" w:rsidTr="00C91938">
        <w:tc>
          <w:tcPr>
            <w:tcW w:w="552" w:type="dxa"/>
            <w:vMerge/>
            <w:tcBorders>
              <w:top w:val="nil"/>
              <w:left w:val="single" w:sz="12" w:space="0" w:color="auto"/>
              <w:bottom w:val="single" w:sz="12" w:space="0" w:color="auto"/>
              <w:right w:val="single" w:sz="4" w:space="0" w:color="auto"/>
            </w:tcBorders>
          </w:tcPr>
          <w:p w14:paraId="2C6CA792" w14:textId="77777777" w:rsidR="00116F72" w:rsidRPr="00116F72" w:rsidRDefault="00116F72" w:rsidP="003612A5">
            <w:pPr>
              <w:pStyle w:val="Thesisparagraph"/>
              <w:jc w:val="center"/>
              <w:rPr>
                <w:rFonts w:ascii="Arial" w:hAnsi="Arial" w:cs="Arial"/>
                <w:sz w:val="20"/>
                <w:szCs w:val="20"/>
              </w:rPr>
            </w:pPr>
          </w:p>
        </w:tc>
        <w:tc>
          <w:tcPr>
            <w:tcW w:w="1134" w:type="dxa"/>
            <w:tcBorders>
              <w:top w:val="dashed" w:sz="4" w:space="0" w:color="auto"/>
              <w:left w:val="single" w:sz="4" w:space="0" w:color="auto"/>
              <w:bottom w:val="single" w:sz="12" w:space="0" w:color="auto"/>
              <w:right w:val="single" w:sz="4" w:space="0" w:color="auto"/>
            </w:tcBorders>
          </w:tcPr>
          <w:p w14:paraId="3058D11A" w14:textId="77777777" w:rsidR="00116F72" w:rsidRDefault="00116F72" w:rsidP="003612A5">
            <w:pPr>
              <w:pStyle w:val="Thesisparagraph"/>
              <w:jc w:val="center"/>
              <w:rPr>
                <w:rFonts w:ascii="Arial" w:hAnsi="Arial" w:cs="Arial"/>
                <w:sz w:val="20"/>
                <w:szCs w:val="20"/>
              </w:rPr>
            </w:pPr>
            <w:r w:rsidRPr="00116F72">
              <w:rPr>
                <w:rFonts w:ascii="Arial" w:hAnsi="Arial" w:cs="Arial"/>
                <w:sz w:val="20"/>
                <w:szCs w:val="20"/>
              </w:rPr>
              <w:t>High</w:t>
            </w:r>
          </w:p>
          <w:p w14:paraId="5F654A9A" w14:textId="664D3607" w:rsidR="009D0CF9" w:rsidRPr="00116F72" w:rsidRDefault="009D0CF9" w:rsidP="003612A5">
            <w:pPr>
              <w:pStyle w:val="Thesisparagraph"/>
              <w:jc w:val="center"/>
              <w:rPr>
                <w:rFonts w:ascii="Arial" w:hAnsi="Arial" w:cs="Arial"/>
                <w:sz w:val="20"/>
                <w:szCs w:val="20"/>
              </w:rPr>
            </w:pPr>
            <w:r w:rsidRPr="00116F72">
              <w:rPr>
                <w:rFonts w:ascii="Arial" w:hAnsi="Arial" w:cs="Arial"/>
                <w:sz w:val="20"/>
                <w:szCs w:val="20"/>
              </w:rPr>
              <w:t>&lt;4.2</w:t>
            </w:r>
          </w:p>
        </w:tc>
        <w:tc>
          <w:tcPr>
            <w:tcW w:w="1134" w:type="dxa"/>
            <w:tcBorders>
              <w:top w:val="dashed" w:sz="4" w:space="0" w:color="auto"/>
              <w:left w:val="single" w:sz="4" w:space="0" w:color="auto"/>
              <w:bottom w:val="single" w:sz="12" w:space="0" w:color="auto"/>
              <w:right w:val="single" w:sz="4" w:space="0" w:color="auto"/>
            </w:tcBorders>
          </w:tcPr>
          <w:p w14:paraId="4BEBE97C" w14:textId="77777777"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0-10</w:t>
            </w:r>
            <w:r w:rsidRPr="00116F72">
              <w:rPr>
                <w:rFonts w:ascii="Arial" w:hAnsi="Arial" w:cs="Arial"/>
                <w:sz w:val="20"/>
                <w:szCs w:val="20"/>
                <w:vertAlign w:val="superscript"/>
              </w:rPr>
              <w:t>th</w:t>
            </w:r>
          </w:p>
        </w:tc>
        <w:tc>
          <w:tcPr>
            <w:tcW w:w="1418" w:type="dxa"/>
            <w:tcBorders>
              <w:top w:val="dashed" w:sz="4" w:space="0" w:color="auto"/>
              <w:left w:val="single" w:sz="4" w:space="0" w:color="auto"/>
              <w:bottom w:val="single" w:sz="12" w:space="0" w:color="auto"/>
              <w:right w:val="single" w:sz="4" w:space="0" w:color="auto"/>
            </w:tcBorders>
          </w:tcPr>
          <w:p w14:paraId="2E7CF751" w14:textId="0801E653" w:rsidR="00116F72" w:rsidRPr="00C91938" w:rsidRDefault="00260C2B" w:rsidP="003612A5">
            <w:pPr>
              <w:pStyle w:val="Thesisparagraph"/>
              <w:jc w:val="center"/>
              <w:rPr>
                <w:rFonts w:ascii="Arial" w:hAnsi="Arial" w:cs="Arial"/>
                <w:b/>
                <w:sz w:val="20"/>
                <w:szCs w:val="20"/>
              </w:rPr>
            </w:pPr>
            <w:r w:rsidRPr="00C91938">
              <w:rPr>
                <w:rFonts w:ascii="Arial" w:hAnsi="Arial" w:cs="Arial"/>
                <w:b/>
                <w:sz w:val="20"/>
                <w:szCs w:val="20"/>
              </w:rPr>
              <w:t xml:space="preserve">12.1 </w:t>
            </w:r>
          </w:p>
          <w:p w14:paraId="34691755" w14:textId="2797C381" w:rsidR="00260C2B" w:rsidRPr="00116F72" w:rsidRDefault="00260C2B" w:rsidP="003612A5">
            <w:pPr>
              <w:pStyle w:val="Thesisparagraph"/>
              <w:jc w:val="center"/>
              <w:rPr>
                <w:rFonts w:ascii="Arial" w:hAnsi="Arial" w:cs="Arial"/>
                <w:sz w:val="20"/>
                <w:szCs w:val="20"/>
              </w:rPr>
            </w:pPr>
            <w:r>
              <w:rPr>
                <w:rFonts w:ascii="Arial" w:hAnsi="Arial" w:cs="Arial"/>
                <w:sz w:val="20"/>
                <w:szCs w:val="20"/>
              </w:rPr>
              <w:t>(5.6-25.9)</w:t>
            </w:r>
          </w:p>
        </w:tc>
        <w:tc>
          <w:tcPr>
            <w:tcW w:w="1027" w:type="dxa"/>
            <w:tcBorders>
              <w:top w:val="dashed" w:sz="4" w:space="0" w:color="auto"/>
              <w:left w:val="single" w:sz="4" w:space="0" w:color="auto"/>
              <w:bottom w:val="single" w:sz="12" w:space="0" w:color="auto"/>
              <w:right w:val="single" w:sz="4" w:space="0" w:color="auto"/>
            </w:tcBorders>
          </w:tcPr>
          <w:p w14:paraId="41C95EDD" w14:textId="77777777" w:rsidR="003612A5" w:rsidRDefault="009D0CF9" w:rsidP="003612A5">
            <w:pPr>
              <w:pStyle w:val="Thesisparagraph"/>
              <w:jc w:val="center"/>
              <w:rPr>
                <w:rFonts w:ascii="Arial" w:hAnsi="Arial" w:cs="Arial"/>
                <w:sz w:val="20"/>
                <w:szCs w:val="20"/>
              </w:rPr>
            </w:pPr>
            <w:r>
              <w:rPr>
                <w:rFonts w:ascii="Arial" w:hAnsi="Arial" w:cs="Arial"/>
                <w:b/>
                <w:sz w:val="20"/>
                <w:szCs w:val="20"/>
              </w:rPr>
              <w:t>19</w:t>
            </w:r>
            <w:r w:rsidR="00116F72" w:rsidRPr="00116F72">
              <w:rPr>
                <w:rFonts w:ascii="Arial" w:hAnsi="Arial" w:cs="Arial"/>
                <w:sz w:val="20"/>
                <w:szCs w:val="20"/>
              </w:rPr>
              <w:t xml:space="preserve">  </w:t>
            </w:r>
          </w:p>
          <w:p w14:paraId="3EB0F730" w14:textId="33398C55" w:rsidR="00116F72" w:rsidRPr="00116F72" w:rsidRDefault="003612A5" w:rsidP="003612A5">
            <w:pPr>
              <w:pStyle w:val="Thesisparagraph"/>
              <w:jc w:val="center"/>
              <w:rPr>
                <w:rFonts w:ascii="Arial" w:hAnsi="Arial" w:cs="Arial"/>
                <w:sz w:val="20"/>
                <w:szCs w:val="20"/>
              </w:rPr>
            </w:pPr>
            <w:r>
              <w:rPr>
                <w:rFonts w:ascii="Arial" w:hAnsi="Arial" w:cs="Arial"/>
                <w:sz w:val="20"/>
                <w:szCs w:val="20"/>
              </w:rPr>
              <w:t>(3-33)</w:t>
            </w:r>
          </w:p>
        </w:tc>
        <w:tc>
          <w:tcPr>
            <w:tcW w:w="1028" w:type="dxa"/>
            <w:tcBorders>
              <w:top w:val="dashed" w:sz="4" w:space="0" w:color="auto"/>
              <w:left w:val="single" w:sz="4" w:space="0" w:color="auto"/>
              <w:bottom w:val="single" w:sz="12" w:space="0" w:color="auto"/>
              <w:right w:val="single" w:sz="4" w:space="0" w:color="auto"/>
            </w:tcBorders>
          </w:tcPr>
          <w:p w14:paraId="7F6BB93D" w14:textId="77777777" w:rsidR="009D0CF9" w:rsidRDefault="009D0CF9" w:rsidP="003612A5">
            <w:pPr>
              <w:pStyle w:val="Thesisparagraph"/>
              <w:jc w:val="center"/>
              <w:rPr>
                <w:rFonts w:ascii="Arial" w:hAnsi="Arial" w:cs="Arial"/>
                <w:b/>
                <w:sz w:val="20"/>
                <w:szCs w:val="20"/>
              </w:rPr>
            </w:pPr>
            <w:r>
              <w:rPr>
                <w:rFonts w:ascii="Arial" w:hAnsi="Arial" w:cs="Arial"/>
                <w:b/>
                <w:sz w:val="20"/>
                <w:szCs w:val="20"/>
              </w:rPr>
              <w:t>27</w:t>
            </w:r>
          </w:p>
          <w:p w14:paraId="2607C814" w14:textId="419CB89F" w:rsidR="00116F72" w:rsidRPr="00116F72" w:rsidRDefault="003612A5" w:rsidP="003612A5">
            <w:pPr>
              <w:pStyle w:val="Thesisparagraph"/>
              <w:jc w:val="center"/>
              <w:rPr>
                <w:rFonts w:ascii="Arial" w:hAnsi="Arial" w:cs="Arial"/>
                <w:sz w:val="20"/>
                <w:szCs w:val="20"/>
              </w:rPr>
            </w:pPr>
            <w:r>
              <w:rPr>
                <w:rFonts w:ascii="Arial" w:hAnsi="Arial" w:cs="Arial"/>
                <w:sz w:val="20"/>
                <w:szCs w:val="20"/>
              </w:rPr>
              <w:t>(9-42)</w:t>
            </w:r>
          </w:p>
        </w:tc>
        <w:tc>
          <w:tcPr>
            <w:tcW w:w="1028" w:type="dxa"/>
            <w:tcBorders>
              <w:top w:val="dashed" w:sz="4" w:space="0" w:color="auto"/>
              <w:left w:val="single" w:sz="4" w:space="0" w:color="auto"/>
              <w:bottom w:val="single" w:sz="12" w:space="0" w:color="auto"/>
              <w:right w:val="single" w:sz="4" w:space="0" w:color="auto"/>
            </w:tcBorders>
          </w:tcPr>
          <w:p w14:paraId="3C1CAAE2" w14:textId="77777777" w:rsidR="003612A5" w:rsidRDefault="009D0CF9" w:rsidP="003612A5">
            <w:pPr>
              <w:pStyle w:val="Thesisparagraph"/>
              <w:jc w:val="center"/>
              <w:rPr>
                <w:rFonts w:ascii="Arial" w:hAnsi="Arial" w:cs="Arial"/>
                <w:sz w:val="20"/>
                <w:szCs w:val="20"/>
              </w:rPr>
            </w:pPr>
            <w:r>
              <w:rPr>
                <w:rFonts w:ascii="Arial" w:hAnsi="Arial" w:cs="Arial"/>
                <w:b/>
                <w:sz w:val="20"/>
                <w:szCs w:val="20"/>
              </w:rPr>
              <w:t>51</w:t>
            </w:r>
            <w:r w:rsidR="00116F72" w:rsidRPr="00116F72">
              <w:rPr>
                <w:rFonts w:ascii="Arial" w:hAnsi="Arial" w:cs="Arial"/>
                <w:sz w:val="20"/>
                <w:szCs w:val="20"/>
              </w:rPr>
              <w:t xml:space="preserve">  </w:t>
            </w:r>
          </w:p>
          <w:p w14:paraId="1393605D" w14:textId="1CC7E804" w:rsidR="00116F72" w:rsidRPr="00116F72" w:rsidRDefault="003612A5" w:rsidP="003612A5">
            <w:pPr>
              <w:pStyle w:val="Thesisparagraph"/>
              <w:jc w:val="center"/>
              <w:rPr>
                <w:rFonts w:ascii="Arial" w:hAnsi="Arial" w:cs="Arial"/>
                <w:sz w:val="20"/>
                <w:szCs w:val="20"/>
              </w:rPr>
            </w:pPr>
            <w:r>
              <w:rPr>
                <w:rFonts w:ascii="Arial" w:hAnsi="Arial" w:cs="Arial"/>
                <w:sz w:val="20"/>
                <w:szCs w:val="20"/>
              </w:rPr>
              <w:t>(29-67)</w:t>
            </w:r>
          </w:p>
        </w:tc>
        <w:tc>
          <w:tcPr>
            <w:tcW w:w="1028" w:type="dxa"/>
            <w:tcBorders>
              <w:top w:val="dashed" w:sz="4" w:space="0" w:color="auto"/>
              <w:left w:val="single" w:sz="4" w:space="0" w:color="auto"/>
              <w:bottom w:val="single" w:sz="12" w:space="0" w:color="auto"/>
              <w:right w:val="single" w:sz="12" w:space="0" w:color="auto"/>
            </w:tcBorders>
          </w:tcPr>
          <w:p w14:paraId="17E49300" w14:textId="6E369C7C" w:rsidR="00116F72" w:rsidRPr="00116F72" w:rsidRDefault="009D0CF9" w:rsidP="003612A5">
            <w:pPr>
              <w:pStyle w:val="Thesisparagraph"/>
              <w:jc w:val="center"/>
              <w:rPr>
                <w:rFonts w:ascii="Arial" w:hAnsi="Arial" w:cs="Arial"/>
                <w:b/>
                <w:sz w:val="20"/>
                <w:szCs w:val="20"/>
              </w:rPr>
            </w:pPr>
            <w:r>
              <w:rPr>
                <w:rFonts w:ascii="Arial" w:hAnsi="Arial" w:cs="Arial"/>
                <w:b/>
                <w:sz w:val="20"/>
                <w:szCs w:val="20"/>
              </w:rPr>
              <w:t>57</w:t>
            </w:r>
          </w:p>
          <w:p w14:paraId="36E817DB" w14:textId="52D87C2C" w:rsidR="00116F72" w:rsidRPr="00116F72" w:rsidRDefault="00116F72" w:rsidP="003612A5">
            <w:pPr>
              <w:pStyle w:val="Thesisparagraph"/>
              <w:jc w:val="center"/>
              <w:rPr>
                <w:rFonts w:ascii="Arial" w:hAnsi="Arial" w:cs="Arial"/>
                <w:sz w:val="20"/>
                <w:szCs w:val="20"/>
              </w:rPr>
            </w:pPr>
            <w:r w:rsidRPr="00116F72">
              <w:rPr>
                <w:rFonts w:ascii="Arial" w:hAnsi="Arial" w:cs="Arial"/>
                <w:sz w:val="20"/>
                <w:szCs w:val="20"/>
              </w:rPr>
              <w:t>(</w:t>
            </w:r>
            <w:r w:rsidR="003612A5">
              <w:rPr>
                <w:rFonts w:ascii="Arial" w:hAnsi="Arial" w:cs="Arial"/>
                <w:sz w:val="20"/>
                <w:szCs w:val="20"/>
              </w:rPr>
              <w:t>35-72)</w:t>
            </w:r>
          </w:p>
        </w:tc>
      </w:tr>
    </w:tbl>
    <w:p w14:paraId="4ADBE410" w14:textId="14C960BC" w:rsidR="0097679B" w:rsidRDefault="0097679B">
      <w:pPr>
        <w:rPr>
          <w:rFonts w:ascii="Arial" w:hAnsi="Arial" w:cs="Arial"/>
          <w:i/>
          <w:sz w:val="20"/>
          <w:szCs w:val="20"/>
        </w:rPr>
      </w:pPr>
      <w:r>
        <w:rPr>
          <w:rFonts w:ascii="Arial" w:hAnsi="Arial" w:cs="Arial"/>
          <w:i/>
          <w:sz w:val="20"/>
          <w:szCs w:val="20"/>
        </w:rPr>
        <w:br w:type="page"/>
      </w:r>
    </w:p>
    <w:p w14:paraId="7506F35F" w14:textId="3768CF0D" w:rsidR="001456F0" w:rsidRPr="0097679B" w:rsidRDefault="0097679B" w:rsidP="0097679B">
      <w:pPr>
        <w:spacing w:line="480" w:lineRule="auto"/>
        <w:rPr>
          <w:rFonts w:ascii="Arial" w:hAnsi="Arial" w:cs="Arial"/>
          <w:i/>
          <w:sz w:val="20"/>
          <w:szCs w:val="20"/>
        </w:rPr>
      </w:pPr>
      <w:r w:rsidRPr="0097679B">
        <w:rPr>
          <w:rFonts w:ascii="Arial" w:hAnsi="Arial" w:cs="Arial"/>
          <w:i/>
          <w:sz w:val="20"/>
          <w:szCs w:val="20"/>
        </w:rPr>
        <w:lastRenderedPageBreak/>
        <w:t>Figures</w:t>
      </w:r>
    </w:p>
    <w:p w14:paraId="1D4C4A8A" w14:textId="28EFF3A3" w:rsidR="0097679B" w:rsidRPr="0097679B" w:rsidRDefault="0097679B" w:rsidP="0097679B">
      <w:pPr>
        <w:spacing w:line="480" w:lineRule="auto"/>
        <w:rPr>
          <w:rFonts w:ascii="Arial" w:hAnsi="Arial" w:cs="Arial"/>
          <w:sz w:val="20"/>
          <w:szCs w:val="20"/>
        </w:rPr>
      </w:pPr>
      <w:r w:rsidRPr="0097679B">
        <w:rPr>
          <w:rFonts w:ascii="Arial" w:hAnsi="Arial" w:cs="Arial"/>
          <w:sz w:val="20"/>
          <w:szCs w:val="20"/>
        </w:rPr>
        <w:t xml:space="preserve">Figure 1: </w:t>
      </w:r>
      <w:r w:rsidR="00046862">
        <w:rPr>
          <w:rFonts w:ascii="Arial" w:hAnsi="Arial" w:cs="Arial"/>
          <w:sz w:val="20"/>
          <w:szCs w:val="20"/>
        </w:rPr>
        <w:t>Survival curves</w:t>
      </w:r>
      <w:r w:rsidR="00EA33C7">
        <w:rPr>
          <w:rFonts w:ascii="Arial" w:hAnsi="Arial" w:cs="Arial"/>
          <w:sz w:val="20"/>
          <w:szCs w:val="20"/>
        </w:rPr>
        <w:fldChar w:fldCharType="begin" w:fldLock="1"/>
      </w:r>
      <w:r w:rsidR="00EA33C7">
        <w:rPr>
          <w:rFonts w:ascii="Arial" w:hAnsi="Arial" w:cs="Arial"/>
          <w:sz w:val="20"/>
          <w:szCs w:val="20"/>
        </w:rPr>
        <w:instrText>ADDIN CSL_CITATION {"citationItems":[{"id":"ITEM-1","itemData":{"DOI":"10.1002/sim.4780030106","PMID":"6729287","author":[{"dropping-particle":"","family":"Simon","given":"R","non-dropping-particle":"","parse-names":false,"suffix":""},{"dropping-particle":"","family":"Makuch","given":"R N","non-dropping-particle":"","parse-names":false,"suffix":""}],"container-title":"Stat Med.","id":"ITEM-1","issue":"1","issued":{"date-parts":[["1984"]]},"page":"35-44","title":"A non-parametric graphical representation of the relationship between survival and the occurrence of an event: application to responder versus non-responder bias.","type":"article-journal","volume":"3"},"uris":["http://www.mendeley.com/documents/?uuid=ddf52e8c-7ec9-4db3-b567-fd7bc84f6108"]}],"mendeley":{"formattedCitation":"[18]","plainTextFormattedCitation":"[18]","previouslyFormattedCitation":"[18]"},"properties":{"noteIndex":0},"schema":"https://github.com/citation-style-language/schema/raw/master/csl-citation.json"}</w:instrText>
      </w:r>
      <w:r w:rsidR="00EA33C7">
        <w:rPr>
          <w:rFonts w:ascii="Arial" w:hAnsi="Arial" w:cs="Arial"/>
          <w:sz w:val="20"/>
          <w:szCs w:val="20"/>
        </w:rPr>
        <w:fldChar w:fldCharType="separate"/>
      </w:r>
      <w:r w:rsidR="00EA33C7" w:rsidRPr="00EA33C7">
        <w:rPr>
          <w:rFonts w:ascii="Arial" w:hAnsi="Arial" w:cs="Arial"/>
          <w:noProof/>
          <w:sz w:val="20"/>
          <w:szCs w:val="20"/>
        </w:rPr>
        <w:t>[18]</w:t>
      </w:r>
      <w:r w:rsidR="00EA33C7">
        <w:rPr>
          <w:rFonts w:ascii="Arial" w:hAnsi="Arial" w:cs="Arial"/>
          <w:sz w:val="20"/>
          <w:szCs w:val="20"/>
        </w:rPr>
        <w:fldChar w:fldCharType="end"/>
      </w:r>
      <w:r w:rsidR="00046862">
        <w:rPr>
          <w:rFonts w:ascii="Arial" w:hAnsi="Arial" w:cs="Arial"/>
          <w:sz w:val="20"/>
          <w:szCs w:val="20"/>
        </w:rPr>
        <w:t xml:space="preserve"> for time-dependent covariates </w:t>
      </w:r>
      <w:r w:rsidRPr="0097679B">
        <w:rPr>
          <w:rFonts w:ascii="Arial" w:hAnsi="Arial" w:cs="Arial"/>
          <w:sz w:val="20"/>
          <w:szCs w:val="20"/>
        </w:rPr>
        <w:t xml:space="preserve">to illustrate the estimated probability of remaining non-laminitic for low, medium and </w:t>
      </w:r>
      <w:r w:rsidR="009A450D">
        <w:rPr>
          <w:rFonts w:ascii="Arial" w:hAnsi="Arial" w:cs="Arial"/>
          <w:sz w:val="20"/>
          <w:szCs w:val="20"/>
        </w:rPr>
        <w:t xml:space="preserve">high </w:t>
      </w:r>
      <w:r w:rsidR="000D5CF0" w:rsidRPr="0097679B">
        <w:rPr>
          <w:rFonts w:ascii="Arial" w:hAnsi="Arial" w:cs="Arial"/>
          <w:sz w:val="20"/>
          <w:szCs w:val="20"/>
        </w:rPr>
        <w:t>risk</w:t>
      </w:r>
      <w:r w:rsidR="00AE3406">
        <w:rPr>
          <w:rFonts w:ascii="Arial" w:hAnsi="Arial" w:cs="Arial"/>
          <w:sz w:val="20"/>
          <w:szCs w:val="20"/>
        </w:rPr>
        <w:t xml:space="preserve"> categories</w:t>
      </w:r>
      <w:r w:rsidRPr="0097679B">
        <w:rPr>
          <w:rFonts w:ascii="Arial" w:hAnsi="Arial" w:cs="Arial"/>
          <w:sz w:val="20"/>
          <w:szCs w:val="20"/>
        </w:rPr>
        <w:t xml:space="preserve"> [insulin]T0</w:t>
      </w:r>
      <w:r w:rsidR="000B6ADD">
        <w:rPr>
          <w:rFonts w:ascii="Arial" w:hAnsi="Arial" w:cs="Arial"/>
          <w:sz w:val="20"/>
          <w:szCs w:val="20"/>
        </w:rPr>
        <w:t xml:space="preserve"> (basal insulin}</w:t>
      </w:r>
      <w:r w:rsidRPr="0097679B">
        <w:rPr>
          <w:rFonts w:ascii="Arial" w:hAnsi="Arial" w:cs="Arial"/>
          <w:sz w:val="20"/>
          <w:szCs w:val="20"/>
        </w:rPr>
        <w:t xml:space="preserve"> (panel A), [insulin]T60 (panel B) and [adiponectin] </w:t>
      </w:r>
      <w:r w:rsidR="00116F72">
        <w:rPr>
          <w:rFonts w:ascii="Arial" w:hAnsi="Arial" w:cs="Arial"/>
          <w:sz w:val="20"/>
          <w:szCs w:val="20"/>
        </w:rPr>
        <w:t>(</w:t>
      </w:r>
      <w:r w:rsidRPr="0097679B">
        <w:rPr>
          <w:rFonts w:ascii="Arial" w:hAnsi="Arial" w:cs="Arial"/>
          <w:sz w:val="20"/>
          <w:szCs w:val="20"/>
        </w:rPr>
        <w:t>panel C</w:t>
      </w:r>
      <w:r w:rsidR="00116F72">
        <w:rPr>
          <w:rFonts w:ascii="Arial" w:hAnsi="Arial" w:cs="Arial"/>
          <w:sz w:val="20"/>
          <w:szCs w:val="20"/>
        </w:rPr>
        <w:t>)</w:t>
      </w:r>
      <w:r w:rsidRPr="0097679B">
        <w:rPr>
          <w:rFonts w:ascii="Arial" w:hAnsi="Arial" w:cs="Arial"/>
          <w:sz w:val="20"/>
          <w:szCs w:val="20"/>
        </w:rPr>
        <w:t xml:space="preserve">. 95% confidence intervals are shaded.  </w:t>
      </w:r>
    </w:p>
    <w:p w14:paraId="76324181" w14:textId="7DF4363B" w:rsidR="0097679B" w:rsidRPr="0097679B" w:rsidRDefault="0097679B" w:rsidP="0097679B">
      <w:pPr>
        <w:pStyle w:val="Caption"/>
        <w:rPr>
          <w:rFonts w:ascii="Arial" w:hAnsi="Arial" w:cs="Arial"/>
          <w:sz w:val="20"/>
          <w:szCs w:val="20"/>
        </w:rPr>
      </w:pPr>
      <w:r w:rsidRPr="0097679B">
        <w:rPr>
          <w:rFonts w:ascii="Arial" w:hAnsi="Arial" w:cs="Arial"/>
          <w:sz w:val="20"/>
          <w:szCs w:val="20"/>
        </w:rPr>
        <w:t>Panel A</w:t>
      </w:r>
    </w:p>
    <w:p w14:paraId="27713846" w14:textId="3AB9FBBC" w:rsidR="0097679B" w:rsidRPr="0097679B" w:rsidRDefault="0097679B" w:rsidP="00AA3803">
      <w:pPr>
        <w:rPr>
          <w:rFonts w:ascii="Arial" w:hAnsi="Arial" w:cs="Arial"/>
          <w:sz w:val="20"/>
          <w:szCs w:val="20"/>
        </w:rPr>
      </w:pPr>
      <w:r w:rsidRPr="0097679B">
        <w:rPr>
          <w:rFonts w:ascii="Arial" w:hAnsi="Arial" w:cs="Arial"/>
          <w:noProof/>
          <w:sz w:val="20"/>
          <w:szCs w:val="20"/>
          <w:lang w:eastAsia="en-GB"/>
        </w:rPr>
        <w:drawing>
          <wp:inline distT="0" distB="0" distL="0" distR="0" wp14:anchorId="4A5167A2" wp14:editId="300188B2">
            <wp:extent cx="5205730" cy="324866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asal high med low.jpeg"/>
                    <pic:cNvPicPr/>
                  </pic:nvPicPr>
                  <pic:blipFill>
                    <a:blip r:embed="rId11">
                      <a:extLst>
                        <a:ext uri="{28A0092B-C50C-407E-A947-70E740481C1C}">
                          <a14:useLocalDpi xmlns:a14="http://schemas.microsoft.com/office/drawing/2010/main" val="0"/>
                        </a:ext>
                      </a:extLst>
                    </a:blip>
                    <a:stretch>
                      <a:fillRect/>
                    </a:stretch>
                  </pic:blipFill>
                  <pic:spPr>
                    <a:xfrm>
                      <a:off x="0" y="0"/>
                      <a:ext cx="5205730" cy="3248660"/>
                    </a:xfrm>
                    <a:prstGeom prst="rect">
                      <a:avLst/>
                    </a:prstGeom>
                  </pic:spPr>
                </pic:pic>
              </a:graphicData>
            </a:graphic>
          </wp:inline>
        </w:drawing>
      </w:r>
      <w:bookmarkStart w:id="12" w:name="_Ref60531295"/>
    </w:p>
    <w:bookmarkEnd w:id="12"/>
    <w:p w14:paraId="44C429E6" w14:textId="7934A03C" w:rsidR="0097679B" w:rsidRPr="0097679B" w:rsidRDefault="0097679B" w:rsidP="0097679B">
      <w:pPr>
        <w:pStyle w:val="Caption"/>
        <w:rPr>
          <w:rFonts w:ascii="Arial" w:hAnsi="Arial" w:cs="Arial"/>
          <w:sz w:val="20"/>
          <w:szCs w:val="20"/>
        </w:rPr>
      </w:pPr>
      <w:r w:rsidRPr="0097679B">
        <w:rPr>
          <w:rFonts w:ascii="Arial" w:hAnsi="Arial" w:cs="Arial"/>
          <w:sz w:val="20"/>
          <w:szCs w:val="20"/>
        </w:rPr>
        <w:t>Panel B</w:t>
      </w:r>
    </w:p>
    <w:p w14:paraId="348847C7" w14:textId="77777777" w:rsidR="0097679B" w:rsidRPr="0097679B" w:rsidRDefault="0097679B" w:rsidP="0097679B">
      <w:pPr>
        <w:rPr>
          <w:rFonts w:ascii="Arial" w:hAnsi="Arial" w:cs="Arial"/>
          <w:sz w:val="20"/>
          <w:szCs w:val="20"/>
        </w:rPr>
      </w:pPr>
      <w:r w:rsidRPr="0097679B">
        <w:rPr>
          <w:rFonts w:ascii="Arial" w:hAnsi="Arial" w:cs="Arial"/>
          <w:noProof/>
          <w:sz w:val="20"/>
          <w:szCs w:val="20"/>
          <w:lang w:eastAsia="en-GB"/>
        </w:rPr>
        <w:drawing>
          <wp:inline distT="0" distB="0" distL="0" distR="0" wp14:anchorId="45E5DC25" wp14:editId="1E3B5C39">
            <wp:extent cx="5205730" cy="324866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60high med low.jpeg"/>
                    <pic:cNvPicPr/>
                  </pic:nvPicPr>
                  <pic:blipFill>
                    <a:blip r:embed="rId12">
                      <a:extLst>
                        <a:ext uri="{28A0092B-C50C-407E-A947-70E740481C1C}">
                          <a14:useLocalDpi xmlns:a14="http://schemas.microsoft.com/office/drawing/2010/main" val="0"/>
                        </a:ext>
                      </a:extLst>
                    </a:blip>
                    <a:stretch>
                      <a:fillRect/>
                    </a:stretch>
                  </pic:blipFill>
                  <pic:spPr>
                    <a:xfrm>
                      <a:off x="0" y="0"/>
                      <a:ext cx="5205730" cy="3248660"/>
                    </a:xfrm>
                    <a:prstGeom prst="rect">
                      <a:avLst/>
                    </a:prstGeom>
                  </pic:spPr>
                </pic:pic>
              </a:graphicData>
            </a:graphic>
          </wp:inline>
        </w:drawing>
      </w:r>
    </w:p>
    <w:p w14:paraId="231AC9D0" w14:textId="3B81B984" w:rsidR="0097679B" w:rsidRPr="0097679B" w:rsidRDefault="0097679B" w:rsidP="0097679B">
      <w:pPr>
        <w:pStyle w:val="Caption"/>
        <w:rPr>
          <w:rFonts w:ascii="Arial" w:hAnsi="Arial" w:cs="Arial"/>
          <w:sz w:val="20"/>
          <w:szCs w:val="20"/>
        </w:rPr>
      </w:pPr>
      <w:r w:rsidRPr="0097679B">
        <w:rPr>
          <w:rFonts w:ascii="Arial" w:hAnsi="Arial" w:cs="Arial"/>
          <w:sz w:val="20"/>
          <w:szCs w:val="20"/>
        </w:rPr>
        <w:lastRenderedPageBreak/>
        <w:t>Panel C</w:t>
      </w:r>
    </w:p>
    <w:p w14:paraId="55BCE2B0" w14:textId="18BF11F2" w:rsidR="0097679B" w:rsidRDefault="0097679B" w:rsidP="0097679B">
      <w:pPr>
        <w:rPr>
          <w:rFonts w:ascii="Arial" w:hAnsi="Arial" w:cs="Arial"/>
          <w:sz w:val="20"/>
          <w:szCs w:val="20"/>
        </w:rPr>
      </w:pPr>
      <w:r w:rsidRPr="0097679B">
        <w:rPr>
          <w:rFonts w:ascii="Arial" w:hAnsi="Arial" w:cs="Arial"/>
          <w:noProof/>
          <w:sz w:val="20"/>
          <w:szCs w:val="20"/>
          <w:lang w:eastAsia="en-GB"/>
        </w:rPr>
        <w:drawing>
          <wp:inline distT="0" distB="0" distL="0" distR="0" wp14:anchorId="664DB5F2" wp14:editId="4E49EA71">
            <wp:extent cx="5205730" cy="32486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dipo hml.jpeg"/>
                    <pic:cNvPicPr/>
                  </pic:nvPicPr>
                  <pic:blipFill>
                    <a:blip r:embed="rId13">
                      <a:extLst>
                        <a:ext uri="{28A0092B-C50C-407E-A947-70E740481C1C}">
                          <a14:useLocalDpi xmlns:a14="http://schemas.microsoft.com/office/drawing/2010/main" val="0"/>
                        </a:ext>
                      </a:extLst>
                    </a:blip>
                    <a:stretch>
                      <a:fillRect/>
                    </a:stretch>
                  </pic:blipFill>
                  <pic:spPr>
                    <a:xfrm>
                      <a:off x="0" y="0"/>
                      <a:ext cx="5205730" cy="3248660"/>
                    </a:xfrm>
                    <a:prstGeom prst="rect">
                      <a:avLst/>
                    </a:prstGeom>
                  </pic:spPr>
                </pic:pic>
              </a:graphicData>
            </a:graphic>
          </wp:inline>
        </w:drawing>
      </w:r>
    </w:p>
    <w:p w14:paraId="75202762" w14:textId="77777777" w:rsidR="00135A40" w:rsidRPr="0097679B" w:rsidRDefault="00135A40" w:rsidP="0097679B">
      <w:pPr>
        <w:rPr>
          <w:rFonts w:ascii="Arial" w:hAnsi="Arial" w:cs="Arial"/>
          <w:sz w:val="20"/>
          <w:szCs w:val="20"/>
        </w:rPr>
      </w:pPr>
    </w:p>
    <w:p w14:paraId="7510790D" w14:textId="2663F04C" w:rsidR="009A450D" w:rsidRPr="009A450D" w:rsidRDefault="009A450D" w:rsidP="009A450D">
      <w:pPr>
        <w:spacing w:line="480" w:lineRule="auto"/>
        <w:rPr>
          <w:rFonts w:ascii="Arial" w:hAnsi="Arial" w:cs="Arial"/>
          <w:sz w:val="20"/>
          <w:szCs w:val="20"/>
        </w:rPr>
      </w:pPr>
    </w:p>
    <w:p w14:paraId="6E433A16" w14:textId="0A4EA5C3" w:rsidR="001456F0" w:rsidRPr="009A450D" w:rsidRDefault="001456F0" w:rsidP="000617A0">
      <w:pPr>
        <w:spacing w:line="480" w:lineRule="auto"/>
        <w:rPr>
          <w:rFonts w:ascii="Arial" w:hAnsi="Arial" w:cs="Arial"/>
          <w:i/>
          <w:sz w:val="20"/>
          <w:szCs w:val="20"/>
        </w:rPr>
      </w:pPr>
      <w:r w:rsidRPr="009A450D">
        <w:rPr>
          <w:rFonts w:ascii="Arial" w:hAnsi="Arial" w:cs="Arial"/>
          <w:i/>
          <w:sz w:val="20"/>
          <w:szCs w:val="20"/>
        </w:rPr>
        <w:t>List of supplementary items</w:t>
      </w:r>
    </w:p>
    <w:p w14:paraId="2E217DF4" w14:textId="5EED93F0" w:rsidR="00F55208" w:rsidRDefault="00F55208" w:rsidP="000617A0">
      <w:pPr>
        <w:spacing w:line="480" w:lineRule="auto"/>
        <w:rPr>
          <w:rFonts w:ascii="Arial" w:hAnsi="Arial" w:cs="Arial"/>
          <w:sz w:val="20"/>
          <w:szCs w:val="20"/>
        </w:rPr>
      </w:pPr>
      <w:r>
        <w:rPr>
          <w:rFonts w:ascii="Arial" w:hAnsi="Arial" w:cs="Arial"/>
          <w:sz w:val="20"/>
          <w:szCs w:val="20"/>
        </w:rPr>
        <w:t xml:space="preserve">S1: </w:t>
      </w:r>
      <w:r w:rsidRPr="004B646B">
        <w:rPr>
          <w:rFonts w:ascii="Arial" w:hAnsi="Arial" w:cs="Arial"/>
          <w:sz w:val="20"/>
          <w:szCs w:val="20"/>
        </w:rPr>
        <w:t>Sample handling and analysis.</w:t>
      </w:r>
    </w:p>
    <w:p w14:paraId="5B60BC6C" w14:textId="6FF51A13" w:rsidR="00F55208" w:rsidRDefault="00F55208" w:rsidP="000617A0">
      <w:pPr>
        <w:spacing w:line="480" w:lineRule="auto"/>
        <w:rPr>
          <w:rFonts w:ascii="Arial" w:hAnsi="Arial" w:cs="Arial"/>
          <w:sz w:val="20"/>
          <w:szCs w:val="20"/>
        </w:rPr>
      </w:pPr>
      <w:r>
        <w:rPr>
          <w:rFonts w:ascii="Arial" w:hAnsi="Arial" w:cs="Arial"/>
          <w:sz w:val="20"/>
          <w:szCs w:val="20"/>
        </w:rPr>
        <w:t xml:space="preserve">S2: </w:t>
      </w:r>
      <w:r w:rsidRPr="00DB371C">
        <w:rPr>
          <w:rFonts w:ascii="Arial" w:hAnsi="Arial" w:cs="Arial"/>
          <w:sz w:val="20"/>
          <w:szCs w:val="20"/>
        </w:rPr>
        <w:t>All variables extracted from the database and considered for further analysis.</w:t>
      </w:r>
    </w:p>
    <w:p w14:paraId="70A40C85" w14:textId="58531DCB" w:rsidR="00F55208" w:rsidRDefault="00F55208" w:rsidP="000617A0">
      <w:pPr>
        <w:spacing w:line="480" w:lineRule="auto"/>
        <w:rPr>
          <w:rFonts w:ascii="Arial" w:hAnsi="Arial" w:cs="Arial"/>
          <w:sz w:val="20"/>
          <w:szCs w:val="20"/>
        </w:rPr>
      </w:pPr>
      <w:r>
        <w:rPr>
          <w:rFonts w:ascii="Arial" w:hAnsi="Arial" w:cs="Arial"/>
          <w:sz w:val="20"/>
          <w:szCs w:val="20"/>
        </w:rPr>
        <w:t xml:space="preserve">S3: </w:t>
      </w:r>
      <w:r w:rsidRPr="00E037A1">
        <w:rPr>
          <w:rFonts w:ascii="Arial" w:hAnsi="Arial" w:cs="Arial"/>
          <w:sz w:val="20"/>
          <w:szCs w:val="20"/>
        </w:rPr>
        <w:t>Owner/ carer questionnaires</w:t>
      </w:r>
    </w:p>
    <w:p w14:paraId="472CA7C1" w14:textId="66FAC29B" w:rsidR="00F55208" w:rsidRDefault="00F55208" w:rsidP="000617A0">
      <w:pPr>
        <w:spacing w:line="480" w:lineRule="auto"/>
        <w:rPr>
          <w:rFonts w:ascii="Arial" w:hAnsi="Arial" w:cs="Arial"/>
          <w:sz w:val="20"/>
          <w:szCs w:val="20"/>
        </w:rPr>
      </w:pPr>
      <w:r>
        <w:rPr>
          <w:rFonts w:ascii="Arial" w:hAnsi="Arial" w:cs="Arial"/>
          <w:sz w:val="20"/>
          <w:szCs w:val="20"/>
        </w:rPr>
        <w:t xml:space="preserve">S4: </w:t>
      </w:r>
      <w:r w:rsidRPr="00D10962">
        <w:rPr>
          <w:rFonts w:ascii="Arial" w:hAnsi="Arial" w:cs="Arial"/>
          <w:sz w:val="20"/>
          <w:szCs w:val="20"/>
        </w:rPr>
        <w:t>Data distribution and complete rate</w:t>
      </w:r>
    </w:p>
    <w:p w14:paraId="63BF00AA" w14:textId="537D024E" w:rsidR="00F55208" w:rsidRPr="0097679B" w:rsidRDefault="00F55208" w:rsidP="000617A0">
      <w:pPr>
        <w:spacing w:line="480" w:lineRule="auto"/>
        <w:rPr>
          <w:rFonts w:ascii="Arial" w:hAnsi="Arial" w:cs="Arial"/>
          <w:sz w:val="20"/>
          <w:szCs w:val="20"/>
        </w:rPr>
      </w:pPr>
      <w:r>
        <w:rPr>
          <w:rFonts w:ascii="Arial" w:hAnsi="Arial" w:cs="Arial"/>
          <w:sz w:val="20"/>
          <w:szCs w:val="20"/>
        </w:rPr>
        <w:t xml:space="preserve">S5: </w:t>
      </w:r>
      <w:r w:rsidRPr="00EB5B06">
        <w:rPr>
          <w:rFonts w:ascii="Arial" w:hAnsi="Arial" w:cs="Arial"/>
          <w:sz w:val="20"/>
          <w:szCs w:val="20"/>
        </w:rPr>
        <w:t>Univariable associations between laminitis hazard and all variab</w:t>
      </w:r>
      <w:r>
        <w:rPr>
          <w:rFonts w:ascii="Arial" w:hAnsi="Arial" w:cs="Arial"/>
          <w:i/>
          <w:sz w:val="20"/>
          <w:szCs w:val="20"/>
        </w:rPr>
        <w:t>les extracted from the database</w:t>
      </w:r>
    </w:p>
    <w:p w14:paraId="44FDE1F7" w14:textId="77777777" w:rsidR="00AA3803" w:rsidRDefault="00AA3803">
      <w:pPr>
        <w:rPr>
          <w:rFonts w:ascii="Arial" w:hAnsi="Arial" w:cs="Arial"/>
          <w:sz w:val="20"/>
          <w:szCs w:val="20"/>
        </w:rPr>
      </w:pPr>
      <w:r>
        <w:rPr>
          <w:rFonts w:ascii="Arial" w:hAnsi="Arial" w:cs="Arial"/>
          <w:sz w:val="20"/>
          <w:szCs w:val="20"/>
        </w:rPr>
        <w:br w:type="page"/>
      </w:r>
    </w:p>
    <w:p w14:paraId="1F495FC9" w14:textId="31AFEC02" w:rsidR="0040589E" w:rsidRPr="0097679B" w:rsidRDefault="001456F0" w:rsidP="001456F0">
      <w:pPr>
        <w:spacing w:line="480" w:lineRule="auto"/>
        <w:rPr>
          <w:rFonts w:ascii="Arial" w:hAnsi="Arial" w:cs="Arial"/>
          <w:sz w:val="20"/>
          <w:szCs w:val="20"/>
        </w:rPr>
      </w:pPr>
      <w:r w:rsidRPr="0097679B">
        <w:rPr>
          <w:rFonts w:ascii="Arial" w:hAnsi="Arial" w:cs="Arial"/>
          <w:sz w:val="20"/>
          <w:szCs w:val="20"/>
        </w:rPr>
        <w:lastRenderedPageBreak/>
        <w:t>References</w:t>
      </w:r>
    </w:p>
    <w:p w14:paraId="1D9FB26D" w14:textId="0F63443B" w:rsidR="00EA33C7" w:rsidRPr="00EA33C7" w:rsidRDefault="001456F0" w:rsidP="00EA33C7">
      <w:pPr>
        <w:widowControl w:val="0"/>
        <w:autoSpaceDE w:val="0"/>
        <w:autoSpaceDN w:val="0"/>
        <w:adjustRightInd w:val="0"/>
        <w:spacing w:line="240" w:lineRule="auto"/>
        <w:ind w:left="640" w:hanging="640"/>
        <w:rPr>
          <w:rFonts w:ascii="Arial" w:hAnsi="Arial" w:cs="Arial"/>
          <w:noProof/>
          <w:sz w:val="20"/>
          <w:szCs w:val="24"/>
        </w:rPr>
      </w:pPr>
      <w:r w:rsidRPr="0097679B">
        <w:rPr>
          <w:rFonts w:ascii="Arial" w:hAnsi="Arial" w:cs="Arial"/>
          <w:sz w:val="20"/>
          <w:szCs w:val="20"/>
        </w:rPr>
        <w:fldChar w:fldCharType="begin" w:fldLock="1"/>
      </w:r>
      <w:r w:rsidRPr="0097679B">
        <w:rPr>
          <w:rFonts w:ascii="Arial" w:hAnsi="Arial" w:cs="Arial"/>
          <w:sz w:val="20"/>
          <w:szCs w:val="20"/>
        </w:rPr>
        <w:instrText xml:space="preserve">ADDIN Mendeley Bibliography CSL_BIBLIOGRAPHY </w:instrText>
      </w:r>
      <w:r w:rsidRPr="0097679B">
        <w:rPr>
          <w:rFonts w:ascii="Arial" w:hAnsi="Arial" w:cs="Arial"/>
          <w:sz w:val="20"/>
          <w:szCs w:val="20"/>
        </w:rPr>
        <w:fldChar w:fldCharType="separate"/>
      </w:r>
      <w:r w:rsidR="00EA33C7" w:rsidRPr="00EA33C7">
        <w:rPr>
          <w:rFonts w:ascii="Arial" w:hAnsi="Arial" w:cs="Arial"/>
          <w:noProof/>
          <w:sz w:val="20"/>
          <w:szCs w:val="24"/>
        </w:rPr>
        <w:t>1.</w:t>
      </w:r>
      <w:r w:rsidR="00EA33C7" w:rsidRPr="00EA33C7">
        <w:rPr>
          <w:rFonts w:ascii="Arial" w:hAnsi="Arial" w:cs="Arial"/>
          <w:noProof/>
          <w:sz w:val="20"/>
          <w:szCs w:val="24"/>
        </w:rPr>
        <w:tab/>
        <w:t xml:space="preserve">Patterson-Kane, J.C., Karikoski, N.P. and McGowan, C.M. (2018) Paradigm shifts in understanding equine laminitis. </w:t>
      </w:r>
      <w:r w:rsidR="00EA33C7" w:rsidRPr="00EA33C7">
        <w:rPr>
          <w:rFonts w:ascii="Arial" w:hAnsi="Arial" w:cs="Arial"/>
          <w:i/>
          <w:iCs/>
          <w:noProof/>
          <w:sz w:val="20"/>
          <w:szCs w:val="24"/>
        </w:rPr>
        <w:t>Vet. J.</w:t>
      </w:r>
      <w:r w:rsidR="00EA33C7" w:rsidRPr="00EA33C7">
        <w:rPr>
          <w:rFonts w:ascii="Arial" w:hAnsi="Arial" w:cs="Arial"/>
          <w:noProof/>
          <w:sz w:val="20"/>
          <w:szCs w:val="24"/>
        </w:rPr>
        <w:t xml:space="preserve"> </w:t>
      </w:r>
      <w:r w:rsidR="00EA33C7" w:rsidRPr="00EA33C7">
        <w:rPr>
          <w:rFonts w:ascii="Arial" w:hAnsi="Arial" w:cs="Arial"/>
          <w:b/>
          <w:bCs/>
          <w:noProof/>
          <w:sz w:val="20"/>
          <w:szCs w:val="24"/>
        </w:rPr>
        <w:t>231</w:t>
      </w:r>
      <w:r w:rsidR="00EA33C7" w:rsidRPr="00EA33C7">
        <w:rPr>
          <w:rFonts w:ascii="Arial" w:hAnsi="Arial" w:cs="Arial"/>
          <w:noProof/>
          <w:sz w:val="20"/>
          <w:szCs w:val="24"/>
        </w:rPr>
        <w:t>, 33–40.</w:t>
      </w:r>
    </w:p>
    <w:p w14:paraId="128CB8B2"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w:t>
      </w:r>
      <w:r w:rsidRPr="00EA33C7">
        <w:rPr>
          <w:rFonts w:ascii="Arial" w:hAnsi="Arial" w:cs="Arial"/>
          <w:noProof/>
          <w:sz w:val="20"/>
          <w:szCs w:val="24"/>
        </w:rPr>
        <w:tab/>
        <w:t xml:space="preserve">Karikoski, N.P., Horn, I., McGowan, T.W. and McGowan, C.M. (2011) The prevalence of endocrinopathic laminitis among horses presented for laminitis at a first-opinion/referral equine hospital. </w:t>
      </w:r>
      <w:r w:rsidRPr="00EA33C7">
        <w:rPr>
          <w:rFonts w:ascii="Arial" w:hAnsi="Arial" w:cs="Arial"/>
          <w:i/>
          <w:iCs/>
          <w:noProof/>
          <w:sz w:val="20"/>
          <w:szCs w:val="24"/>
        </w:rPr>
        <w:t>Domest. Anim. Endocrinol.</w:t>
      </w:r>
      <w:r w:rsidRPr="00EA33C7">
        <w:rPr>
          <w:rFonts w:ascii="Arial" w:hAnsi="Arial" w:cs="Arial"/>
          <w:noProof/>
          <w:sz w:val="20"/>
          <w:szCs w:val="24"/>
        </w:rPr>
        <w:t xml:space="preserve"> </w:t>
      </w:r>
      <w:r w:rsidRPr="00EA33C7">
        <w:rPr>
          <w:rFonts w:ascii="Arial" w:hAnsi="Arial" w:cs="Arial"/>
          <w:b/>
          <w:bCs/>
          <w:noProof/>
          <w:sz w:val="20"/>
          <w:szCs w:val="24"/>
        </w:rPr>
        <w:t>41</w:t>
      </w:r>
      <w:r w:rsidRPr="00EA33C7">
        <w:rPr>
          <w:rFonts w:ascii="Arial" w:hAnsi="Arial" w:cs="Arial"/>
          <w:noProof/>
          <w:sz w:val="20"/>
          <w:szCs w:val="24"/>
        </w:rPr>
        <w:t>, 111–117.</w:t>
      </w:r>
    </w:p>
    <w:p w14:paraId="3B9647E0"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3.</w:t>
      </w:r>
      <w:r w:rsidRPr="00EA33C7">
        <w:rPr>
          <w:rFonts w:ascii="Arial" w:hAnsi="Arial" w:cs="Arial"/>
          <w:noProof/>
          <w:sz w:val="20"/>
          <w:szCs w:val="24"/>
        </w:rPr>
        <w:tab/>
        <w:t xml:space="preserve">Pollard, D., Wylie, C.E., Verheyen, K.L.P. and Newton, J.R. (2019) Identification of modifiable factors associated with owner-reported equine laminitis in Britain using a web-based cohort study approach. </w:t>
      </w:r>
      <w:r w:rsidRPr="00EA33C7">
        <w:rPr>
          <w:rFonts w:ascii="Arial" w:hAnsi="Arial" w:cs="Arial"/>
          <w:i/>
          <w:iCs/>
          <w:noProof/>
          <w:sz w:val="20"/>
          <w:szCs w:val="24"/>
        </w:rPr>
        <w:t>BMC Vet. Res.</w:t>
      </w:r>
      <w:r w:rsidRPr="00EA33C7">
        <w:rPr>
          <w:rFonts w:ascii="Arial" w:hAnsi="Arial" w:cs="Arial"/>
          <w:noProof/>
          <w:sz w:val="20"/>
          <w:szCs w:val="24"/>
        </w:rPr>
        <w:t xml:space="preserve"> </w:t>
      </w:r>
      <w:r w:rsidRPr="00EA33C7">
        <w:rPr>
          <w:rFonts w:ascii="Arial" w:hAnsi="Arial" w:cs="Arial"/>
          <w:b/>
          <w:bCs/>
          <w:noProof/>
          <w:sz w:val="20"/>
          <w:szCs w:val="24"/>
        </w:rPr>
        <w:t>15</w:t>
      </w:r>
      <w:r w:rsidRPr="00EA33C7">
        <w:rPr>
          <w:rFonts w:ascii="Arial" w:hAnsi="Arial" w:cs="Arial"/>
          <w:noProof/>
          <w:sz w:val="20"/>
          <w:szCs w:val="24"/>
        </w:rPr>
        <w:t>, 1–12.</w:t>
      </w:r>
    </w:p>
    <w:p w14:paraId="0F503398"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4.</w:t>
      </w:r>
      <w:r w:rsidRPr="00EA33C7">
        <w:rPr>
          <w:rFonts w:ascii="Arial" w:hAnsi="Arial" w:cs="Arial"/>
          <w:noProof/>
          <w:sz w:val="20"/>
          <w:szCs w:val="24"/>
        </w:rPr>
        <w:tab/>
        <w:t xml:space="preserve">Wylie, C.E., Collins, S.N., Verheyen, K.L.P. and Newton, J.R. (2012) Risk factors for equine laminitis: a systematic review with quality appraisal of published evidence. </w:t>
      </w:r>
      <w:r w:rsidRPr="00EA33C7">
        <w:rPr>
          <w:rFonts w:ascii="Arial" w:hAnsi="Arial" w:cs="Arial"/>
          <w:i/>
          <w:iCs/>
          <w:noProof/>
          <w:sz w:val="20"/>
          <w:szCs w:val="24"/>
        </w:rPr>
        <w:t>Vet. J.</w:t>
      </w:r>
      <w:r w:rsidRPr="00EA33C7">
        <w:rPr>
          <w:rFonts w:ascii="Arial" w:hAnsi="Arial" w:cs="Arial"/>
          <w:noProof/>
          <w:sz w:val="20"/>
          <w:szCs w:val="24"/>
        </w:rPr>
        <w:t xml:space="preserve"> </w:t>
      </w:r>
      <w:r w:rsidRPr="00EA33C7">
        <w:rPr>
          <w:rFonts w:ascii="Arial" w:hAnsi="Arial" w:cs="Arial"/>
          <w:b/>
          <w:bCs/>
          <w:noProof/>
          <w:sz w:val="20"/>
          <w:szCs w:val="24"/>
        </w:rPr>
        <w:t>193</w:t>
      </w:r>
      <w:r w:rsidRPr="00EA33C7">
        <w:rPr>
          <w:rFonts w:ascii="Arial" w:hAnsi="Arial" w:cs="Arial"/>
          <w:noProof/>
          <w:sz w:val="20"/>
          <w:szCs w:val="24"/>
        </w:rPr>
        <w:t>, 58–66.</w:t>
      </w:r>
    </w:p>
    <w:p w14:paraId="12D8122F"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5.</w:t>
      </w:r>
      <w:r w:rsidRPr="00EA33C7">
        <w:rPr>
          <w:rFonts w:ascii="Arial" w:hAnsi="Arial" w:cs="Arial"/>
          <w:noProof/>
          <w:sz w:val="20"/>
          <w:szCs w:val="24"/>
        </w:rPr>
        <w:tab/>
        <w:t xml:space="preserve">Menzies-Gow, N.J., Harris, P.A. and Elliott, J. (2017) Prospective cohort study evaluating risk factors for the development of pasture-associated laminitis in the United Kingdom.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49</w:t>
      </w:r>
      <w:r w:rsidRPr="00EA33C7">
        <w:rPr>
          <w:rFonts w:ascii="Arial" w:hAnsi="Arial" w:cs="Arial"/>
          <w:noProof/>
          <w:sz w:val="20"/>
          <w:szCs w:val="24"/>
        </w:rPr>
        <w:t>, 300–306.</w:t>
      </w:r>
    </w:p>
    <w:p w14:paraId="063E3EE3"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6.</w:t>
      </w:r>
      <w:r w:rsidRPr="00EA33C7">
        <w:rPr>
          <w:rFonts w:ascii="Arial" w:hAnsi="Arial" w:cs="Arial"/>
          <w:noProof/>
          <w:sz w:val="20"/>
          <w:szCs w:val="24"/>
        </w:rPr>
        <w:tab/>
        <w:t xml:space="preserve">Knowles, E.J., Shaw, S., Harris, P.A. and Elliott, J. (2018) Plasma adrenocorticotropic hormone ( ACTH ) concentrations in ponies measured by two different assays suggests seasonal cross-reactivity or interference.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50</w:t>
      </w:r>
      <w:r w:rsidRPr="00EA33C7">
        <w:rPr>
          <w:rFonts w:ascii="Arial" w:hAnsi="Arial" w:cs="Arial"/>
          <w:noProof/>
          <w:sz w:val="20"/>
          <w:szCs w:val="24"/>
        </w:rPr>
        <w:t>, 672–677.</w:t>
      </w:r>
    </w:p>
    <w:p w14:paraId="1CFF4B94"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7.</w:t>
      </w:r>
      <w:r w:rsidRPr="00EA33C7">
        <w:rPr>
          <w:rFonts w:ascii="Arial" w:hAnsi="Arial" w:cs="Arial"/>
          <w:noProof/>
          <w:sz w:val="20"/>
          <w:szCs w:val="24"/>
        </w:rPr>
        <w:tab/>
        <w:t xml:space="preserve">Henneke, D.R., Potter, G.D., Kreider, J.L. and Yeates, B.F. (1983) Relationship between condition score, physical measurements and body fat percentage in mares.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15</w:t>
      </w:r>
      <w:r w:rsidRPr="00EA33C7">
        <w:rPr>
          <w:rFonts w:ascii="Arial" w:hAnsi="Arial" w:cs="Arial"/>
          <w:noProof/>
          <w:sz w:val="20"/>
          <w:szCs w:val="24"/>
        </w:rPr>
        <w:t>, 371–372.</w:t>
      </w:r>
    </w:p>
    <w:p w14:paraId="090340B0"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8.</w:t>
      </w:r>
      <w:r w:rsidRPr="00EA33C7">
        <w:rPr>
          <w:rFonts w:ascii="Arial" w:hAnsi="Arial" w:cs="Arial"/>
          <w:noProof/>
          <w:sz w:val="20"/>
          <w:szCs w:val="24"/>
        </w:rPr>
        <w:tab/>
        <w:t xml:space="preserve">Carter, R.A., Geor, R.J., Burton Staniar, W., Cubitt, T.A. and Harris, P.A. (2009) Apparent adiposity assessed by standardised scoring systems and morphometric measurements in horses and ponies. </w:t>
      </w:r>
      <w:r w:rsidRPr="00EA33C7">
        <w:rPr>
          <w:rFonts w:ascii="Arial" w:hAnsi="Arial" w:cs="Arial"/>
          <w:i/>
          <w:iCs/>
          <w:noProof/>
          <w:sz w:val="20"/>
          <w:szCs w:val="24"/>
        </w:rPr>
        <w:t>Vet. J.</w:t>
      </w:r>
      <w:r w:rsidRPr="00EA33C7">
        <w:rPr>
          <w:rFonts w:ascii="Arial" w:hAnsi="Arial" w:cs="Arial"/>
          <w:noProof/>
          <w:sz w:val="20"/>
          <w:szCs w:val="24"/>
        </w:rPr>
        <w:t xml:space="preserve"> </w:t>
      </w:r>
      <w:r w:rsidRPr="00EA33C7">
        <w:rPr>
          <w:rFonts w:ascii="Arial" w:hAnsi="Arial" w:cs="Arial"/>
          <w:b/>
          <w:bCs/>
          <w:noProof/>
          <w:sz w:val="20"/>
          <w:szCs w:val="24"/>
        </w:rPr>
        <w:t>179</w:t>
      </w:r>
      <w:r w:rsidRPr="00EA33C7">
        <w:rPr>
          <w:rFonts w:ascii="Arial" w:hAnsi="Arial" w:cs="Arial"/>
          <w:noProof/>
          <w:sz w:val="20"/>
          <w:szCs w:val="24"/>
        </w:rPr>
        <w:t>, 204–210.</w:t>
      </w:r>
    </w:p>
    <w:p w14:paraId="5CD56432"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9.</w:t>
      </w:r>
      <w:r w:rsidRPr="00EA33C7">
        <w:rPr>
          <w:rFonts w:ascii="Arial" w:hAnsi="Arial" w:cs="Arial"/>
          <w:noProof/>
          <w:sz w:val="20"/>
          <w:szCs w:val="24"/>
        </w:rPr>
        <w:tab/>
        <w:t xml:space="preserve">Beech, J., Boston, R.C., McFarlane, D. and Lindborg, S. (2009) Evaluation of plasma ACTH, alpha melanocyte stimulating hormone, and insulin concentrations during various photoperiods in clinically normal horses and ponies and those with pituitary pars intermedia dysfunction. </w:t>
      </w:r>
      <w:r w:rsidRPr="00EA33C7">
        <w:rPr>
          <w:rFonts w:ascii="Arial" w:hAnsi="Arial" w:cs="Arial"/>
          <w:i/>
          <w:iCs/>
          <w:noProof/>
          <w:sz w:val="20"/>
          <w:szCs w:val="24"/>
        </w:rPr>
        <w:t>J. Am. Vet. Med. Assoc.</w:t>
      </w:r>
      <w:r w:rsidRPr="00EA33C7">
        <w:rPr>
          <w:rFonts w:ascii="Arial" w:hAnsi="Arial" w:cs="Arial"/>
          <w:noProof/>
          <w:sz w:val="20"/>
          <w:szCs w:val="24"/>
        </w:rPr>
        <w:t xml:space="preserve"> </w:t>
      </w:r>
      <w:r w:rsidRPr="00EA33C7">
        <w:rPr>
          <w:rFonts w:ascii="Arial" w:hAnsi="Arial" w:cs="Arial"/>
          <w:b/>
          <w:bCs/>
          <w:noProof/>
          <w:sz w:val="20"/>
          <w:szCs w:val="24"/>
        </w:rPr>
        <w:t>235</w:t>
      </w:r>
      <w:r w:rsidRPr="00EA33C7">
        <w:rPr>
          <w:rFonts w:ascii="Arial" w:hAnsi="Arial" w:cs="Arial"/>
          <w:noProof/>
          <w:sz w:val="20"/>
          <w:szCs w:val="24"/>
        </w:rPr>
        <w:t>, 715–722.</w:t>
      </w:r>
    </w:p>
    <w:p w14:paraId="0171BE37"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10.</w:t>
      </w:r>
      <w:r w:rsidRPr="00EA33C7">
        <w:rPr>
          <w:rFonts w:ascii="Arial" w:hAnsi="Arial" w:cs="Arial"/>
          <w:noProof/>
          <w:sz w:val="20"/>
          <w:szCs w:val="24"/>
        </w:rPr>
        <w:tab/>
        <w:t>The Equine Endocrinology Group (2019) Recommendations for the Diagnosis and Treatment of Pituitary Pars Intermedia Dysfunction (PPID) 2019. https://sites.tufts.edu/equineendogroup/files/2019/12/2019-PPID_EEGbooklet.pdf.</w:t>
      </w:r>
    </w:p>
    <w:p w14:paraId="039AF49D"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11.</w:t>
      </w:r>
      <w:r w:rsidRPr="00EA33C7">
        <w:rPr>
          <w:rFonts w:ascii="Arial" w:hAnsi="Arial" w:cs="Arial"/>
          <w:noProof/>
          <w:sz w:val="20"/>
          <w:szCs w:val="24"/>
        </w:rPr>
        <w:tab/>
        <w:t xml:space="preserve">Johnson, D.R. and Creech, J.C. (1983) Ordinal Measures in Multiple Indicator Models: A Simulation Study of Categorization Error. </w:t>
      </w:r>
      <w:r w:rsidRPr="00EA33C7">
        <w:rPr>
          <w:rFonts w:ascii="Arial" w:hAnsi="Arial" w:cs="Arial"/>
          <w:i/>
          <w:iCs/>
          <w:noProof/>
          <w:sz w:val="20"/>
          <w:szCs w:val="24"/>
        </w:rPr>
        <w:t>Am. Sociol. Rev.</w:t>
      </w:r>
      <w:r w:rsidRPr="00EA33C7">
        <w:rPr>
          <w:rFonts w:ascii="Arial" w:hAnsi="Arial" w:cs="Arial"/>
          <w:noProof/>
          <w:sz w:val="20"/>
          <w:szCs w:val="24"/>
        </w:rPr>
        <w:t xml:space="preserve"> </w:t>
      </w:r>
      <w:r w:rsidRPr="00EA33C7">
        <w:rPr>
          <w:rFonts w:ascii="Arial" w:hAnsi="Arial" w:cs="Arial"/>
          <w:b/>
          <w:bCs/>
          <w:noProof/>
          <w:sz w:val="20"/>
          <w:szCs w:val="24"/>
        </w:rPr>
        <w:t>48</w:t>
      </w:r>
      <w:r w:rsidRPr="00EA33C7">
        <w:rPr>
          <w:rFonts w:ascii="Arial" w:hAnsi="Arial" w:cs="Arial"/>
          <w:noProof/>
          <w:sz w:val="20"/>
          <w:szCs w:val="24"/>
        </w:rPr>
        <w:t>, 398–407.</w:t>
      </w:r>
    </w:p>
    <w:p w14:paraId="6AA6DA17"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12.</w:t>
      </w:r>
      <w:r w:rsidRPr="00EA33C7">
        <w:rPr>
          <w:rFonts w:ascii="Arial" w:hAnsi="Arial" w:cs="Arial"/>
          <w:noProof/>
          <w:sz w:val="20"/>
          <w:szCs w:val="24"/>
        </w:rPr>
        <w:tab/>
        <w:t xml:space="preserve">Moore, D, F. (2016) Time Dependent Covariates. In: </w:t>
      </w:r>
      <w:r w:rsidRPr="00EA33C7">
        <w:rPr>
          <w:rFonts w:ascii="Arial" w:hAnsi="Arial" w:cs="Arial"/>
          <w:i/>
          <w:iCs/>
          <w:noProof/>
          <w:sz w:val="20"/>
          <w:szCs w:val="24"/>
        </w:rPr>
        <w:t>Applied Survival Analysis Using R</w:t>
      </w:r>
      <w:r w:rsidRPr="00EA33C7">
        <w:rPr>
          <w:rFonts w:ascii="Arial" w:hAnsi="Arial" w:cs="Arial"/>
          <w:noProof/>
          <w:sz w:val="20"/>
          <w:szCs w:val="24"/>
        </w:rPr>
        <w:t>, Springer Nature, Cham, Switzerland. pp 101–112.</w:t>
      </w:r>
    </w:p>
    <w:p w14:paraId="1E098C64"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13.</w:t>
      </w:r>
      <w:r w:rsidRPr="00EA33C7">
        <w:rPr>
          <w:rFonts w:ascii="Arial" w:hAnsi="Arial" w:cs="Arial"/>
          <w:noProof/>
          <w:sz w:val="20"/>
          <w:szCs w:val="24"/>
        </w:rPr>
        <w:tab/>
        <w:t xml:space="preserve">Vittinghoff, E. and McCulloch, C.E. (2007) Relaxing the rule of ten events per variable in logistic and cox regression. </w:t>
      </w:r>
      <w:r w:rsidRPr="00EA33C7">
        <w:rPr>
          <w:rFonts w:ascii="Arial" w:hAnsi="Arial" w:cs="Arial"/>
          <w:i/>
          <w:iCs/>
          <w:noProof/>
          <w:sz w:val="20"/>
          <w:szCs w:val="24"/>
        </w:rPr>
        <w:t>Am. J. Epidemiol.</w:t>
      </w:r>
      <w:r w:rsidRPr="00EA33C7">
        <w:rPr>
          <w:rFonts w:ascii="Arial" w:hAnsi="Arial" w:cs="Arial"/>
          <w:noProof/>
          <w:sz w:val="20"/>
          <w:szCs w:val="24"/>
        </w:rPr>
        <w:t xml:space="preserve"> </w:t>
      </w:r>
      <w:r w:rsidRPr="00EA33C7">
        <w:rPr>
          <w:rFonts w:ascii="Arial" w:hAnsi="Arial" w:cs="Arial"/>
          <w:b/>
          <w:bCs/>
          <w:noProof/>
          <w:sz w:val="20"/>
          <w:szCs w:val="24"/>
        </w:rPr>
        <w:t>165</w:t>
      </w:r>
      <w:r w:rsidRPr="00EA33C7">
        <w:rPr>
          <w:rFonts w:ascii="Arial" w:hAnsi="Arial" w:cs="Arial"/>
          <w:noProof/>
          <w:sz w:val="20"/>
          <w:szCs w:val="24"/>
        </w:rPr>
        <w:t>, 710–718.</w:t>
      </w:r>
    </w:p>
    <w:p w14:paraId="6F5B9F5C"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14.</w:t>
      </w:r>
      <w:r w:rsidRPr="00EA33C7">
        <w:rPr>
          <w:rFonts w:ascii="Arial" w:hAnsi="Arial" w:cs="Arial"/>
          <w:noProof/>
          <w:sz w:val="20"/>
          <w:szCs w:val="24"/>
        </w:rPr>
        <w:tab/>
        <w:t xml:space="preserve">Steyerberg, E.W. (2019) Overfitting and Optimism in Prediction Models. In: </w:t>
      </w:r>
      <w:r w:rsidRPr="00EA33C7">
        <w:rPr>
          <w:rFonts w:ascii="Arial" w:hAnsi="Arial" w:cs="Arial"/>
          <w:i/>
          <w:iCs/>
          <w:noProof/>
          <w:sz w:val="20"/>
          <w:szCs w:val="24"/>
        </w:rPr>
        <w:t>Clinical Prediction Models</w:t>
      </w:r>
      <w:r w:rsidRPr="00EA33C7">
        <w:rPr>
          <w:rFonts w:ascii="Arial" w:hAnsi="Arial" w:cs="Arial"/>
          <w:noProof/>
          <w:sz w:val="20"/>
          <w:szCs w:val="24"/>
        </w:rPr>
        <w:t>, 2nd ed., Cham. pp 95–111.</w:t>
      </w:r>
    </w:p>
    <w:p w14:paraId="28FD6DC1"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15.</w:t>
      </w:r>
      <w:r w:rsidRPr="00EA33C7">
        <w:rPr>
          <w:rFonts w:ascii="Arial" w:hAnsi="Arial" w:cs="Arial"/>
          <w:noProof/>
          <w:sz w:val="20"/>
          <w:szCs w:val="24"/>
        </w:rPr>
        <w:tab/>
        <w:t xml:space="preserve">Heinze, G. and Dunkler, D. (2017) Five myths about variable selection. </w:t>
      </w:r>
      <w:r w:rsidRPr="00EA33C7">
        <w:rPr>
          <w:rFonts w:ascii="Arial" w:hAnsi="Arial" w:cs="Arial"/>
          <w:i/>
          <w:iCs/>
          <w:noProof/>
          <w:sz w:val="20"/>
          <w:szCs w:val="24"/>
        </w:rPr>
        <w:t>Transpl. Int.</w:t>
      </w:r>
      <w:r w:rsidRPr="00EA33C7">
        <w:rPr>
          <w:rFonts w:ascii="Arial" w:hAnsi="Arial" w:cs="Arial"/>
          <w:noProof/>
          <w:sz w:val="20"/>
          <w:szCs w:val="24"/>
        </w:rPr>
        <w:t xml:space="preserve"> </w:t>
      </w:r>
      <w:r w:rsidRPr="00EA33C7">
        <w:rPr>
          <w:rFonts w:ascii="Arial" w:hAnsi="Arial" w:cs="Arial"/>
          <w:b/>
          <w:bCs/>
          <w:noProof/>
          <w:sz w:val="20"/>
          <w:szCs w:val="24"/>
        </w:rPr>
        <w:t>30</w:t>
      </w:r>
      <w:r w:rsidRPr="00EA33C7">
        <w:rPr>
          <w:rFonts w:ascii="Arial" w:hAnsi="Arial" w:cs="Arial"/>
          <w:noProof/>
          <w:sz w:val="20"/>
          <w:szCs w:val="24"/>
        </w:rPr>
        <w:t>, 6–10.</w:t>
      </w:r>
    </w:p>
    <w:p w14:paraId="1D685D28"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16.</w:t>
      </w:r>
      <w:r w:rsidRPr="00EA33C7">
        <w:rPr>
          <w:rFonts w:ascii="Arial" w:hAnsi="Arial" w:cs="Arial"/>
          <w:noProof/>
          <w:sz w:val="20"/>
          <w:szCs w:val="24"/>
        </w:rPr>
        <w:tab/>
        <w:t xml:space="preserve">Grant, S.W., Hickey, G.L. and Head, S.J. (2019) Statistical primer: Multivariable regression considerations and pitfalls. </w:t>
      </w:r>
      <w:r w:rsidRPr="00EA33C7">
        <w:rPr>
          <w:rFonts w:ascii="Arial" w:hAnsi="Arial" w:cs="Arial"/>
          <w:i/>
          <w:iCs/>
          <w:noProof/>
          <w:sz w:val="20"/>
          <w:szCs w:val="24"/>
        </w:rPr>
        <w:t>Eur. J. Cardio-thoracic Surg.</w:t>
      </w:r>
      <w:r w:rsidRPr="00EA33C7">
        <w:rPr>
          <w:rFonts w:ascii="Arial" w:hAnsi="Arial" w:cs="Arial"/>
          <w:noProof/>
          <w:sz w:val="20"/>
          <w:szCs w:val="24"/>
        </w:rPr>
        <w:t xml:space="preserve"> </w:t>
      </w:r>
      <w:r w:rsidRPr="00EA33C7">
        <w:rPr>
          <w:rFonts w:ascii="Arial" w:hAnsi="Arial" w:cs="Arial"/>
          <w:b/>
          <w:bCs/>
          <w:noProof/>
          <w:sz w:val="20"/>
          <w:szCs w:val="24"/>
        </w:rPr>
        <w:t>55</w:t>
      </w:r>
      <w:r w:rsidRPr="00EA33C7">
        <w:rPr>
          <w:rFonts w:ascii="Arial" w:hAnsi="Arial" w:cs="Arial"/>
          <w:noProof/>
          <w:sz w:val="20"/>
          <w:szCs w:val="24"/>
        </w:rPr>
        <w:t>, 179–185.</w:t>
      </w:r>
    </w:p>
    <w:p w14:paraId="47CA8B6B"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17.</w:t>
      </w:r>
      <w:r w:rsidRPr="00EA33C7">
        <w:rPr>
          <w:rFonts w:ascii="Arial" w:hAnsi="Arial" w:cs="Arial"/>
          <w:noProof/>
          <w:sz w:val="20"/>
          <w:szCs w:val="24"/>
        </w:rPr>
        <w:tab/>
        <w:t xml:space="preserve">Harrell, Frank, E., Lee, K.L. and Mark, D.B. (1996) Tutorial in Biostatistics Multivariable Prognositc Models : Issues in Developing Models , Evaluating Assumotions and Adequacy, and Measuring and Reducing Errors. </w:t>
      </w:r>
      <w:r w:rsidRPr="00EA33C7">
        <w:rPr>
          <w:rFonts w:ascii="Arial" w:hAnsi="Arial" w:cs="Arial"/>
          <w:b/>
          <w:bCs/>
          <w:noProof/>
          <w:sz w:val="20"/>
          <w:szCs w:val="24"/>
        </w:rPr>
        <w:t>15</w:t>
      </w:r>
      <w:r w:rsidRPr="00EA33C7">
        <w:rPr>
          <w:rFonts w:ascii="Arial" w:hAnsi="Arial" w:cs="Arial"/>
          <w:noProof/>
          <w:sz w:val="20"/>
          <w:szCs w:val="24"/>
        </w:rPr>
        <w:t>, 361–387.</w:t>
      </w:r>
    </w:p>
    <w:p w14:paraId="40535114"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18.</w:t>
      </w:r>
      <w:r w:rsidRPr="00EA33C7">
        <w:rPr>
          <w:rFonts w:ascii="Arial" w:hAnsi="Arial" w:cs="Arial"/>
          <w:noProof/>
          <w:sz w:val="20"/>
          <w:szCs w:val="24"/>
        </w:rPr>
        <w:tab/>
        <w:t xml:space="preserve">Simon, R. and Makuch, R.N. (1984) A non-parametric graphical representation of the relationship between survival and the occurrence of an event: application to responder versus non-responder bias. </w:t>
      </w:r>
      <w:r w:rsidRPr="00EA33C7">
        <w:rPr>
          <w:rFonts w:ascii="Arial" w:hAnsi="Arial" w:cs="Arial"/>
          <w:i/>
          <w:iCs/>
          <w:noProof/>
          <w:sz w:val="20"/>
          <w:szCs w:val="24"/>
        </w:rPr>
        <w:t>Stat Med.</w:t>
      </w:r>
      <w:r w:rsidRPr="00EA33C7">
        <w:rPr>
          <w:rFonts w:ascii="Arial" w:hAnsi="Arial" w:cs="Arial"/>
          <w:noProof/>
          <w:sz w:val="20"/>
          <w:szCs w:val="24"/>
        </w:rPr>
        <w:t xml:space="preserve"> </w:t>
      </w:r>
      <w:r w:rsidRPr="00EA33C7">
        <w:rPr>
          <w:rFonts w:ascii="Arial" w:hAnsi="Arial" w:cs="Arial"/>
          <w:b/>
          <w:bCs/>
          <w:noProof/>
          <w:sz w:val="20"/>
          <w:szCs w:val="24"/>
        </w:rPr>
        <w:t>3</w:t>
      </w:r>
      <w:r w:rsidRPr="00EA33C7">
        <w:rPr>
          <w:rFonts w:ascii="Arial" w:hAnsi="Arial" w:cs="Arial"/>
          <w:noProof/>
          <w:sz w:val="20"/>
          <w:szCs w:val="24"/>
        </w:rPr>
        <w:t>, 35–44.</w:t>
      </w:r>
    </w:p>
    <w:p w14:paraId="575A3180"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lastRenderedPageBreak/>
        <w:t>19.</w:t>
      </w:r>
      <w:r w:rsidRPr="00EA33C7">
        <w:rPr>
          <w:rFonts w:ascii="Arial" w:hAnsi="Arial" w:cs="Arial"/>
          <w:noProof/>
          <w:sz w:val="20"/>
          <w:szCs w:val="24"/>
        </w:rPr>
        <w:tab/>
        <w:t xml:space="preserve">Pollard, D., Wylie, C.E., Verheyen, K.L.P. and Newton, J.R. (2017) Assessment of horse owners’ ability to recognise equine laminitis: A cross-sectional study of 93 veterinary diagnosed cases in Great Britain.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49</w:t>
      </w:r>
      <w:r w:rsidRPr="00EA33C7">
        <w:rPr>
          <w:rFonts w:ascii="Arial" w:hAnsi="Arial" w:cs="Arial"/>
          <w:noProof/>
          <w:sz w:val="20"/>
          <w:szCs w:val="24"/>
        </w:rPr>
        <w:t>, 759–766.</w:t>
      </w:r>
    </w:p>
    <w:p w14:paraId="3A29CF0C"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20.</w:t>
      </w:r>
      <w:r w:rsidRPr="00EA33C7">
        <w:rPr>
          <w:rFonts w:ascii="Arial" w:hAnsi="Arial" w:cs="Arial"/>
          <w:noProof/>
          <w:sz w:val="20"/>
          <w:szCs w:val="24"/>
        </w:rPr>
        <w:tab/>
        <w:t xml:space="preserve">Menzies-Gow, N.J., Katz, L.M., Barker, K.J., Elliott, J., De Brauwere, M.N., Jarvis, N., Marr, C.M. and Pfeiffer, D.U. (2010) Epidemiological study of pasture-associated laminitis and concurrent risk factors in the South of England. </w:t>
      </w:r>
      <w:r w:rsidRPr="00EA33C7">
        <w:rPr>
          <w:rFonts w:ascii="Arial" w:hAnsi="Arial" w:cs="Arial"/>
          <w:i/>
          <w:iCs/>
          <w:noProof/>
          <w:sz w:val="20"/>
          <w:szCs w:val="24"/>
        </w:rPr>
        <w:t>Vet. Rec.</w:t>
      </w:r>
      <w:r w:rsidRPr="00EA33C7">
        <w:rPr>
          <w:rFonts w:ascii="Arial" w:hAnsi="Arial" w:cs="Arial"/>
          <w:noProof/>
          <w:sz w:val="20"/>
          <w:szCs w:val="24"/>
        </w:rPr>
        <w:t xml:space="preserve"> </w:t>
      </w:r>
      <w:r w:rsidRPr="00EA33C7">
        <w:rPr>
          <w:rFonts w:ascii="Arial" w:hAnsi="Arial" w:cs="Arial"/>
          <w:b/>
          <w:bCs/>
          <w:noProof/>
          <w:sz w:val="20"/>
          <w:szCs w:val="24"/>
        </w:rPr>
        <w:t>167</w:t>
      </w:r>
      <w:r w:rsidRPr="00EA33C7">
        <w:rPr>
          <w:rFonts w:ascii="Arial" w:hAnsi="Arial" w:cs="Arial"/>
          <w:noProof/>
          <w:sz w:val="20"/>
          <w:szCs w:val="24"/>
        </w:rPr>
        <w:t>, 690–4.</w:t>
      </w:r>
    </w:p>
    <w:p w14:paraId="70F8C723"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21.</w:t>
      </w:r>
      <w:r w:rsidRPr="00EA33C7">
        <w:rPr>
          <w:rFonts w:ascii="Arial" w:hAnsi="Arial" w:cs="Arial"/>
          <w:noProof/>
          <w:sz w:val="20"/>
          <w:szCs w:val="24"/>
        </w:rPr>
        <w:tab/>
        <w:t>USDA (2000) Lameness &amp; Laminitis in US Horses. https://www.aphis.usda.gov/animal_health/nahms/equine/downloads/equine98/Equine98_dr_Lameness.pdf. Accessed October 7, 2020.</w:t>
      </w:r>
    </w:p>
    <w:p w14:paraId="12FC8A5F"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22.</w:t>
      </w:r>
      <w:r w:rsidRPr="00EA33C7">
        <w:rPr>
          <w:rFonts w:ascii="Arial" w:hAnsi="Arial" w:cs="Arial"/>
          <w:noProof/>
          <w:sz w:val="20"/>
          <w:szCs w:val="24"/>
        </w:rPr>
        <w:tab/>
        <w:t xml:space="preserve">Luthersson, N., Mannfalk, M., Parkin, T.D.H. and Harris, P. (2017) Laminitis: Risk factors and outcome in a group of Danish horses. </w:t>
      </w:r>
      <w:r w:rsidRPr="00EA33C7">
        <w:rPr>
          <w:rFonts w:ascii="Arial" w:hAnsi="Arial" w:cs="Arial"/>
          <w:i/>
          <w:iCs/>
          <w:noProof/>
          <w:sz w:val="20"/>
          <w:szCs w:val="24"/>
        </w:rPr>
        <w:t>J. Equine Vet. Sci.</w:t>
      </w:r>
      <w:r w:rsidRPr="00EA33C7">
        <w:rPr>
          <w:rFonts w:ascii="Arial" w:hAnsi="Arial" w:cs="Arial"/>
          <w:noProof/>
          <w:sz w:val="20"/>
          <w:szCs w:val="24"/>
        </w:rPr>
        <w:t xml:space="preserve"> </w:t>
      </w:r>
      <w:r w:rsidRPr="00EA33C7">
        <w:rPr>
          <w:rFonts w:ascii="Arial" w:hAnsi="Arial" w:cs="Arial"/>
          <w:b/>
          <w:bCs/>
          <w:noProof/>
          <w:sz w:val="20"/>
          <w:szCs w:val="24"/>
        </w:rPr>
        <w:t>53</w:t>
      </w:r>
      <w:r w:rsidRPr="00EA33C7">
        <w:rPr>
          <w:rFonts w:ascii="Arial" w:hAnsi="Arial" w:cs="Arial"/>
          <w:noProof/>
          <w:sz w:val="20"/>
          <w:szCs w:val="24"/>
        </w:rPr>
        <w:t>, 68–73.</w:t>
      </w:r>
    </w:p>
    <w:p w14:paraId="7D550D57"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23.</w:t>
      </w:r>
      <w:r w:rsidRPr="00EA33C7">
        <w:rPr>
          <w:rFonts w:ascii="Arial" w:hAnsi="Arial" w:cs="Arial"/>
          <w:noProof/>
          <w:sz w:val="20"/>
          <w:szCs w:val="24"/>
        </w:rPr>
        <w:tab/>
        <w:t xml:space="preserve">Pollard, D., Wylie, C.E., Newton, J.R. and Verheyen, K.L.P. (2019) Incidence and clinical signs of owner-reported equine laminitis in a cohort of horses and ponies in Great Britain.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51</w:t>
      </w:r>
      <w:r w:rsidRPr="00EA33C7">
        <w:rPr>
          <w:rFonts w:ascii="Arial" w:hAnsi="Arial" w:cs="Arial"/>
          <w:noProof/>
          <w:sz w:val="20"/>
          <w:szCs w:val="24"/>
        </w:rPr>
        <w:t>, 587–594.</w:t>
      </w:r>
    </w:p>
    <w:p w14:paraId="42EDB09A"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24.</w:t>
      </w:r>
      <w:r w:rsidRPr="00EA33C7">
        <w:rPr>
          <w:rFonts w:ascii="Arial" w:hAnsi="Arial" w:cs="Arial"/>
          <w:noProof/>
          <w:sz w:val="20"/>
          <w:szCs w:val="24"/>
        </w:rPr>
        <w:tab/>
        <w:t xml:space="preserve">Wylie, C.E., Collins, S.N., Verheyen, K.L.P. and Newton, J.R. (2013) Risk factors for equine laminitis: a case-control study conducted in veterinary-registered horses and ponies in Great Britain between 2009 and 2011. </w:t>
      </w:r>
      <w:r w:rsidRPr="00EA33C7">
        <w:rPr>
          <w:rFonts w:ascii="Arial" w:hAnsi="Arial" w:cs="Arial"/>
          <w:i/>
          <w:iCs/>
          <w:noProof/>
          <w:sz w:val="20"/>
          <w:szCs w:val="24"/>
        </w:rPr>
        <w:t>Vet. J.</w:t>
      </w:r>
      <w:r w:rsidRPr="00EA33C7">
        <w:rPr>
          <w:rFonts w:ascii="Arial" w:hAnsi="Arial" w:cs="Arial"/>
          <w:noProof/>
          <w:sz w:val="20"/>
          <w:szCs w:val="24"/>
        </w:rPr>
        <w:t xml:space="preserve"> </w:t>
      </w:r>
      <w:r w:rsidRPr="00EA33C7">
        <w:rPr>
          <w:rFonts w:ascii="Arial" w:hAnsi="Arial" w:cs="Arial"/>
          <w:b/>
          <w:bCs/>
          <w:noProof/>
          <w:sz w:val="20"/>
          <w:szCs w:val="24"/>
        </w:rPr>
        <w:t>198</w:t>
      </w:r>
      <w:r w:rsidRPr="00EA33C7">
        <w:rPr>
          <w:rFonts w:ascii="Arial" w:hAnsi="Arial" w:cs="Arial"/>
          <w:noProof/>
          <w:sz w:val="20"/>
          <w:szCs w:val="24"/>
        </w:rPr>
        <w:t>, 57–69.</w:t>
      </w:r>
    </w:p>
    <w:p w14:paraId="339CD04C"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25.</w:t>
      </w:r>
      <w:r w:rsidRPr="00EA33C7">
        <w:rPr>
          <w:rFonts w:ascii="Arial" w:hAnsi="Arial" w:cs="Arial"/>
          <w:noProof/>
          <w:sz w:val="20"/>
          <w:szCs w:val="24"/>
        </w:rPr>
        <w:tab/>
        <w:t xml:space="preserve">Longland, A.. and Byrd, B.. (2006) Pasture Nonstructural Carbohydrates and Equine Laminitis. </w:t>
      </w:r>
      <w:r w:rsidRPr="00EA33C7">
        <w:rPr>
          <w:rFonts w:ascii="Arial" w:hAnsi="Arial" w:cs="Arial"/>
          <w:i/>
          <w:iCs/>
          <w:noProof/>
          <w:sz w:val="20"/>
          <w:szCs w:val="24"/>
        </w:rPr>
        <w:t>J. Nutr.</w:t>
      </w:r>
      <w:r w:rsidRPr="00EA33C7">
        <w:rPr>
          <w:rFonts w:ascii="Arial" w:hAnsi="Arial" w:cs="Arial"/>
          <w:noProof/>
          <w:sz w:val="20"/>
          <w:szCs w:val="24"/>
        </w:rPr>
        <w:t xml:space="preserve"> </w:t>
      </w:r>
      <w:r w:rsidRPr="00EA33C7">
        <w:rPr>
          <w:rFonts w:ascii="Arial" w:hAnsi="Arial" w:cs="Arial"/>
          <w:b/>
          <w:bCs/>
          <w:noProof/>
          <w:sz w:val="20"/>
          <w:szCs w:val="24"/>
        </w:rPr>
        <w:t>136</w:t>
      </w:r>
      <w:r w:rsidRPr="00EA33C7">
        <w:rPr>
          <w:rFonts w:ascii="Arial" w:hAnsi="Arial" w:cs="Arial"/>
          <w:noProof/>
          <w:sz w:val="20"/>
          <w:szCs w:val="24"/>
        </w:rPr>
        <w:t>, 2099S–2102S.</w:t>
      </w:r>
    </w:p>
    <w:p w14:paraId="21EFD0F9"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26.</w:t>
      </w:r>
      <w:r w:rsidRPr="00EA33C7">
        <w:rPr>
          <w:rFonts w:ascii="Arial" w:hAnsi="Arial" w:cs="Arial"/>
          <w:noProof/>
          <w:sz w:val="20"/>
          <w:szCs w:val="24"/>
        </w:rPr>
        <w:tab/>
        <w:t xml:space="preserve">Bailey, S.R., Habershon-Butcher, J.L., Ransom, K.J., Elliott, J. and Menzies-Gow, N.J. (2008) Hypertension and insulin resistance in a mixed-breed population of ponies predisposed to laminitis. </w:t>
      </w:r>
      <w:r w:rsidRPr="00EA33C7">
        <w:rPr>
          <w:rFonts w:ascii="Arial" w:hAnsi="Arial" w:cs="Arial"/>
          <w:i/>
          <w:iCs/>
          <w:noProof/>
          <w:sz w:val="20"/>
          <w:szCs w:val="24"/>
        </w:rPr>
        <w:t>Am. J. Vet. Res.</w:t>
      </w:r>
      <w:r w:rsidRPr="00EA33C7">
        <w:rPr>
          <w:rFonts w:ascii="Arial" w:hAnsi="Arial" w:cs="Arial"/>
          <w:noProof/>
          <w:sz w:val="20"/>
          <w:szCs w:val="24"/>
        </w:rPr>
        <w:t xml:space="preserve"> </w:t>
      </w:r>
      <w:r w:rsidRPr="00EA33C7">
        <w:rPr>
          <w:rFonts w:ascii="Arial" w:hAnsi="Arial" w:cs="Arial"/>
          <w:b/>
          <w:bCs/>
          <w:noProof/>
          <w:sz w:val="20"/>
          <w:szCs w:val="24"/>
        </w:rPr>
        <w:t>69</w:t>
      </w:r>
      <w:r w:rsidRPr="00EA33C7">
        <w:rPr>
          <w:rFonts w:ascii="Arial" w:hAnsi="Arial" w:cs="Arial"/>
          <w:noProof/>
          <w:sz w:val="20"/>
          <w:szCs w:val="24"/>
        </w:rPr>
        <w:t>, 122–129.</w:t>
      </w:r>
    </w:p>
    <w:p w14:paraId="0830A060"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27.</w:t>
      </w:r>
      <w:r w:rsidRPr="00EA33C7">
        <w:rPr>
          <w:rFonts w:ascii="Arial" w:hAnsi="Arial" w:cs="Arial"/>
          <w:noProof/>
          <w:sz w:val="20"/>
          <w:szCs w:val="24"/>
        </w:rPr>
        <w:tab/>
        <w:t xml:space="preserve">Treiber, K.H., Kronfeld, D.S., Hess, T.M., Byrd, B.M., Splan, R.K. and Staniar, W.B. (2006) Evaluation of genetic and metabolic predispositions and nutritional risk factors for pasture-associated laminitis in ponies. </w:t>
      </w:r>
      <w:r w:rsidRPr="00EA33C7">
        <w:rPr>
          <w:rFonts w:ascii="Arial" w:hAnsi="Arial" w:cs="Arial"/>
          <w:i/>
          <w:iCs/>
          <w:noProof/>
          <w:sz w:val="20"/>
          <w:szCs w:val="24"/>
        </w:rPr>
        <w:t>J.Am. vet. Med. Ass.</w:t>
      </w:r>
      <w:r w:rsidRPr="00EA33C7">
        <w:rPr>
          <w:rFonts w:ascii="Arial" w:hAnsi="Arial" w:cs="Arial"/>
          <w:noProof/>
          <w:sz w:val="20"/>
          <w:szCs w:val="24"/>
        </w:rPr>
        <w:t xml:space="preserve"> </w:t>
      </w:r>
      <w:r w:rsidRPr="00EA33C7">
        <w:rPr>
          <w:rFonts w:ascii="Arial" w:hAnsi="Arial" w:cs="Arial"/>
          <w:b/>
          <w:bCs/>
          <w:noProof/>
          <w:sz w:val="20"/>
          <w:szCs w:val="24"/>
        </w:rPr>
        <w:t>228</w:t>
      </w:r>
      <w:r w:rsidRPr="00EA33C7">
        <w:rPr>
          <w:rFonts w:ascii="Arial" w:hAnsi="Arial" w:cs="Arial"/>
          <w:noProof/>
          <w:sz w:val="20"/>
          <w:szCs w:val="24"/>
        </w:rPr>
        <w:t>, 1538–1545.</w:t>
      </w:r>
    </w:p>
    <w:p w14:paraId="4C853407"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28.</w:t>
      </w:r>
      <w:r w:rsidRPr="00EA33C7">
        <w:rPr>
          <w:rFonts w:ascii="Arial" w:hAnsi="Arial" w:cs="Arial"/>
          <w:noProof/>
          <w:sz w:val="20"/>
          <w:szCs w:val="24"/>
        </w:rPr>
        <w:tab/>
        <w:t xml:space="preserve">Carter, R.A., Treiber, K.H., Geor, R.J., Douglass, L. and Harris, P.A. (2009) Prediction of incipient pasture-associated laminitis from hyperinsulinaemia, hyperleptinaemia and generalised and localised obesity in a cohort of ponies.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41</w:t>
      </w:r>
      <w:r w:rsidRPr="00EA33C7">
        <w:rPr>
          <w:rFonts w:ascii="Arial" w:hAnsi="Arial" w:cs="Arial"/>
          <w:noProof/>
          <w:sz w:val="20"/>
          <w:szCs w:val="24"/>
        </w:rPr>
        <w:t>, 171–178.</w:t>
      </w:r>
    </w:p>
    <w:p w14:paraId="2D29D061"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29.</w:t>
      </w:r>
      <w:r w:rsidRPr="00EA33C7">
        <w:rPr>
          <w:rFonts w:ascii="Arial" w:hAnsi="Arial" w:cs="Arial"/>
          <w:noProof/>
          <w:sz w:val="20"/>
          <w:szCs w:val="24"/>
        </w:rPr>
        <w:tab/>
        <w:t xml:space="preserve">Knowles, E.J., Harris, P.A., Elliott, J. and Menzies-Gow, N.J. (2016) Oral sugar test responses with or without prior fasting helps differentiate previously laminitic from nonlaminitic ponies. In: </w:t>
      </w:r>
      <w:r w:rsidRPr="00EA33C7">
        <w:rPr>
          <w:rFonts w:ascii="Arial" w:hAnsi="Arial" w:cs="Arial"/>
          <w:i/>
          <w:iCs/>
          <w:noProof/>
          <w:sz w:val="20"/>
          <w:szCs w:val="24"/>
        </w:rPr>
        <w:t>Proceedings of the British Equine Veterinary Assocation Congress</w:t>
      </w:r>
      <w:r w:rsidRPr="00EA33C7">
        <w:rPr>
          <w:rFonts w:ascii="Arial" w:hAnsi="Arial" w:cs="Arial"/>
          <w:noProof/>
          <w:sz w:val="20"/>
          <w:szCs w:val="24"/>
        </w:rPr>
        <w:t>. p 202.</w:t>
      </w:r>
    </w:p>
    <w:p w14:paraId="382BD8EE"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30.</w:t>
      </w:r>
      <w:r w:rsidRPr="00EA33C7">
        <w:rPr>
          <w:rFonts w:ascii="Arial" w:hAnsi="Arial" w:cs="Arial"/>
          <w:noProof/>
          <w:sz w:val="20"/>
          <w:szCs w:val="24"/>
        </w:rPr>
        <w:tab/>
        <w:t xml:space="preserve">Jocelyn, N.A., Harris, P.A. and Menzies-Gow, N.J. (2018) Effect of varying the dose of corn syrup on the insulin and glucose response to the oral sugar test.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50</w:t>
      </w:r>
      <w:r w:rsidRPr="00EA33C7">
        <w:rPr>
          <w:rFonts w:ascii="Arial" w:hAnsi="Arial" w:cs="Arial"/>
          <w:noProof/>
          <w:sz w:val="20"/>
          <w:szCs w:val="24"/>
        </w:rPr>
        <w:t>, 836–841.</w:t>
      </w:r>
    </w:p>
    <w:p w14:paraId="052DE513"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szCs w:val="24"/>
        </w:rPr>
      </w:pPr>
      <w:r w:rsidRPr="00EA33C7">
        <w:rPr>
          <w:rFonts w:ascii="Arial" w:hAnsi="Arial" w:cs="Arial"/>
          <w:noProof/>
          <w:sz w:val="20"/>
          <w:szCs w:val="24"/>
        </w:rPr>
        <w:t>31.</w:t>
      </w:r>
      <w:r w:rsidRPr="00EA33C7">
        <w:rPr>
          <w:rFonts w:ascii="Arial" w:hAnsi="Arial" w:cs="Arial"/>
          <w:noProof/>
          <w:sz w:val="20"/>
          <w:szCs w:val="24"/>
        </w:rPr>
        <w:tab/>
        <w:t xml:space="preserve">Bamford, N.J., Potter, S.J., Baskerville, C.L., Harris, P.A. and Bailey, S.R. (2019) Influence of dietary restriction and low-intensity exercise on weight loss and insulin sensitivity in obese equids. </w:t>
      </w:r>
      <w:r w:rsidRPr="00EA33C7">
        <w:rPr>
          <w:rFonts w:ascii="Arial" w:hAnsi="Arial" w:cs="Arial"/>
          <w:i/>
          <w:iCs/>
          <w:noProof/>
          <w:sz w:val="20"/>
          <w:szCs w:val="24"/>
        </w:rPr>
        <w:t>J. Vet. Intern. Med.</w:t>
      </w:r>
      <w:r w:rsidRPr="00EA33C7">
        <w:rPr>
          <w:rFonts w:ascii="Arial" w:hAnsi="Arial" w:cs="Arial"/>
          <w:noProof/>
          <w:sz w:val="20"/>
          <w:szCs w:val="24"/>
        </w:rPr>
        <w:t xml:space="preserve"> </w:t>
      </w:r>
      <w:r w:rsidRPr="00EA33C7">
        <w:rPr>
          <w:rFonts w:ascii="Arial" w:hAnsi="Arial" w:cs="Arial"/>
          <w:b/>
          <w:bCs/>
          <w:noProof/>
          <w:sz w:val="20"/>
          <w:szCs w:val="24"/>
        </w:rPr>
        <w:t>33</w:t>
      </w:r>
      <w:r w:rsidRPr="00EA33C7">
        <w:rPr>
          <w:rFonts w:ascii="Arial" w:hAnsi="Arial" w:cs="Arial"/>
          <w:noProof/>
          <w:sz w:val="20"/>
          <w:szCs w:val="24"/>
        </w:rPr>
        <w:t>, 280–286.</w:t>
      </w:r>
    </w:p>
    <w:p w14:paraId="4CB9CFBC" w14:textId="77777777" w:rsidR="00EA33C7" w:rsidRPr="00EA33C7" w:rsidRDefault="00EA33C7" w:rsidP="00EA33C7">
      <w:pPr>
        <w:widowControl w:val="0"/>
        <w:autoSpaceDE w:val="0"/>
        <w:autoSpaceDN w:val="0"/>
        <w:adjustRightInd w:val="0"/>
        <w:spacing w:line="240" w:lineRule="auto"/>
        <w:ind w:left="640" w:hanging="640"/>
        <w:rPr>
          <w:rFonts w:ascii="Arial" w:hAnsi="Arial" w:cs="Arial"/>
          <w:noProof/>
          <w:sz w:val="20"/>
        </w:rPr>
      </w:pPr>
      <w:r w:rsidRPr="00EA33C7">
        <w:rPr>
          <w:rFonts w:ascii="Arial" w:hAnsi="Arial" w:cs="Arial"/>
          <w:noProof/>
          <w:sz w:val="20"/>
          <w:szCs w:val="24"/>
        </w:rPr>
        <w:t>32.</w:t>
      </w:r>
      <w:r w:rsidRPr="00EA33C7">
        <w:rPr>
          <w:rFonts w:ascii="Arial" w:hAnsi="Arial" w:cs="Arial"/>
          <w:noProof/>
          <w:sz w:val="20"/>
          <w:szCs w:val="24"/>
        </w:rPr>
        <w:tab/>
        <w:t xml:space="preserve">Jacob, S.I., Geor, R.J., Weber, P.S.D., Harris, P.A. and McCue, M.E. (2018) Effect of age and dietary carbohydrate profiles on glucose and insulin dynamics in horses. </w:t>
      </w:r>
      <w:r w:rsidRPr="00EA33C7">
        <w:rPr>
          <w:rFonts w:ascii="Arial" w:hAnsi="Arial" w:cs="Arial"/>
          <w:i/>
          <w:iCs/>
          <w:noProof/>
          <w:sz w:val="20"/>
          <w:szCs w:val="24"/>
        </w:rPr>
        <w:t>Equine Vet. J.</w:t>
      </w:r>
      <w:r w:rsidRPr="00EA33C7">
        <w:rPr>
          <w:rFonts w:ascii="Arial" w:hAnsi="Arial" w:cs="Arial"/>
          <w:noProof/>
          <w:sz w:val="20"/>
          <w:szCs w:val="24"/>
        </w:rPr>
        <w:t xml:space="preserve"> </w:t>
      </w:r>
      <w:r w:rsidRPr="00EA33C7">
        <w:rPr>
          <w:rFonts w:ascii="Arial" w:hAnsi="Arial" w:cs="Arial"/>
          <w:b/>
          <w:bCs/>
          <w:noProof/>
          <w:sz w:val="20"/>
          <w:szCs w:val="24"/>
        </w:rPr>
        <w:t>50</w:t>
      </w:r>
      <w:r w:rsidRPr="00EA33C7">
        <w:rPr>
          <w:rFonts w:ascii="Arial" w:hAnsi="Arial" w:cs="Arial"/>
          <w:noProof/>
          <w:sz w:val="20"/>
          <w:szCs w:val="24"/>
        </w:rPr>
        <w:t>, 249–254.</w:t>
      </w:r>
    </w:p>
    <w:p w14:paraId="714295B0" w14:textId="38D695A1" w:rsidR="0040589E" w:rsidRPr="0097679B" w:rsidRDefault="001456F0" w:rsidP="0040589E">
      <w:pPr>
        <w:rPr>
          <w:rFonts w:ascii="Arial" w:hAnsi="Arial" w:cs="Arial"/>
          <w:sz w:val="20"/>
          <w:szCs w:val="20"/>
        </w:rPr>
      </w:pPr>
      <w:r w:rsidRPr="0097679B">
        <w:rPr>
          <w:rFonts w:ascii="Arial" w:hAnsi="Arial" w:cs="Arial"/>
          <w:sz w:val="20"/>
          <w:szCs w:val="20"/>
        </w:rPr>
        <w:fldChar w:fldCharType="end"/>
      </w:r>
    </w:p>
    <w:sectPr w:rsidR="0040589E" w:rsidRPr="0097679B" w:rsidSect="00795193">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510B" w16cex:dateUtc="2021-11-09T19:56:00Z"/>
  <w16cex:commentExtensible w16cex:durableId="253550C3" w16cex:dateUtc="2021-11-09T19:55:00Z"/>
  <w16cex:commentExtensible w16cex:durableId="25355175" w16cex:dateUtc="2021-11-09T19:58:00Z"/>
  <w16cex:commentExtensible w16cex:durableId="2522B7FB" w16cex:dateUtc="2021-10-26T16:23:00Z"/>
  <w16cex:commentExtensible w16cex:durableId="2522B8C5" w16cex:dateUtc="2021-10-26T16:26:00Z"/>
  <w16cex:commentExtensible w16cex:durableId="2522B9EF" w16cex:dateUtc="2021-10-26T16:31:00Z"/>
  <w16cex:commentExtensible w16cex:durableId="25355302" w16cex:dateUtc="2021-11-09T20:05:00Z"/>
  <w16cex:commentExtensible w16cex:durableId="251D761A" w16cex:dateUtc="2021-10-22T16:40:00Z"/>
  <w16cex:commentExtensible w16cex:durableId="25355537" w16cex:dateUtc="2021-11-09T20:14:00Z"/>
  <w16cex:commentExtensible w16cex:durableId="253555EF" w16cex:dateUtc="2021-11-09T20:17:00Z"/>
  <w16cex:commentExtensible w16cex:durableId="2535571F" w16cex:dateUtc="2021-11-09T20:22:00Z"/>
  <w16cex:commentExtensible w16cex:durableId="253557A2" w16cex:dateUtc="2021-11-09T20:25:00Z"/>
  <w16cex:commentExtensible w16cex:durableId="251D7FC4" w16cex:dateUtc="2021-10-22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F5D571" w16cid:durableId="2535510B"/>
  <w16cid:commentId w16cid:paraId="20A01404" w16cid:durableId="253550C3"/>
  <w16cid:commentId w16cid:paraId="1102A071" w16cid:durableId="25354FFA"/>
  <w16cid:commentId w16cid:paraId="5DEADB2B" w16cid:durableId="25355175"/>
  <w16cid:commentId w16cid:paraId="4E40CE9C" w16cid:durableId="2522B7FB"/>
  <w16cid:commentId w16cid:paraId="7398C416" w16cid:durableId="25354FFC"/>
  <w16cid:commentId w16cid:paraId="351A8AE2" w16cid:durableId="2522B8C5"/>
  <w16cid:commentId w16cid:paraId="42FB82EA" w16cid:durableId="25354FFE"/>
  <w16cid:commentId w16cid:paraId="2267AC8F" w16cid:durableId="2522B9EF"/>
  <w16cid:commentId w16cid:paraId="60A47498" w16cid:durableId="25355000"/>
  <w16cid:commentId w16cid:paraId="067E7757" w16cid:durableId="25355302"/>
  <w16cid:commentId w16cid:paraId="159740AA" w16cid:durableId="25355001"/>
  <w16cid:commentId w16cid:paraId="0096D7DE" w16cid:durableId="251D761A"/>
  <w16cid:commentId w16cid:paraId="47979C3B" w16cid:durableId="25355003"/>
  <w16cid:commentId w16cid:paraId="6CA24D2C" w16cid:durableId="25355537"/>
  <w16cid:commentId w16cid:paraId="4181E983" w16cid:durableId="253555EF"/>
  <w16cid:commentId w16cid:paraId="2A294371" w16cid:durableId="2535571F"/>
  <w16cid:commentId w16cid:paraId="6A15130F" w16cid:durableId="253557A2"/>
  <w16cid:commentId w16cid:paraId="5A76CDA5" w16cid:durableId="251D7FC4"/>
  <w16cid:commentId w16cid:paraId="58EFBD44" w16cid:durableId="253550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6201" w14:textId="77777777" w:rsidR="00F427EF" w:rsidRDefault="00F427EF" w:rsidP="000617A0">
      <w:pPr>
        <w:spacing w:after="0" w:line="240" w:lineRule="auto"/>
      </w:pPr>
      <w:r>
        <w:separator/>
      </w:r>
    </w:p>
  </w:endnote>
  <w:endnote w:type="continuationSeparator" w:id="0">
    <w:p w14:paraId="2DF30BDD" w14:textId="77777777" w:rsidR="00F427EF" w:rsidRDefault="00F427EF" w:rsidP="0006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8E01" w14:textId="77777777" w:rsidR="00F427EF" w:rsidRDefault="00F427EF" w:rsidP="000617A0">
      <w:pPr>
        <w:spacing w:after="0" w:line="240" w:lineRule="auto"/>
      </w:pPr>
      <w:r>
        <w:separator/>
      </w:r>
    </w:p>
  </w:footnote>
  <w:footnote w:type="continuationSeparator" w:id="0">
    <w:p w14:paraId="2F1C54CE" w14:textId="77777777" w:rsidR="00F427EF" w:rsidRDefault="00F427EF" w:rsidP="00061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6FA"/>
    <w:multiLevelType w:val="multilevel"/>
    <w:tmpl w:val="235E4F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5331B"/>
    <w:multiLevelType w:val="multilevel"/>
    <w:tmpl w:val="C2ACF3E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B05253E"/>
    <w:multiLevelType w:val="multilevel"/>
    <w:tmpl w:val="EC86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03A46"/>
    <w:multiLevelType w:val="hybridMultilevel"/>
    <w:tmpl w:val="4AF03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F4BA0"/>
    <w:multiLevelType w:val="multilevel"/>
    <w:tmpl w:val="7B1684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A0633E4"/>
    <w:multiLevelType w:val="hybridMultilevel"/>
    <w:tmpl w:val="A3F22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0A"/>
    <w:rsid w:val="000039D5"/>
    <w:rsid w:val="000052F6"/>
    <w:rsid w:val="00005F76"/>
    <w:rsid w:val="00012708"/>
    <w:rsid w:val="00015C51"/>
    <w:rsid w:val="000211A3"/>
    <w:rsid w:val="00027D83"/>
    <w:rsid w:val="000342A3"/>
    <w:rsid w:val="000349CF"/>
    <w:rsid w:val="00034AB9"/>
    <w:rsid w:val="00036F5D"/>
    <w:rsid w:val="00037B43"/>
    <w:rsid w:val="00041718"/>
    <w:rsid w:val="00042DB5"/>
    <w:rsid w:val="00046862"/>
    <w:rsid w:val="00052D41"/>
    <w:rsid w:val="000617A0"/>
    <w:rsid w:val="0006268E"/>
    <w:rsid w:val="00070C34"/>
    <w:rsid w:val="00076164"/>
    <w:rsid w:val="00080693"/>
    <w:rsid w:val="000831D1"/>
    <w:rsid w:val="0008368D"/>
    <w:rsid w:val="000838C0"/>
    <w:rsid w:val="00097220"/>
    <w:rsid w:val="000A106E"/>
    <w:rsid w:val="000A6E37"/>
    <w:rsid w:val="000B5AB6"/>
    <w:rsid w:val="000B6ADD"/>
    <w:rsid w:val="000C5B80"/>
    <w:rsid w:val="000C7684"/>
    <w:rsid w:val="000D3116"/>
    <w:rsid w:val="000D5CF0"/>
    <w:rsid w:val="000E1949"/>
    <w:rsid w:val="000E3595"/>
    <w:rsid w:val="00105E12"/>
    <w:rsid w:val="00116811"/>
    <w:rsid w:val="00116F72"/>
    <w:rsid w:val="00121FCF"/>
    <w:rsid w:val="00125707"/>
    <w:rsid w:val="00132A7C"/>
    <w:rsid w:val="00135A40"/>
    <w:rsid w:val="0013736E"/>
    <w:rsid w:val="00142504"/>
    <w:rsid w:val="00144E73"/>
    <w:rsid w:val="001456F0"/>
    <w:rsid w:val="00151D87"/>
    <w:rsid w:val="00156F48"/>
    <w:rsid w:val="0015772E"/>
    <w:rsid w:val="001767E1"/>
    <w:rsid w:val="0017698B"/>
    <w:rsid w:val="00183C50"/>
    <w:rsid w:val="00185D61"/>
    <w:rsid w:val="0019040A"/>
    <w:rsid w:val="001916AE"/>
    <w:rsid w:val="001A601A"/>
    <w:rsid w:val="001C2196"/>
    <w:rsid w:val="001C3BE8"/>
    <w:rsid w:val="001C632F"/>
    <w:rsid w:val="001D2F20"/>
    <w:rsid w:val="001E2D72"/>
    <w:rsid w:val="002008B4"/>
    <w:rsid w:val="00223BF4"/>
    <w:rsid w:val="00224566"/>
    <w:rsid w:val="00225C8E"/>
    <w:rsid w:val="002407CB"/>
    <w:rsid w:val="00241E7A"/>
    <w:rsid w:val="002472F9"/>
    <w:rsid w:val="00250B2A"/>
    <w:rsid w:val="00256CA9"/>
    <w:rsid w:val="00260C2B"/>
    <w:rsid w:val="00264511"/>
    <w:rsid w:val="002668D7"/>
    <w:rsid w:val="0027365E"/>
    <w:rsid w:val="002804C7"/>
    <w:rsid w:val="00287DBA"/>
    <w:rsid w:val="0029152E"/>
    <w:rsid w:val="002923CD"/>
    <w:rsid w:val="002A777D"/>
    <w:rsid w:val="002B3DF0"/>
    <w:rsid w:val="002C2B33"/>
    <w:rsid w:val="002C5068"/>
    <w:rsid w:val="002C6596"/>
    <w:rsid w:val="002D4501"/>
    <w:rsid w:val="002E6B55"/>
    <w:rsid w:val="00300EC0"/>
    <w:rsid w:val="00302CCF"/>
    <w:rsid w:val="00316792"/>
    <w:rsid w:val="00322339"/>
    <w:rsid w:val="0032395E"/>
    <w:rsid w:val="00330D09"/>
    <w:rsid w:val="003348A2"/>
    <w:rsid w:val="003612A5"/>
    <w:rsid w:val="00361C6B"/>
    <w:rsid w:val="0038385E"/>
    <w:rsid w:val="00383D0C"/>
    <w:rsid w:val="00390EAF"/>
    <w:rsid w:val="00396C71"/>
    <w:rsid w:val="003A0C1B"/>
    <w:rsid w:val="003B502F"/>
    <w:rsid w:val="003B7C09"/>
    <w:rsid w:val="003C6AAF"/>
    <w:rsid w:val="003D5E67"/>
    <w:rsid w:val="003D7242"/>
    <w:rsid w:val="0040589E"/>
    <w:rsid w:val="00410A14"/>
    <w:rsid w:val="00423648"/>
    <w:rsid w:val="00430788"/>
    <w:rsid w:val="00433536"/>
    <w:rsid w:val="00435C22"/>
    <w:rsid w:val="00453775"/>
    <w:rsid w:val="004551A6"/>
    <w:rsid w:val="00460511"/>
    <w:rsid w:val="00461299"/>
    <w:rsid w:val="00464B96"/>
    <w:rsid w:val="00466CA0"/>
    <w:rsid w:val="0047490C"/>
    <w:rsid w:val="0049556F"/>
    <w:rsid w:val="004B5CF4"/>
    <w:rsid w:val="004D6E78"/>
    <w:rsid w:val="00501B35"/>
    <w:rsid w:val="00501E92"/>
    <w:rsid w:val="0050707D"/>
    <w:rsid w:val="00525CF1"/>
    <w:rsid w:val="00536850"/>
    <w:rsid w:val="00540167"/>
    <w:rsid w:val="00550303"/>
    <w:rsid w:val="005551AB"/>
    <w:rsid w:val="00556208"/>
    <w:rsid w:val="00577111"/>
    <w:rsid w:val="00584C79"/>
    <w:rsid w:val="005B6389"/>
    <w:rsid w:val="005D3F62"/>
    <w:rsid w:val="005D59F9"/>
    <w:rsid w:val="005E1532"/>
    <w:rsid w:val="005E3C62"/>
    <w:rsid w:val="005E3EC1"/>
    <w:rsid w:val="00602519"/>
    <w:rsid w:val="00606BB8"/>
    <w:rsid w:val="00674856"/>
    <w:rsid w:val="00683DB5"/>
    <w:rsid w:val="0069047F"/>
    <w:rsid w:val="00695822"/>
    <w:rsid w:val="00695B01"/>
    <w:rsid w:val="006960E8"/>
    <w:rsid w:val="00696C01"/>
    <w:rsid w:val="00697D44"/>
    <w:rsid w:val="006A2B58"/>
    <w:rsid w:val="006A6052"/>
    <w:rsid w:val="006B2F65"/>
    <w:rsid w:val="006B300A"/>
    <w:rsid w:val="006C727E"/>
    <w:rsid w:val="006C7D32"/>
    <w:rsid w:val="006D4655"/>
    <w:rsid w:val="006D5E5C"/>
    <w:rsid w:val="006D796D"/>
    <w:rsid w:val="006E5455"/>
    <w:rsid w:val="006F7D52"/>
    <w:rsid w:val="007005DC"/>
    <w:rsid w:val="007021E8"/>
    <w:rsid w:val="00702320"/>
    <w:rsid w:val="00704532"/>
    <w:rsid w:val="00705D41"/>
    <w:rsid w:val="00712327"/>
    <w:rsid w:val="00715015"/>
    <w:rsid w:val="00720F00"/>
    <w:rsid w:val="00731A74"/>
    <w:rsid w:val="00735678"/>
    <w:rsid w:val="00736272"/>
    <w:rsid w:val="0074136A"/>
    <w:rsid w:val="00745CAF"/>
    <w:rsid w:val="00751BFB"/>
    <w:rsid w:val="007574F8"/>
    <w:rsid w:val="00765202"/>
    <w:rsid w:val="00771C82"/>
    <w:rsid w:val="007736B4"/>
    <w:rsid w:val="0077683E"/>
    <w:rsid w:val="007840AC"/>
    <w:rsid w:val="0078433E"/>
    <w:rsid w:val="007913CF"/>
    <w:rsid w:val="00795193"/>
    <w:rsid w:val="007A2C72"/>
    <w:rsid w:val="007B17A3"/>
    <w:rsid w:val="007B2F1D"/>
    <w:rsid w:val="007C6BF7"/>
    <w:rsid w:val="007D5CF4"/>
    <w:rsid w:val="007E1135"/>
    <w:rsid w:val="007F056D"/>
    <w:rsid w:val="007F54DE"/>
    <w:rsid w:val="008006E1"/>
    <w:rsid w:val="00816CF2"/>
    <w:rsid w:val="00822EB3"/>
    <w:rsid w:val="008500D5"/>
    <w:rsid w:val="00850F9F"/>
    <w:rsid w:val="008575B1"/>
    <w:rsid w:val="008749C8"/>
    <w:rsid w:val="00874FA4"/>
    <w:rsid w:val="00876734"/>
    <w:rsid w:val="00887FD1"/>
    <w:rsid w:val="00894481"/>
    <w:rsid w:val="008A08FE"/>
    <w:rsid w:val="008C1D47"/>
    <w:rsid w:val="008E0673"/>
    <w:rsid w:val="008E5C45"/>
    <w:rsid w:val="008E7FDB"/>
    <w:rsid w:val="008F2597"/>
    <w:rsid w:val="00900C36"/>
    <w:rsid w:val="00904287"/>
    <w:rsid w:val="00913292"/>
    <w:rsid w:val="00920B85"/>
    <w:rsid w:val="00923604"/>
    <w:rsid w:val="00927652"/>
    <w:rsid w:val="009306F2"/>
    <w:rsid w:val="00941D79"/>
    <w:rsid w:val="00944774"/>
    <w:rsid w:val="00944C00"/>
    <w:rsid w:val="00946A7D"/>
    <w:rsid w:val="009523B1"/>
    <w:rsid w:val="009532C7"/>
    <w:rsid w:val="00956EB7"/>
    <w:rsid w:val="0097247D"/>
    <w:rsid w:val="0097679B"/>
    <w:rsid w:val="009827B0"/>
    <w:rsid w:val="009926A0"/>
    <w:rsid w:val="009A450D"/>
    <w:rsid w:val="009C1635"/>
    <w:rsid w:val="009C7E86"/>
    <w:rsid w:val="009D0CF9"/>
    <w:rsid w:val="009D7A3B"/>
    <w:rsid w:val="009E62E3"/>
    <w:rsid w:val="009F0DF5"/>
    <w:rsid w:val="009F3E61"/>
    <w:rsid w:val="00A0478E"/>
    <w:rsid w:val="00A0483B"/>
    <w:rsid w:val="00A072CA"/>
    <w:rsid w:val="00A51AA9"/>
    <w:rsid w:val="00A62888"/>
    <w:rsid w:val="00A62A4D"/>
    <w:rsid w:val="00A6780B"/>
    <w:rsid w:val="00A71F98"/>
    <w:rsid w:val="00A7591F"/>
    <w:rsid w:val="00A77A80"/>
    <w:rsid w:val="00A84425"/>
    <w:rsid w:val="00A95DAC"/>
    <w:rsid w:val="00AA3803"/>
    <w:rsid w:val="00AA49D3"/>
    <w:rsid w:val="00AA5A48"/>
    <w:rsid w:val="00AB50CC"/>
    <w:rsid w:val="00AC316F"/>
    <w:rsid w:val="00AC6CED"/>
    <w:rsid w:val="00AE3406"/>
    <w:rsid w:val="00B026D4"/>
    <w:rsid w:val="00B03F80"/>
    <w:rsid w:val="00B05321"/>
    <w:rsid w:val="00B06476"/>
    <w:rsid w:val="00B25137"/>
    <w:rsid w:val="00B3168D"/>
    <w:rsid w:val="00B32BEF"/>
    <w:rsid w:val="00B420E0"/>
    <w:rsid w:val="00B55D00"/>
    <w:rsid w:val="00B632EB"/>
    <w:rsid w:val="00B64213"/>
    <w:rsid w:val="00B734D5"/>
    <w:rsid w:val="00B75112"/>
    <w:rsid w:val="00B7528D"/>
    <w:rsid w:val="00B92695"/>
    <w:rsid w:val="00BA15FE"/>
    <w:rsid w:val="00BA39FF"/>
    <w:rsid w:val="00BA51A1"/>
    <w:rsid w:val="00BB7081"/>
    <w:rsid w:val="00BB7B3E"/>
    <w:rsid w:val="00BC6AF8"/>
    <w:rsid w:val="00BD28AA"/>
    <w:rsid w:val="00BF1604"/>
    <w:rsid w:val="00BF2679"/>
    <w:rsid w:val="00C00271"/>
    <w:rsid w:val="00C0588D"/>
    <w:rsid w:val="00C1572F"/>
    <w:rsid w:val="00C1677A"/>
    <w:rsid w:val="00C417DD"/>
    <w:rsid w:val="00C558F4"/>
    <w:rsid w:val="00C57AFD"/>
    <w:rsid w:val="00C6477D"/>
    <w:rsid w:val="00C65253"/>
    <w:rsid w:val="00C66C6B"/>
    <w:rsid w:val="00C67423"/>
    <w:rsid w:val="00C74355"/>
    <w:rsid w:val="00C904DF"/>
    <w:rsid w:val="00C91938"/>
    <w:rsid w:val="00C9324C"/>
    <w:rsid w:val="00CA3644"/>
    <w:rsid w:val="00CC01C5"/>
    <w:rsid w:val="00CE1AD7"/>
    <w:rsid w:val="00CF6EDE"/>
    <w:rsid w:val="00D00B3C"/>
    <w:rsid w:val="00D115B7"/>
    <w:rsid w:val="00D11B49"/>
    <w:rsid w:val="00D2055B"/>
    <w:rsid w:val="00D27713"/>
    <w:rsid w:val="00D404DF"/>
    <w:rsid w:val="00D43269"/>
    <w:rsid w:val="00D564E1"/>
    <w:rsid w:val="00D57982"/>
    <w:rsid w:val="00D6437C"/>
    <w:rsid w:val="00D9114A"/>
    <w:rsid w:val="00DA2601"/>
    <w:rsid w:val="00DA3DD5"/>
    <w:rsid w:val="00DB14EB"/>
    <w:rsid w:val="00DB16B8"/>
    <w:rsid w:val="00DB289B"/>
    <w:rsid w:val="00DB6C0F"/>
    <w:rsid w:val="00DE0DA7"/>
    <w:rsid w:val="00DE48F4"/>
    <w:rsid w:val="00DF026B"/>
    <w:rsid w:val="00DF2A18"/>
    <w:rsid w:val="00E00B48"/>
    <w:rsid w:val="00E37275"/>
    <w:rsid w:val="00E439C1"/>
    <w:rsid w:val="00E525DF"/>
    <w:rsid w:val="00E7685B"/>
    <w:rsid w:val="00E84607"/>
    <w:rsid w:val="00E874D7"/>
    <w:rsid w:val="00EA2DF6"/>
    <w:rsid w:val="00EA33C7"/>
    <w:rsid w:val="00EA6A3D"/>
    <w:rsid w:val="00EA7147"/>
    <w:rsid w:val="00EB4E9E"/>
    <w:rsid w:val="00EB565D"/>
    <w:rsid w:val="00EB7A29"/>
    <w:rsid w:val="00EC13C1"/>
    <w:rsid w:val="00EC34F8"/>
    <w:rsid w:val="00EC48EF"/>
    <w:rsid w:val="00EC6EDB"/>
    <w:rsid w:val="00ED243F"/>
    <w:rsid w:val="00EF1F0E"/>
    <w:rsid w:val="00EF3157"/>
    <w:rsid w:val="00F06A5B"/>
    <w:rsid w:val="00F206C0"/>
    <w:rsid w:val="00F22AB1"/>
    <w:rsid w:val="00F24AD9"/>
    <w:rsid w:val="00F4021A"/>
    <w:rsid w:val="00F40D3A"/>
    <w:rsid w:val="00F427EF"/>
    <w:rsid w:val="00F5044F"/>
    <w:rsid w:val="00F5209E"/>
    <w:rsid w:val="00F5425B"/>
    <w:rsid w:val="00F55208"/>
    <w:rsid w:val="00F55A33"/>
    <w:rsid w:val="00F66C5B"/>
    <w:rsid w:val="00F71131"/>
    <w:rsid w:val="00F809D0"/>
    <w:rsid w:val="00F952AB"/>
    <w:rsid w:val="00F9624A"/>
    <w:rsid w:val="00FC6DB9"/>
    <w:rsid w:val="00FD09CD"/>
    <w:rsid w:val="00FD3881"/>
    <w:rsid w:val="00FF2C4B"/>
    <w:rsid w:val="00FF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6EE6C6"/>
  <w15:chartTrackingRefBased/>
  <w15:docId w15:val="{4AB3CA08-AE8D-4C27-A807-1F6B00BE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1E92"/>
    <w:pPr>
      <w:keepNext/>
      <w:keepLines/>
      <w:numPr>
        <w:numId w:val="2"/>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501E92"/>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paragraph">
    <w:name w:val="Thesis paragraph"/>
    <w:basedOn w:val="Normal"/>
    <w:qFormat/>
    <w:rsid w:val="00501E92"/>
    <w:pPr>
      <w:keepNext/>
      <w:keepLines/>
      <w:spacing w:line="360" w:lineRule="auto"/>
      <w:jc w:val="both"/>
    </w:pPr>
  </w:style>
  <w:style w:type="character" w:customStyle="1" w:styleId="Heading1Char">
    <w:name w:val="Heading 1 Char"/>
    <w:basedOn w:val="DefaultParagraphFont"/>
    <w:link w:val="Heading1"/>
    <w:uiPriority w:val="9"/>
    <w:rsid w:val="00501E92"/>
    <w:rPr>
      <w:rFonts w:asciiTheme="majorHAnsi" w:eastAsiaTheme="majorEastAsia" w:hAnsiTheme="majorHAnsi" w:cstheme="majorBidi"/>
      <w:sz w:val="32"/>
      <w:szCs w:val="32"/>
    </w:rPr>
  </w:style>
  <w:style w:type="paragraph" w:customStyle="1" w:styleId="picture">
    <w:name w:val="picture"/>
    <w:basedOn w:val="Thesisparagraph"/>
    <w:qFormat/>
    <w:rsid w:val="00501E92"/>
    <w:pPr>
      <w:jc w:val="center"/>
    </w:pPr>
  </w:style>
  <w:style w:type="paragraph" w:customStyle="1" w:styleId="figurelegend">
    <w:name w:val="figure legend"/>
    <w:basedOn w:val="Heading2"/>
    <w:next w:val="Thesisparagraph"/>
    <w:qFormat/>
    <w:rsid w:val="00501E92"/>
    <w:pPr>
      <w:ind w:left="578" w:hanging="578"/>
      <w:jc w:val="center"/>
    </w:pPr>
    <w:rPr>
      <w:b/>
      <w:color w:val="auto"/>
      <w:sz w:val="22"/>
    </w:rPr>
  </w:style>
  <w:style w:type="character" w:customStyle="1" w:styleId="Heading2Char">
    <w:name w:val="Heading 2 Char"/>
    <w:basedOn w:val="DefaultParagraphFont"/>
    <w:link w:val="Heading2"/>
    <w:uiPriority w:val="9"/>
    <w:semiHidden/>
    <w:rsid w:val="00501E9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B300A"/>
    <w:rPr>
      <w:b/>
      <w:bCs/>
    </w:rPr>
  </w:style>
  <w:style w:type="character" w:styleId="LineNumber">
    <w:name w:val="line number"/>
    <w:basedOn w:val="DefaultParagraphFont"/>
    <w:uiPriority w:val="99"/>
    <w:semiHidden/>
    <w:unhideWhenUsed/>
    <w:rsid w:val="00795193"/>
  </w:style>
  <w:style w:type="paragraph" w:styleId="ListParagraph">
    <w:name w:val="List Paragraph"/>
    <w:basedOn w:val="Normal"/>
    <w:uiPriority w:val="34"/>
    <w:qFormat/>
    <w:rsid w:val="00F24AD9"/>
    <w:pPr>
      <w:ind w:left="720"/>
      <w:contextualSpacing/>
    </w:pPr>
  </w:style>
  <w:style w:type="paragraph" w:styleId="EndnoteText">
    <w:name w:val="endnote text"/>
    <w:basedOn w:val="Normal"/>
    <w:link w:val="EndnoteTextChar"/>
    <w:uiPriority w:val="99"/>
    <w:semiHidden/>
    <w:unhideWhenUsed/>
    <w:rsid w:val="000617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17A0"/>
    <w:rPr>
      <w:sz w:val="20"/>
      <w:szCs w:val="20"/>
    </w:rPr>
  </w:style>
  <w:style w:type="character" w:styleId="EndnoteReference">
    <w:name w:val="endnote reference"/>
    <w:basedOn w:val="DefaultParagraphFont"/>
    <w:uiPriority w:val="99"/>
    <w:semiHidden/>
    <w:unhideWhenUsed/>
    <w:rsid w:val="000617A0"/>
    <w:rPr>
      <w:vertAlign w:val="superscript"/>
    </w:rPr>
  </w:style>
  <w:style w:type="character" w:styleId="CommentReference">
    <w:name w:val="annotation reference"/>
    <w:basedOn w:val="DefaultParagraphFont"/>
    <w:uiPriority w:val="99"/>
    <w:semiHidden/>
    <w:unhideWhenUsed/>
    <w:rsid w:val="006D5E5C"/>
    <w:rPr>
      <w:sz w:val="16"/>
      <w:szCs w:val="16"/>
    </w:rPr>
  </w:style>
  <w:style w:type="paragraph" w:styleId="CommentText">
    <w:name w:val="annotation text"/>
    <w:basedOn w:val="Normal"/>
    <w:link w:val="CommentTextChar"/>
    <w:uiPriority w:val="99"/>
    <w:semiHidden/>
    <w:unhideWhenUsed/>
    <w:rsid w:val="006D5E5C"/>
    <w:pPr>
      <w:spacing w:line="240" w:lineRule="auto"/>
    </w:pPr>
    <w:rPr>
      <w:sz w:val="20"/>
      <w:szCs w:val="20"/>
    </w:rPr>
  </w:style>
  <w:style w:type="character" w:customStyle="1" w:styleId="CommentTextChar">
    <w:name w:val="Comment Text Char"/>
    <w:basedOn w:val="DefaultParagraphFont"/>
    <w:link w:val="CommentText"/>
    <w:uiPriority w:val="99"/>
    <w:semiHidden/>
    <w:rsid w:val="006D5E5C"/>
    <w:rPr>
      <w:sz w:val="20"/>
      <w:szCs w:val="20"/>
    </w:rPr>
  </w:style>
  <w:style w:type="paragraph" w:styleId="CommentSubject">
    <w:name w:val="annotation subject"/>
    <w:basedOn w:val="CommentText"/>
    <w:next w:val="CommentText"/>
    <w:link w:val="CommentSubjectChar"/>
    <w:uiPriority w:val="99"/>
    <w:semiHidden/>
    <w:unhideWhenUsed/>
    <w:rsid w:val="006D5E5C"/>
    <w:rPr>
      <w:b/>
      <w:bCs/>
    </w:rPr>
  </w:style>
  <w:style w:type="character" w:customStyle="1" w:styleId="CommentSubjectChar">
    <w:name w:val="Comment Subject Char"/>
    <w:basedOn w:val="CommentTextChar"/>
    <w:link w:val="CommentSubject"/>
    <w:uiPriority w:val="99"/>
    <w:semiHidden/>
    <w:rsid w:val="006D5E5C"/>
    <w:rPr>
      <w:b/>
      <w:bCs/>
      <w:sz w:val="20"/>
      <w:szCs w:val="20"/>
    </w:rPr>
  </w:style>
  <w:style w:type="paragraph" w:styleId="BalloonText">
    <w:name w:val="Balloon Text"/>
    <w:basedOn w:val="Normal"/>
    <w:link w:val="BalloonTextChar"/>
    <w:uiPriority w:val="99"/>
    <w:semiHidden/>
    <w:unhideWhenUsed/>
    <w:rsid w:val="006D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E5C"/>
    <w:rPr>
      <w:rFonts w:ascii="Segoe UI" w:hAnsi="Segoe UI" w:cs="Segoe UI"/>
      <w:sz w:val="18"/>
      <w:szCs w:val="18"/>
    </w:rPr>
  </w:style>
  <w:style w:type="paragraph" w:styleId="Caption">
    <w:name w:val="caption"/>
    <w:basedOn w:val="Normal"/>
    <w:next w:val="Normal"/>
    <w:uiPriority w:val="35"/>
    <w:unhideWhenUsed/>
    <w:qFormat/>
    <w:rsid w:val="009523B1"/>
    <w:pPr>
      <w:keepNext/>
      <w:widowControl w:val="0"/>
      <w:spacing w:after="200" w:line="240" w:lineRule="auto"/>
    </w:pPr>
    <w:rPr>
      <w:i/>
      <w:iCs/>
      <w:szCs w:val="18"/>
    </w:rPr>
  </w:style>
  <w:style w:type="table" w:styleId="TableGrid">
    <w:name w:val="Table Grid"/>
    <w:basedOn w:val="TableNormal"/>
    <w:uiPriority w:val="39"/>
    <w:rsid w:val="0095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Thesisparagraph"/>
    <w:next w:val="Thesisparagraph"/>
    <w:qFormat/>
    <w:rsid w:val="00556208"/>
    <w:pPr>
      <w:keepNext w:val="0"/>
      <w:spacing w:after="0"/>
      <w:contextualSpacing/>
      <w:jc w:val="left"/>
    </w:pPr>
    <w:rPr>
      <w:sz w:val="24"/>
    </w:rPr>
  </w:style>
  <w:style w:type="paragraph" w:styleId="Revision">
    <w:name w:val="Revision"/>
    <w:hidden/>
    <w:uiPriority w:val="99"/>
    <w:semiHidden/>
    <w:rsid w:val="00287DBA"/>
    <w:pPr>
      <w:spacing w:after="0" w:line="240" w:lineRule="auto"/>
    </w:pPr>
  </w:style>
  <w:style w:type="character" w:styleId="Hyperlink">
    <w:name w:val="Hyperlink"/>
    <w:basedOn w:val="DefaultParagraphFont"/>
    <w:uiPriority w:val="99"/>
    <w:unhideWhenUsed/>
    <w:rsid w:val="00F4021A"/>
    <w:rPr>
      <w:color w:val="0563C1" w:themeColor="hyperlink"/>
      <w:u w:val="single"/>
    </w:rPr>
  </w:style>
  <w:style w:type="character" w:customStyle="1" w:styleId="UnresolvedMention1">
    <w:name w:val="Unresolved Mention1"/>
    <w:basedOn w:val="DefaultParagraphFont"/>
    <w:uiPriority w:val="99"/>
    <w:semiHidden/>
    <w:unhideWhenUsed/>
    <w:rsid w:val="00F40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4439">
      <w:bodyDiv w:val="1"/>
      <w:marLeft w:val="0"/>
      <w:marRight w:val="0"/>
      <w:marTop w:val="0"/>
      <w:marBottom w:val="0"/>
      <w:divBdr>
        <w:top w:val="none" w:sz="0" w:space="0" w:color="auto"/>
        <w:left w:val="none" w:sz="0" w:space="0" w:color="auto"/>
        <w:bottom w:val="none" w:sz="0" w:space="0" w:color="auto"/>
        <w:right w:val="none" w:sz="0" w:space="0" w:color="auto"/>
      </w:divBdr>
    </w:div>
    <w:div w:id="515850946">
      <w:bodyDiv w:val="1"/>
      <w:marLeft w:val="0"/>
      <w:marRight w:val="0"/>
      <w:marTop w:val="0"/>
      <w:marBottom w:val="0"/>
      <w:divBdr>
        <w:top w:val="none" w:sz="0" w:space="0" w:color="auto"/>
        <w:left w:val="none" w:sz="0" w:space="0" w:color="auto"/>
        <w:bottom w:val="none" w:sz="0" w:space="0" w:color="auto"/>
        <w:right w:val="none" w:sz="0" w:space="0" w:color="auto"/>
      </w:divBdr>
    </w:div>
    <w:div w:id="2021005688">
      <w:bodyDiv w:val="1"/>
      <w:marLeft w:val="0"/>
      <w:marRight w:val="0"/>
      <w:marTop w:val="0"/>
      <w:marBottom w:val="0"/>
      <w:divBdr>
        <w:top w:val="none" w:sz="0" w:space="0" w:color="auto"/>
        <w:left w:val="none" w:sz="0" w:space="0" w:color="auto"/>
        <w:bottom w:val="none" w:sz="0" w:space="0" w:color="auto"/>
        <w:right w:val="none" w:sz="0" w:space="0" w:color="auto"/>
      </w:divBdr>
    </w:div>
    <w:div w:id="2080013541">
      <w:bodyDiv w:val="1"/>
      <w:marLeft w:val="0"/>
      <w:marRight w:val="0"/>
      <w:marTop w:val="0"/>
      <w:marBottom w:val="0"/>
      <w:divBdr>
        <w:top w:val="none" w:sz="0" w:space="0" w:color="auto"/>
        <w:left w:val="none" w:sz="0" w:space="0" w:color="auto"/>
        <w:bottom w:val="none" w:sz="0" w:space="0" w:color="auto"/>
        <w:right w:val="none" w:sz="0" w:space="0" w:color="auto"/>
      </w:divBdr>
      <w:divsChild>
        <w:div w:id="769277204">
          <w:marLeft w:val="0"/>
          <w:marRight w:val="0"/>
          <w:marTop w:val="0"/>
          <w:marBottom w:val="0"/>
          <w:divBdr>
            <w:top w:val="none" w:sz="0" w:space="0" w:color="auto"/>
            <w:left w:val="none" w:sz="0" w:space="0" w:color="auto"/>
            <w:bottom w:val="none" w:sz="0" w:space="0" w:color="auto"/>
            <w:right w:val="none" w:sz="0" w:space="0" w:color="auto"/>
          </w:divBdr>
          <w:divsChild>
            <w:div w:id="571502511">
              <w:marLeft w:val="0"/>
              <w:marRight w:val="0"/>
              <w:marTop w:val="225"/>
              <w:marBottom w:val="0"/>
              <w:divBdr>
                <w:top w:val="none" w:sz="0" w:space="0" w:color="auto"/>
                <w:left w:val="none" w:sz="0" w:space="0" w:color="auto"/>
                <w:bottom w:val="none" w:sz="0" w:space="0" w:color="auto"/>
                <w:right w:val="none" w:sz="0" w:space="0" w:color="auto"/>
              </w:divBdr>
              <w:divsChild>
                <w:div w:id="2013560154">
                  <w:marLeft w:val="0"/>
                  <w:marRight w:val="0"/>
                  <w:marTop w:val="0"/>
                  <w:marBottom w:val="0"/>
                  <w:divBdr>
                    <w:top w:val="none" w:sz="0" w:space="0" w:color="auto"/>
                    <w:left w:val="none" w:sz="0" w:space="0" w:color="auto"/>
                    <w:bottom w:val="none" w:sz="0" w:space="0" w:color="auto"/>
                    <w:right w:val="none" w:sz="0" w:space="0" w:color="auto"/>
                  </w:divBdr>
                </w:div>
              </w:divsChild>
            </w:div>
            <w:div w:id="1062875003">
              <w:marLeft w:val="0"/>
              <w:marRight w:val="0"/>
              <w:marTop w:val="225"/>
              <w:marBottom w:val="0"/>
              <w:divBdr>
                <w:top w:val="none" w:sz="0" w:space="0" w:color="auto"/>
                <w:left w:val="none" w:sz="0" w:space="0" w:color="auto"/>
                <w:bottom w:val="none" w:sz="0" w:space="0" w:color="auto"/>
                <w:right w:val="none" w:sz="0" w:space="0" w:color="auto"/>
              </w:divBdr>
              <w:divsChild>
                <w:div w:id="253974636">
                  <w:marLeft w:val="0"/>
                  <w:marRight w:val="0"/>
                  <w:marTop w:val="0"/>
                  <w:marBottom w:val="0"/>
                  <w:divBdr>
                    <w:top w:val="none" w:sz="0" w:space="0" w:color="auto"/>
                    <w:left w:val="none" w:sz="0" w:space="0" w:color="auto"/>
                    <w:bottom w:val="none" w:sz="0" w:space="0" w:color="auto"/>
                    <w:right w:val="none" w:sz="0" w:space="0" w:color="auto"/>
                  </w:divBdr>
                </w:div>
              </w:divsChild>
            </w:div>
            <w:div w:id="1638685782">
              <w:marLeft w:val="0"/>
              <w:marRight w:val="0"/>
              <w:marTop w:val="225"/>
              <w:marBottom w:val="0"/>
              <w:divBdr>
                <w:top w:val="none" w:sz="0" w:space="0" w:color="auto"/>
                <w:left w:val="none" w:sz="0" w:space="0" w:color="auto"/>
                <w:bottom w:val="none" w:sz="0" w:space="0" w:color="auto"/>
                <w:right w:val="none" w:sz="0" w:space="0" w:color="auto"/>
              </w:divBdr>
              <w:divsChild>
                <w:div w:id="538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90337">
          <w:marLeft w:val="0"/>
          <w:marRight w:val="0"/>
          <w:marTop w:val="0"/>
          <w:marBottom w:val="0"/>
          <w:divBdr>
            <w:top w:val="none" w:sz="0" w:space="0" w:color="auto"/>
            <w:left w:val="none" w:sz="0" w:space="0" w:color="auto"/>
            <w:bottom w:val="none" w:sz="0" w:space="0" w:color="auto"/>
            <w:right w:val="none" w:sz="0" w:space="0" w:color="auto"/>
          </w:divBdr>
        </w:div>
        <w:div w:id="1397163895">
          <w:marLeft w:val="0"/>
          <w:marRight w:val="0"/>
          <w:marTop w:val="0"/>
          <w:marBottom w:val="0"/>
          <w:divBdr>
            <w:top w:val="none" w:sz="0" w:space="0" w:color="auto"/>
            <w:left w:val="none" w:sz="0" w:space="0" w:color="auto"/>
            <w:bottom w:val="none" w:sz="0" w:space="0" w:color="auto"/>
            <w:right w:val="none" w:sz="0" w:space="0" w:color="auto"/>
          </w:divBdr>
          <w:divsChild>
            <w:div w:id="4689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2C2CB3B154841840D5AC64715E402" ma:contentTypeVersion="14" ma:contentTypeDescription="Create a new document." ma:contentTypeScope="" ma:versionID="0dbed29ca09537367f939f3a4e24455e">
  <xsd:schema xmlns:xsd="http://www.w3.org/2001/XMLSchema" xmlns:xs="http://www.w3.org/2001/XMLSchema" xmlns:p="http://schemas.microsoft.com/office/2006/metadata/properties" xmlns:ns3="d0df9e36-5abf-4bfa-972f-32d744da87dd" xmlns:ns4="b9317aac-cebf-43b7-9cf9-c547a823e56b" targetNamespace="http://schemas.microsoft.com/office/2006/metadata/properties" ma:root="true" ma:fieldsID="6345ed40345139e02fe728b3477904fe" ns3:_="" ns4:_="">
    <xsd:import namespace="d0df9e36-5abf-4bfa-972f-32d744da87dd"/>
    <xsd:import namespace="b9317aac-cebf-43b7-9cf9-c547a823e5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f9e36-5abf-4bfa-972f-32d744da87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317aac-cebf-43b7-9cf9-c547a823e5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5A69-4DB1-4DB9-8346-F2970240916B}">
  <ds:schemaRefs>
    <ds:schemaRef ds:uri="http://purl.org/dc/terms/"/>
    <ds:schemaRef ds:uri="http://schemas.microsoft.com/office/2006/metadata/properties"/>
    <ds:schemaRef ds:uri="http://schemas.microsoft.com/office/2006/documentManagement/types"/>
    <ds:schemaRef ds:uri="b9317aac-cebf-43b7-9cf9-c547a823e56b"/>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d0df9e36-5abf-4bfa-972f-32d744da87dd"/>
  </ds:schemaRefs>
</ds:datastoreItem>
</file>

<file path=customXml/itemProps2.xml><?xml version="1.0" encoding="utf-8"?>
<ds:datastoreItem xmlns:ds="http://schemas.openxmlformats.org/officeDocument/2006/customXml" ds:itemID="{8A0B9030-E936-4811-8C2B-A43D90AF9EFB}">
  <ds:schemaRefs>
    <ds:schemaRef ds:uri="http://schemas.microsoft.com/sharepoint/v3/contenttype/forms"/>
  </ds:schemaRefs>
</ds:datastoreItem>
</file>

<file path=customXml/itemProps3.xml><?xml version="1.0" encoding="utf-8"?>
<ds:datastoreItem xmlns:ds="http://schemas.openxmlformats.org/officeDocument/2006/customXml" ds:itemID="{9BD5AE80-930A-4555-8194-53A37DD8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f9e36-5abf-4bfa-972f-32d744da87dd"/>
    <ds:schemaRef ds:uri="b9317aac-cebf-43b7-9cf9-c547a823e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38F8A-E3A3-472E-B876-ED974E9C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20095</Words>
  <Characters>114542</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Edward</dc:creator>
  <cp:keywords/>
  <dc:description/>
  <cp:lastModifiedBy>Knowles, Edward</cp:lastModifiedBy>
  <cp:revision>3</cp:revision>
  <dcterms:created xsi:type="dcterms:W3CDTF">2021-11-11T22:50:00Z</dcterms:created>
  <dcterms:modified xsi:type="dcterms:W3CDTF">2021-11-11T23:25:00Z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0x0101008F12C2CB3B154841840D5AC64715E402</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http://csl.mendeley.com/styles/11564661/eddthesis2</vt:lpwstr>
  </property>
  <property fmtid="{D5CDD505-2E9C-101B-9397-08002B2CF9AE}" pid="12" name="Mendeley Recent Style Name 4_1">
    <vt:lpwstr>Cite Them Right 10th edition - Harvard - Edd Knowles</vt:lpwstr>
  </property>
  <property fmtid="{D5CDD505-2E9C-101B-9397-08002B2CF9AE}" pid="13" name="Mendeley Recent Style Id 5_1">
    <vt:lpwstr>http://csl.mendeley.com/styles/11564661/eddthesis</vt:lpwstr>
  </property>
  <property fmtid="{D5CDD505-2E9C-101B-9397-08002B2CF9AE}" pid="14" name="Mendeley Recent Style Name 5_1">
    <vt:lpwstr>Cite Them Right 10th edition - Harvard - Edd Knowles</vt:lpwstr>
  </property>
  <property fmtid="{D5CDD505-2E9C-101B-9397-08002B2CF9AE}" pid="15" name="Mendeley Recent Style Id 6_1">
    <vt:lpwstr>http://www.zotero.org/styles/elsevier-harvard</vt:lpwstr>
  </property>
  <property fmtid="{D5CDD505-2E9C-101B-9397-08002B2CF9AE}" pid="16" name="Mendeley Recent Style Name 6_1">
    <vt:lpwstr>Elsevier - Harvard (with titles)</vt:lpwstr>
  </property>
  <property fmtid="{D5CDD505-2E9C-101B-9397-08002B2CF9AE}" pid="17" name="Mendeley Recent Style Id 7_1">
    <vt:lpwstr>http://csl.mendeley.com/styles/11564661/elsevier-harvard</vt:lpwstr>
  </property>
  <property fmtid="{D5CDD505-2E9C-101B-9397-08002B2CF9AE}" pid="18" name="Mendeley Recent Style Name 7_1">
    <vt:lpwstr>Elsevier - Harvard (with titles) - Edd Knowles</vt:lpwstr>
  </property>
  <property fmtid="{D5CDD505-2E9C-101B-9397-08002B2CF9AE}" pid="19" name="Mendeley Recent Style Id 8_1">
    <vt:lpwstr>http://www.zotero.org/styles/equine-veterinary-journal</vt:lpwstr>
  </property>
  <property fmtid="{D5CDD505-2E9C-101B-9397-08002B2CF9AE}" pid="20" name="Mendeley Recent Style Name 8_1">
    <vt:lpwstr>Equine Veterinary Journal</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28251ae6-ac43-3427-af40-a7fbcd999b94</vt:lpwstr>
  </property>
  <property fmtid="{D5CDD505-2E9C-101B-9397-08002B2CF9AE}" pid="25" name="Mendeley Citation Style_1">
    <vt:lpwstr>http://www.zotero.org/styles/equine-veterinary-journal</vt:lpwstr>
  </property>
</Properties>
</file>