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94E4A" w14:textId="21EF97E0" w:rsidR="00F5471A" w:rsidRDefault="00F5471A" w:rsidP="000075CC">
      <w:pPr>
        <w:pStyle w:val="Heading1"/>
        <w:spacing w:after="0" w:line="480" w:lineRule="auto"/>
      </w:pPr>
      <w:r w:rsidRPr="00500495">
        <w:t>Title</w:t>
      </w:r>
      <w:r w:rsidR="00FE48E4" w:rsidRPr="00500495">
        <w:t xml:space="preserve"> page</w:t>
      </w:r>
    </w:p>
    <w:p w14:paraId="5FCA21CE" w14:textId="77777777" w:rsidR="000075CC" w:rsidRPr="000075CC" w:rsidRDefault="000075CC" w:rsidP="000075CC"/>
    <w:p w14:paraId="0B03E918" w14:textId="5234DCB3" w:rsidR="00F5471A" w:rsidRDefault="00D42F6E" w:rsidP="000075CC">
      <w:pPr>
        <w:spacing w:after="0"/>
        <w:jc w:val="center"/>
        <w:rPr>
          <w:sz w:val="30"/>
          <w:szCs w:val="30"/>
        </w:rPr>
      </w:pPr>
      <w:bookmarkStart w:id="0" w:name="_Hlk45036753"/>
      <w:r w:rsidRPr="00D42F6E">
        <w:rPr>
          <w:sz w:val="30"/>
          <w:szCs w:val="30"/>
        </w:rPr>
        <w:t>Machine learning classification methods informing the management of inconclusive reactors at bovine tuberculosis surveillance tests in England</w:t>
      </w:r>
      <w:r w:rsidR="00125AD8">
        <w:rPr>
          <w:sz w:val="30"/>
          <w:szCs w:val="30"/>
        </w:rPr>
        <w:t xml:space="preserve"> </w:t>
      </w:r>
    </w:p>
    <w:bookmarkEnd w:id="0"/>
    <w:p w14:paraId="0A6FA4AB" w14:textId="77777777" w:rsidR="005F7334" w:rsidRPr="0002191C" w:rsidRDefault="005F7334" w:rsidP="000075CC">
      <w:pPr>
        <w:spacing w:after="0"/>
        <w:jc w:val="center"/>
        <w:rPr>
          <w:sz w:val="30"/>
          <w:szCs w:val="30"/>
        </w:rPr>
      </w:pPr>
    </w:p>
    <w:p w14:paraId="3172E82A" w14:textId="174B8030" w:rsidR="00F5471A" w:rsidRDefault="00F5471A" w:rsidP="000075CC">
      <w:pPr>
        <w:spacing w:after="0"/>
        <w:jc w:val="center"/>
        <w:rPr>
          <w:sz w:val="26"/>
          <w:szCs w:val="26"/>
          <w:vertAlign w:val="superscript"/>
        </w:rPr>
      </w:pPr>
      <w:r w:rsidRPr="00A35F5B">
        <w:rPr>
          <w:sz w:val="26"/>
          <w:szCs w:val="26"/>
        </w:rPr>
        <w:t>M</w:t>
      </w:r>
      <w:r w:rsidR="00A30A0A">
        <w:rPr>
          <w:sz w:val="26"/>
          <w:szCs w:val="26"/>
        </w:rPr>
        <w:t>.</w:t>
      </w:r>
      <w:r w:rsidRPr="00A35F5B">
        <w:rPr>
          <w:sz w:val="26"/>
          <w:szCs w:val="26"/>
        </w:rPr>
        <w:t xml:space="preserve"> Pilar </w:t>
      </w:r>
      <w:proofErr w:type="spellStart"/>
      <w:proofErr w:type="gramStart"/>
      <w:r w:rsidRPr="00A35F5B">
        <w:rPr>
          <w:sz w:val="26"/>
          <w:szCs w:val="26"/>
        </w:rPr>
        <w:t>Romero</w:t>
      </w:r>
      <w:r w:rsidR="00FE48E4" w:rsidRPr="00A35F5B">
        <w:rPr>
          <w:sz w:val="26"/>
          <w:szCs w:val="26"/>
          <w:vertAlign w:val="superscript"/>
        </w:rPr>
        <w:t>a,</w:t>
      </w:r>
      <w:r w:rsidR="000A3535">
        <w:rPr>
          <w:sz w:val="26"/>
          <w:szCs w:val="26"/>
          <w:vertAlign w:val="superscript"/>
        </w:rPr>
        <w:t>b</w:t>
      </w:r>
      <w:proofErr w:type="spellEnd"/>
      <w:proofErr w:type="gramEnd"/>
      <w:r w:rsidR="00FE48E4" w:rsidRPr="00A35F5B">
        <w:rPr>
          <w:sz w:val="26"/>
          <w:szCs w:val="26"/>
          <w:vertAlign w:val="superscript"/>
        </w:rPr>
        <w:t>*</w:t>
      </w:r>
      <w:r w:rsidRPr="00A35F5B">
        <w:rPr>
          <w:sz w:val="26"/>
          <w:szCs w:val="26"/>
        </w:rPr>
        <w:t xml:space="preserve">, </w:t>
      </w:r>
      <w:r w:rsidR="00A2467C">
        <w:rPr>
          <w:sz w:val="26"/>
          <w:szCs w:val="26"/>
        </w:rPr>
        <w:t>Yu-Mei</w:t>
      </w:r>
      <w:r w:rsidR="00A2467C" w:rsidRPr="00A35F5B">
        <w:rPr>
          <w:sz w:val="26"/>
          <w:szCs w:val="26"/>
        </w:rPr>
        <w:t xml:space="preserve"> </w:t>
      </w:r>
      <w:proofErr w:type="spellStart"/>
      <w:r w:rsidRPr="00A35F5B">
        <w:rPr>
          <w:sz w:val="26"/>
          <w:szCs w:val="26"/>
        </w:rPr>
        <w:t>Chang</w:t>
      </w:r>
      <w:r w:rsidR="00FE48E4" w:rsidRPr="00A35F5B">
        <w:rPr>
          <w:sz w:val="26"/>
          <w:szCs w:val="26"/>
          <w:vertAlign w:val="superscript"/>
        </w:rPr>
        <w:t>b</w:t>
      </w:r>
      <w:proofErr w:type="spellEnd"/>
      <w:r w:rsidRPr="00A35F5B">
        <w:rPr>
          <w:sz w:val="26"/>
          <w:szCs w:val="26"/>
        </w:rPr>
        <w:t xml:space="preserve">, Lucy </w:t>
      </w:r>
      <w:r w:rsidR="000A3535">
        <w:rPr>
          <w:sz w:val="26"/>
          <w:szCs w:val="26"/>
        </w:rPr>
        <w:t xml:space="preserve">A. </w:t>
      </w:r>
      <w:proofErr w:type="spellStart"/>
      <w:r w:rsidRPr="00A35F5B">
        <w:rPr>
          <w:sz w:val="26"/>
          <w:szCs w:val="26"/>
        </w:rPr>
        <w:t>Brunton</w:t>
      </w:r>
      <w:r w:rsidR="00FE48E4" w:rsidRPr="00A35F5B">
        <w:rPr>
          <w:sz w:val="26"/>
          <w:szCs w:val="26"/>
          <w:vertAlign w:val="superscript"/>
        </w:rPr>
        <w:t>b</w:t>
      </w:r>
      <w:proofErr w:type="spellEnd"/>
      <w:r w:rsidRPr="00A35F5B">
        <w:rPr>
          <w:sz w:val="26"/>
          <w:szCs w:val="26"/>
        </w:rPr>
        <w:t>,</w:t>
      </w:r>
      <w:r w:rsidR="00D42F6E">
        <w:rPr>
          <w:sz w:val="26"/>
          <w:szCs w:val="26"/>
        </w:rPr>
        <w:t xml:space="preserve"> Jessica </w:t>
      </w:r>
      <w:proofErr w:type="spellStart"/>
      <w:r w:rsidR="00D42F6E">
        <w:rPr>
          <w:sz w:val="26"/>
          <w:szCs w:val="26"/>
        </w:rPr>
        <w:t>Parry</w:t>
      </w:r>
      <w:r w:rsidR="00D42F6E" w:rsidRPr="00A35F5B">
        <w:rPr>
          <w:sz w:val="26"/>
          <w:szCs w:val="26"/>
          <w:vertAlign w:val="superscript"/>
        </w:rPr>
        <w:t>a</w:t>
      </w:r>
      <w:proofErr w:type="spellEnd"/>
      <w:r w:rsidR="00D42F6E">
        <w:rPr>
          <w:sz w:val="26"/>
          <w:szCs w:val="26"/>
        </w:rPr>
        <w:t>,</w:t>
      </w:r>
      <w:r w:rsidRPr="00A35F5B">
        <w:rPr>
          <w:sz w:val="26"/>
          <w:szCs w:val="26"/>
        </w:rPr>
        <w:t xml:space="preserve"> Alison </w:t>
      </w:r>
      <w:proofErr w:type="spellStart"/>
      <w:r w:rsidRPr="00A35F5B">
        <w:rPr>
          <w:sz w:val="26"/>
          <w:szCs w:val="26"/>
        </w:rPr>
        <w:t>Prosser</w:t>
      </w:r>
      <w:r w:rsidR="00FE48E4" w:rsidRPr="00A35F5B">
        <w:rPr>
          <w:sz w:val="26"/>
          <w:szCs w:val="26"/>
          <w:vertAlign w:val="superscript"/>
        </w:rPr>
        <w:t>a</w:t>
      </w:r>
      <w:proofErr w:type="spellEnd"/>
      <w:r w:rsidRPr="00A35F5B">
        <w:rPr>
          <w:sz w:val="26"/>
          <w:szCs w:val="26"/>
        </w:rPr>
        <w:t xml:space="preserve">, Paul </w:t>
      </w:r>
      <w:proofErr w:type="spellStart"/>
      <w:r w:rsidRPr="00A35F5B">
        <w:rPr>
          <w:sz w:val="26"/>
          <w:szCs w:val="26"/>
        </w:rPr>
        <w:t>Upton</w:t>
      </w:r>
      <w:r w:rsidR="00FE48E4" w:rsidRPr="00A35F5B">
        <w:rPr>
          <w:sz w:val="26"/>
          <w:szCs w:val="26"/>
          <w:vertAlign w:val="superscript"/>
        </w:rPr>
        <w:t>a</w:t>
      </w:r>
      <w:proofErr w:type="spellEnd"/>
      <w:r w:rsidRPr="00A35F5B">
        <w:rPr>
          <w:sz w:val="26"/>
          <w:szCs w:val="26"/>
        </w:rPr>
        <w:t>, and</w:t>
      </w:r>
      <w:r w:rsidR="00DD54CA">
        <w:rPr>
          <w:sz w:val="26"/>
          <w:szCs w:val="26"/>
        </w:rPr>
        <w:t xml:space="preserve"> </w:t>
      </w:r>
      <w:r w:rsidRPr="00A35F5B">
        <w:rPr>
          <w:sz w:val="26"/>
          <w:szCs w:val="26"/>
        </w:rPr>
        <w:t xml:space="preserve">Julian </w:t>
      </w:r>
      <w:r w:rsidR="006A52C1">
        <w:rPr>
          <w:sz w:val="26"/>
          <w:szCs w:val="26"/>
        </w:rPr>
        <w:t xml:space="preserve">A. </w:t>
      </w:r>
      <w:proofErr w:type="spellStart"/>
      <w:r w:rsidRPr="00A35F5B">
        <w:rPr>
          <w:sz w:val="26"/>
          <w:szCs w:val="26"/>
        </w:rPr>
        <w:t>Drewe</w:t>
      </w:r>
      <w:r w:rsidR="00FE48E4" w:rsidRPr="00A35F5B">
        <w:rPr>
          <w:sz w:val="26"/>
          <w:szCs w:val="26"/>
          <w:vertAlign w:val="superscript"/>
        </w:rPr>
        <w:t>b</w:t>
      </w:r>
      <w:proofErr w:type="spellEnd"/>
    </w:p>
    <w:p w14:paraId="42757790" w14:textId="77777777" w:rsidR="005F7334" w:rsidRPr="00A35F5B" w:rsidRDefault="005F7334" w:rsidP="000075CC">
      <w:pPr>
        <w:spacing w:after="0"/>
        <w:jc w:val="center"/>
        <w:rPr>
          <w:sz w:val="26"/>
          <w:szCs w:val="26"/>
        </w:rPr>
      </w:pPr>
    </w:p>
    <w:p w14:paraId="3C8D0DBA" w14:textId="70730ADC" w:rsidR="00FE48E4" w:rsidRPr="00A35F5B" w:rsidRDefault="00FE48E4" w:rsidP="000075CC">
      <w:pPr>
        <w:spacing w:after="0"/>
        <w:rPr>
          <w:i/>
          <w:sz w:val="18"/>
          <w:szCs w:val="18"/>
        </w:rPr>
      </w:pPr>
      <w:proofErr w:type="spellStart"/>
      <w:proofErr w:type="gramStart"/>
      <w:r w:rsidRPr="00A35F5B">
        <w:rPr>
          <w:i/>
          <w:sz w:val="18"/>
          <w:szCs w:val="18"/>
          <w:vertAlign w:val="superscript"/>
        </w:rPr>
        <w:t>a</w:t>
      </w:r>
      <w:proofErr w:type="spellEnd"/>
      <w:proofErr w:type="gramEnd"/>
      <w:r w:rsidRPr="00A35F5B">
        <w:rPr>
          <w:i/>
          <w:sz w:val="18"/>
          <w:szCs w:val="18"/>
        </w:rPr>
        <w:t xml:space="preserve"> Animal and Plant Health Agency, Woodham L</w:t>
      </w:r>
      <w:r w:rsidR="006A52C1">
        <w:rPr>
          <w:i/>
          <w:sz w:val="18"/>
          <w:szCs w:val="18"/>
        </w:rPr>
        <w:t>a</w:t>
      </w:r>
      <w:r w:rsidR="00A35F5B" w:rsidRPr="00A35F5B">
        <w:rPr>
          <w:i/>
          <w:sz w:val="18"/>
          <w:szCs w:val="18"/>
        </w:rPr>
        <w:t>n</w:t>
      </w:r>
      <w:r w:rsidR="006A52C1">
        <w:rPr>
          <w:i/>
          <w:sz w:val="18"/>
          <w:szCs w:val="18"/>
        </w:rPr>
        <w:t>e</w:t>
      </w:r>
      <w:r w:rsidRPr="00A35F5B">
        <w:rPr>
          <w:i/>
          <w:sz w:val="18"/>
          <w:szCs w:val="18"/>
        </w:rPr>
        <w:t xml:space="preserve">, Addlestone, </w:t>
      </w:r>
      <w:r w:rsidR="006A52C1">
        <w:rPr>
          <w:i/>
          <w:sz w:val="18"/>
          <w:szCs w:val="18"/>
        </w:rPr>
        <w:t xml:space="preserve">Surrey, </w:t>
      </w:r>
      <w:r w:rsidRPr="00A35F5B">
        <w:rPr>
          <w:i/>
          <w:sz w:val="18"/>
          <w:szCs w:val="18"/>
        </w:rPr>
        <w:t>KT15 3NB</w:t>
      </w:r>
      <w:r w:rsidR="00A35F5B" w:rsidRPr="00A35F5B">
        <w:rPr>
          <w:i/>
          <w:sz w:val="18"/>
          <w:szCs w:val="18"/>
        </w:rPr>
        <w:t>, United Kingdom</w:t>
      </w:r>
      <w:r w:rsidR="00FF0832">
        <w:rPr>
          <w:i/>
          <w:sz w:val="18"/>
          <w:szCs w:val="18"/>
        </w:rPr>
        <w:t>.</w:t>
      </w:r>
    </w:p>
    <w:p w14:paraId="53CAD1BA" w14:textId="08747C75" w:rsidR="00FE48E4" w:rsidRPr="00A35F5B" w:rsidRDefault="00FE48E4" w:rsidP="000075CC">
      <w:pPr>
        <w:spacing w:after="0"/>
        <w:rPr>
          <w:i/>
          <w:sz w:val="18"/>
          <w:szCs w:val="18"/>
        </w:rPr>
      </w:pPr>
      <w:r w:rsidRPr="00A35F5B">
        <w:rPr>
          <w:i/>
          <w:sz w:val="18"/>
          <w:szCs w:val="18"/>
          <w:vertAlign w:val="superscript"/>
        </w:rPr>
        <w:t>b</w:t>
      </w:r>
      <w:r w:rsidRPr="00A35F5B">
        <w:rPr>
          <w:i/>
          <w:sz w:val="18"/>
          <w:szCs w:val="18"/>
        </w:rPr>
        <w:t xml:space="preserve"> Royal Veterinary College, </w:t>
      </w:r>
      <w:r w:rsidR="006A52C1">
        <w:rPr>
          <w:i/>
          <w:sz w:val="18"/>
          <w:szCs w:val="18"/>
        </w:rPr>
        <w:t xml:space="preserve">Hawkshead Lane, North </w:t>
      </w:r>
      <w:proofErr w:type="spellStart"/>
      <w:r w:rsidR="006A52C1">
        <w:rPr>
          <w:i/>
          <w:sz w:val="18"/>
          <w:szCs w:val="18"/>
        </w:rPr>
        <w:t>Mymms</w:t>
      </w:r>
      <w:proofErr w:type="spellEnd"/>
      <w:r w:rsidR="006A52C1">
        <w:rPr>
          <w:i/>
          <w:sz w:val="18"/>
          <w:szCs w:val="18"/>
        </w:rPr>
        <w:t>, Hatfield, Hertfordshire, AL9 7TA</w:t>
      </w:r>
      <w:r w:rsidR="00A35F5B" w:rsidRPr="00A35F5B">
        <w:rPr>
          <w:i/>
          <w:sz w:val="18"/>
          <w:szCs w:val="18"/>
        </w:rPr>
        <w:t>, United Kingdom</w:t>
      </w:r>
      <w:r w:rsidR="00FF0832">
        <w:rPr>
          <w:i/>
          <w:sz w:val="18"/>
          <w:szCs w:val="18"/>
        </w:rPr>
        <w:t>.</w:t>
      </w:r>
    </w:p>
    <w:p w14:paraId="78322999" w14:textId="780CF8AD" w:rsidR="00FE48E4" w:rsidRDefault="00FE48E4" w:rsidP="000075CC">
      <w:pPr>
        <w:spacing w:after="0"/>
      </w:pPr>
    </w:p>
    <w:p w14:paraId="09F72BB6" w14:textId="5BB60642" w:rsidR="00500495" w:rsidRDefault="00C84B4F" w:rsidP="000075CC">
      <w:pPr>
        <w:spacing w:after="0"/>
      </w:pPr>
      <w:r w:rsidRPr="00C84B4F">
        <w:rPr>
          <w:sz w:val="18"/>
          <w:szCs w:val="16"/>
        </w:rPr>
        <w:t xml:space="preserve">* </w:t>
      </w:r>
      <w:r w:rsidR="00FE48E4" w:rsidRPr="00C84B4F">
        <w:rPr>
          <w:sz w:val="18"/>
          <w:szCs w:val="16"/>
        </w:rPr>
        <w:t>Corresponding</w:t>
      </w:r>
      <w:r w:rsidR="00E95CEA" w:rsidRPr="00C84B4F">
        <w:rPr>
          <w:sz w:val="18"/>
          <w:szCs w:val="16"/>
        </w:rPr>
        <w:t xml:space="preserve"> author: </w:t>
      </w:r>
      <w:r w:rsidR="00994487">
        <w:rPr>
          <w:sz w:val="18"/>
          <w:szCs w:val="16"/>
        </w:rPr>
        <w:t>APHA</w:t>
      </w:r>
      <w:r w:rsidR="00327153">
        <w:rPr>
          <w:sz w:val="18"/>
          <w:szCs w:val="16"/>
        </w:rPr>
        <w:t xml:space="preserve">, </w:t>
      </w:r>
      <w:r>
        <w:rPr>
          <w:sz w:val="18"/>
          <w:szCs w:val="16"/>
        </w:rPr>
        <w:t>Nobel House, 17 Smith Square, London, SW1P 3JR, United Kingdom. T</w:t>
      </w:r>
      <w:r w:rsidRPr="00C84B4F">
        <w:rPr>
          <w:sz w:val="18"/>
          <w:szCs w:val="16"/>
        </w:rPr>
        <w:t>el.: +44(0)7900052396;</w:t>
      </w:r>
      <w:r w:rsidRPr="00C84B4F">
        <w:rPr>
          <w:sz w:val="18"/>
          <w:szCs w:val="16"/>
          <w:vertAlign w:val="superscript"/>
        </w:rPr>
        <w:t xml:space="preserve"> </w:t>
      </w:r>
      <w:r w:rsidRPr="00C84B4F">
        <w:rPr>
          <w:sz w:val="18"/>
          <w:szCs w:val="16"/>
        </w:rPr>
        <w:t>e</w:t>
      </w:r>
      <w:r w:rsidR="00430217" w:rsidRPr="00C84B4F">
        <w:rPr>
          <w:sz w:val="18"/>
          <w:szCs w:val="16"/>
        </w:rPr>
        <w:t xml:space="preserve">-mail address: </w:t>
      </w:r>
      <w:hyperlink r:id="rId8" w:history="1">
        <w:r w:rsidRPr="00C84B4F">
          <w:rPr>
            <w:rStyle w:val="Hyperlink"/>
            <w:spacing w:val="0"/>
            <w:sz w:val="18"/>
          </w:rPr>
          <w:t>mromero7@rvc.ac.uk</w:t>
        </w:r>
      </w:hyperlink>
      <w:r>
        <w:rPr>
          <w:sz w:val="18"/>
          <w:szCs w:val="16"/>
        </w:rPr>
        <w:t>.</w:t>
      </w:r>
    </w:p>
    <w:p w14:paraId="6EBFB7C5" w14:textId="5B7EBE9D" w:rsidR="00430217" w:rsidRPr="00CA1071" w:rsidRDefault="00430217" w:rsidP="000075CC">
      <w:pPr>
        <w:pStyle w:val="Title1"/>
        <w:numPr>
          <w:ilvl w:val="0"/>
          <w:numId w:val="0"/>
        </w:numPr>
        <w:spacing w:after="0" w:line="480" w:lineRule="auto"/>
        <w:rPr>
          <w:b w:val="0"/>
          <w:szCs w:val="24"/>
        </w:rPr>
      </w:pPr>
      <w:r w:rsidRPr="00500495">
        <w:rPr>
          <w:b w:val="0"/>
          <w:szCs w:val="24"/>
        </w:rPr>
        <w:t>Word count</w:t>
      </w:r>
      <w:r w:rsidR="002337AC">
        <w:rPr>
          <w:b w:val="0"/>
          <w:szCs w:val="24"/>
        </w:rPr>
        <w:t xml:space="preserve"> of main sections including abstract</w:t>
      </w:r>
      <w:r w:rsidR="003D5C89">
        <w:rPr>
          <w:b w:val="0"/>
          <w:szCs w:val="24"/>
        </w:rPr>
        <w:t xml:space="preserve"> </w:t>
      </w:r>
      <w:r w:rsidR="00CA1071">
        <w:rPr>
          <w:b w:val="0"/>
          <w:szCs w:val="24"/>
        </w:rPr>
        <w:t>(excluding citations</w:t>
      </w:r>
      <w:r w:rsidR="002337AC" w:rsidRPr="00746B5B">
        <w:rPr>
          <w:b w:val="0"/>
          <w:szCs w:val="24"/>
        </w:rPr>
        <w:t>)</w:t>
      </w:r>
      <w:r w:rsidR="003D5C89" w:rsidRPr="00746B5B">
        <w:rPr>
          <w:b w:val="0"/>
          <w:szCs w:val="24"/>
        </w:rPr>
        <w:t>:</w:t>
      </w:r>
      <w:r w:rsidR="00EF0DFB" w:rsidRPr="00746B5B">
        <w:rPr>
          <w:b w:val="0"/>
          <w:szCs w:val="24"/>
        </w:rPr>
        <w:t xml:space="preserve"> </w:t>
      </w:r>
      <w:r w:rsidR="00DA0D31">
        <w:rPr>
          <w:b w:val="0"/>
        </w:rPr>
        <w:t xml:space="preserve">6 </w:t>
      </w:r>
      <w:r w:rsidR="005466E8">
        <w:rPr>
          <w:b w:val="0"/>
        </w:rPr>
        <w:t>1</w:t>
      </w:r>
      <w:r w:rsidR="00607BFB">
        <w:rPr>
          <w:b w:val="0"/>
        </w:rPr>
        <w:t>98</w:t>
      </w:r>
      <w:r w:rsidR="006261B9">
        <w:rPr>
          <w:b w:val="0"/>
          <w:szCs w:val="24"/>
        </w:rPr>
        <w:t>.</w:t>
      </w:r>
    </w:p>
    <w:p w14:paraId="4B998BBC" w14:textId="77777777" w:rsidR="00430217" w:rsidRDefault="00430217" w:rsidP="000075CC">
      <w:pPr>
        <w:spacing w:after="0"/>
        <w:sectPr w:rsidR="00430217" w:rsidSect="000851CB">
          <w:footerReference w:type="default" r:id="rId9"/>
          <w:type w:val="nextColumn"/>
          <w:pgSz w:w="12240" w:h="15840"/>
          <w:pgMar w:top="1440" w:right="1588" w:bottom="1588" w:left="1588" w:header="720" w:footer="720" w:gutter="0"/>
          <w:lnNumType w:countBy="1" w:restart="continuous"/>
          <w:cols w:space="720"/>
          <w:docGrid w:linePitch="326"/>
        </w:sectPr>
      </w:pPr>
    </w:p>
    <w:p w14:paraId="0134B6DD" w14:textId="549FD264" w:rsidR="009C7440" w:rsidRPr="009B117B" w:rsidRDefault="00FE48E4" w:rsidP="000075CC">
      <w:pPr>
        <w:pStyle w:val="Heading1"/>
      </w:pPr>
      <w:r w:rsidRPr="000075CC">
        <w:lastRenderedPageBreak/>
        <w:t>Abstract</w:t>
      </w:r>
    </w:p>
    <w:p w14:paraId="3856A02F" w14:textId="77777777" w:rsidR="00C24401" w:rsidRPr="00534FDA" w:rsidRDefault="00C24401" w:rsidP="00C24401">
      <w:bookmarkStart w:id="1" w:name="_Hlk1388426"/>
      <w:bookmarkStart w:id="2" w:name="_Hlk1387655"/>
      <w:bookmarkStart w:id="3" w:name="_Hlk543528"/>
      <w:r w:rsidRPr="00534FDA">
        <w:t>Bovine tuberculosis (bTB) remains one of the most complex, challenging, and costly animal health problems</w:t>
      </w:r>
      <w:bookmarkEnd w:id="1"/>
      <w:bookmarkEnd w:id="2"/>
      <w:r w:rsidRPr="00534FDA">
        <w:t xml:space="preserve"> in England. Identifying and promptly removing all infected cattle from affected herds is key to its eradication strategy; the imperfect sensitivity of the diagnostic testing regime remaining a serious obstacle. </w:t>
      </w:r>
    </w:p>
    <w:p w14:paraId="6E4BEEE2" w14:textId="04086833" w:rsidR="00C24401" w:rsidRPr="00534FDA" w:rsidRDefault="00C24401" w:rsidP="00C24401">
      <w:r w:rsidRPr="00534FDA">
        <w:t xml:space="preserve">The main diagnostic test for bTB in cattle in England, the Single Intradermal Comparative Cervical </w:t>
      </w:r>
      <w:r w:rsidR="009F4086">
        <w:t xml:space="preserve">Tuberculin </w:t>
      </w:r>
      <w:r w:rsidRPr="00534FDA">
        <w:t xml:space="preserve">Test (SICCT: also known as the skin test), can produce inconclusive results below the reactor threshold. The immediate isolation of inconclusive reactor (IR) animals </w:t>
      </w:r>
      <w:r w:rsidR="00BA2B44" w:rsidRPr="00534FDA">
        <w:t>followed by</w:t>
      </w:r>
      <w:r w:rsidRPr="00534FDA">
        <w:t xml:space="preserve"> </w:t>
      </w:r>
      <w:r w:rsidR="000B75DD" w:rsidRPr="00534FDA">
        <w:t>a</w:t>
      </w:r>
      <w:r w:rsidRPr="00534FDA">
        <w:t xml:space="preserve"> </w:t>
      </w:r>
      <w:r w:rsidR="00BA2B44" w:rsidRPr="00534FDA">
        <w:t xml:space="preserve">60-day </w:t>
      </w:r>
      <w:r w:rsidRPr="00534FDA">
        <w:t>retest may not prevent lateral spread within the herd (if</w:t>
      </w:r>
      <w:r w:rsidR="005466E8">
        <w:t xml:space="preserve"> it is substandard, allowing transmission</w:t>
      </w:r>
      <w:r w:rsidRPr="00534FDA">
        <w:t xml:space="preserve">) or transmission to wildlife. </w:t>
      </w:r>
      <w:r w:rsidR="00D80340" w:rsidRPr="00534FDA">
        <w:t>O</w:t>
      </w:r>
      <w:r w:rsidRPr="00534FDA">
        <w:t xml:space="preserve">ver half of IR-only herds that went on to have a positive skin test result (a </w:t>
      </w:r>
      <w:r w:rsidR="00D445FE">
        <w:t>b</w:t>
      </w:r>
      <w:r w:rsidRPr="00534FDA">
        <w:t>TB herd ‘incident’)</w:t>
      </w:r>
      <w:r w:rsidR="000B75DD" w:rsidRPr="00534FDA">
        <w:t xml:space="preserve"> in 2020,</w:t>
      </w:r>
      <w:r w:rsidRPr="00534FDA">
        <w:t xml:space="preserve"> had it triggered by at least one IR not clearing the</w:t>
      </w:r>
      <w:r w:rsidR="00D445FE">
        <w:t>ir</w:t>
      </w:r>
      <w:r w:rsidRPr="00534FDA">
        <w:t xml:space="preserve"> 60-day retest</w:t>
      </w:r>
      <w:r w:rsidR="000B75DD" w:rsidRPr="00534FDA">
        <w:t>, instead of by another test within the previous 15 months</w:t>
      </w:r>
      <w:r w:rsidRPr="00534FDA">
        <w:t xml:space="preserve">. </w:t>
      </w:r>
    </w:p>
    <w:p w14:paraId="72183CB3" w14:textId="6E150699" w:rsidR="00C24401" w:rsidRPr="002F1796" w:rsidRDefault="00C24401" w:rsidP="00C24401">
      <w:r w:rsidRPr="00534FDA">
        <w:t>Machine learning classification algorithms (classification tree analysis and random forest)</w:t>
      </w:r>
      <w:r w:rsidR="00D445FE">
        <w:t>,</w:t>
      </w:r>
      <w:r w:rsidRPr="00534FDA">
        <w:t xml:space="preserve"> applied to</w:t>
      </w:r>
      <w:r w:rsidR="00D445FE">
        <w:t xml:space="preserve"> England’s</w:t>
      </w:r>
      <w:r w:rsidRPr="00534FDA">
        <w:t xml:space="preserve"> 2012-20</w:t>
      </w:r>
      <w:r w:rsidR="004837CD">
        <w:t>20</w:t>
      </w:r>
      <w:r w:rsidRPr="00534FDA">
        <w:t xml:space="preserve"> IR-only surveillance </w:t>
      </w:r>
      <w:r w:rsidR="000B75DD" w:rsidRPr="00534FDA">
        <w:t xml:space="preserve">herd </w:t>
      </w:r>
      <w:r w:rsidRPr="00534FDA">
        <w:t>tests</w:t>
      </w:r>
      <w:r w:rsidR="00D445FE">
        <w:t>,</w:t>
      </w:r>
      <w:r w:rsidRPr="00534FDA">
        <w:t xml:space="preserve"> </w:t>
      </w:r>
      <w:r w:rsidR="00D445FE">
        <w:t>identified at-risk tests for</w:t>
      </w:r>
      <w:r w:rsidRPr="00534FDA">
        <w:t xml:space="preserve"> a</w:t>
      </w:r>
      <w:r w:rsidR="00D445FE">
        <w:t>n</w:t>
      </w:r>
      <w:r w:rsidRPr="00534FDA">
        <w:t xml:space="preserve"> incident at the</w:t>
      </w:r>
      <w:r w:rsidR="00D445FE">
        <w:t xml:space="preserve"> IRs’</w:t>
      </w:r>
      <w:r w:rsidRPr="00534FDA">
        <w:t xml:space="preserve"> 60-day</w:t>
      </w:r>
      <w:r w:rsidR="00D445FE">
        <w:t xml:space="preserve"> </w:t>
      </w:r>
      <w:r w:rsidRPr="00534FDA">
        <w:t>retest</w:t>
      </w:r>
      <w:r w:rsidR="00D445FE">
        <w:t xml:space="preserve">. In </w:t>
      </w:r>
      <w:r w:rsidR="005205E1">
        <w:t>this</w:t>
      </w:r>
      <w:r w:rsidR="00D445FE">
        <w:t xml:space="preserve"> period,</w:t>
      </w:r>
      <w:r w:rsidRPr="00534FDA">
        <w:t xml:space="preserve"> </w:t>
      </w:r>
      <w:r w:rsidR="00846586">
        <w:t xml:space="preserve">4 </w:t>
      </w:r>
      <w:r w:rsidR="00A27C37">
        <w:t>739</w:t>
      </w:r>
      <w:r w:rsidR="009F4749" w:rsidRPr="00534FDA">
        <w:t xml:space="preserve"> </w:t>
      </w:r>
      <w:r w:rsidR="004837CD">
        <w:t xml:space="preserve">out of </w:t>
      </w:r>
      <w:r w:rsidR="00A27C37">
        <w:t>22 946</w:t>
      </w:r>
      <w:r w:rsidR="004837CD" w:rsidRPr="00534FDA">
        <w:t xml:space="preserve"> (2</w:t>
      </w:r>
      <w:r w:rsidR="002F34E5">
        <w:t>1</w:t>
      </w:r>
      <w:r w:rsidR="004837CD" w:rsidRPr="00534FDA">
        <w:t>%) IR-only surveillance tests</w:t>
      </w:r>
      <w:r w:rsidR="00FA65E8">
        <w:t xml:space="preserve"> </w:t>
      </w:r>
      <w:r w:rsidR="004837CD">
        <w:t xml:space="preserve">disclosing </w:t>
      </w:r>
      <w:r w:rsidR="0026040F">
        <w:t>6 296</w:t>
      </w:r>
      <w:r w:rsidR="00B337C5">
        <w:t xml:space="preserve"> out of </w:t>
      </w:r>
      <w:r w:rsidR="00A27C37" w:rsidRPr="00B337C5">
        <w:t>42 6</w:t>
      </w:r>
      <w:r w:rsidR="0026040F">
        <w:t>8</w:t>
      </w:r>
      <w:r w:rsidR="00A27C37" w:rsidRPr="00B337C5">
        <w:t>5</w:t>
      </w:r>
      <w:r w:rsidR="00B337C5">
        <w:t xml:space="preserve"> total</w:t>
      </w:r>
      <w:r w:rsidR="004837CD" w:rsidRPr="00B337C5">
        <w:t xml:space="preserve"> IRs</w:t>
      </w:r>
      <w:r w:rsidR="00A27C37" w:rsidRPr="00B337C5">
        <w:t>,</w:t>
      </w:r>
      <w:r w:rsidR="004837CD" w:rsidRPr="00B337C5">
        <w:t xml:space="preserve"> </w:t>
      </w:r>
      <w:r w:rsidR="008E5B44" w:rsidRPr="00B337C5">
        <w:t>had an incident at retest</w:t>
      </w:r>
      <w:r w:rsidR="00D445FE" w:rsidRPr="00B337C5">
        <w:t xml:space="preserve"> </w:t>
      </w:r>
      <w:r w:rsidR="00FA65E8" w:rsidRPr="00B337C5">
        <w:t>(</w:t>
      </w:r>
      <w:r w:rsidR="002F34E5" w:rsidRPr="00B337C5">
        <w:t>2 7</w:t>
      </w:r>
      <w:r w:rsidR="00A27C37" w:rsidRPr="00B337C5">
        <w:t>1</w:t>
      </w:r>
      <w:r w:rsidR="002F34E5" w:rsidRPr="00B337C5">
        <w:t xml:space="preserve">6 </w:t>
      </w:r>
      <w:r w:rsidR="0028193C" w:rsidRPr="00B337C5">
        <w:t xml:space="preserve">IRs became reactors and </w:t>
      </w:r>
      <w:r w:rsidR="002F34E5" w:rsidRPr="00B337C5">
        <w:t xml:space="preserve">3 </w:t>
      </w:r>
      <w:r w:rsidR="00A27C37" w:rsidRPr="00B337C5">
        <w:t>580</w:t>
      </w:r>
      <w:r w:rsidR="0028193C" w:rsidRPr="00B337C5">
        <w:t xml:space="preserve"> IRs became two-time IRs</w:t>
      </w:r>
      <w:r w:rsidR="00FA65E8" w:rsidRPr="00B337C5">
        <w:t>)</w:t>
      </w:r>
      <w:r w:rsidR="008E5B44" w:rsidRPr="00534FDA">
        <w:t>.</w:t>
      </w:r>
      <w:r w:rsidR="0028193C" w:rsidRPr="00534FDA">
        <w:t xml:space="preserve"> </w:t>
      </w:r>
      <w:r w:rsidRPr="002F1796">
        <w:t xml:space="preserve">Both models </w:t>
      </w:r>
      <w:r w:rsidR="00390FB6" w:rsidRPr="002F1796">
        <w:t xml:space="preserve">showed </w:t>
      </w:r>
      <w:r w:rsidR="002F1796" w:rsidRPr="002F1796">
        <w:t>an</w:t>
      </w:r>
      <w:r w:rsidR="00D62360">
        <w:t xml:space="preserve"> AUC above</w:t>
      </w:r>
      <w:r w:rsidR="00390FB6" w:rsidRPr="002F1796">
        <w:t xml:space="preserve"> 8</w:t>
      </w:r>
      <w:r w:rsidR="00A27C37">
        <w:t>0</w:t>
      </w:r>
      <w:r w:rsidR="00390FB6" w:rsidRPr="002F1796">
        <w:t>%</w:t>
      </w:r>
      <w:r w:rsidR="00375EEF" w:rsidRPr="002F1796">
        <w:t xml:space="preserve"> </w:t>
      </w:r>
      <w:r w:rsidR="004837CD" w:rsidRPr="002F1796">
        <w:t>in the 2012-2019 dataset. C</w:t>
      </w:r>
      <w:r w:rsidRPr="002F1796">
        <w:t xml:space="preserve">lassification tree analysis was </w:t>
      </w:r>
      <w:r w:rsidR="004837CD" w:rsidRPr="002F1796">
        <w:t>preferred</w:t>
      </w:r>
      <w:r w:rsidRPr="002F1796">
        <w:t xml:space="preserve"> due to its easy-to-</w:t>
      </w:r>
      <w:r w:rsidRPr="002F1796">
        <w:lastRenderedPageBreak/>
        <w:t>interpret outputs</w:t>
      </w:r>
      <w:r w:rsidR="00375EEF" w:rsidRPr="002F1796">
        <w:t xml:space="preserve">, </w:t>
      </w:r>
      <w:r w:rsidR="00484981" w:rsidRPr="002F1796">
        <w:t>7</w:t>
      </w:r>
      <w:r w:rsidR="00A27C37">
        <w:t>0</w:t>
      </w:r>
      <w:r w:rsidR="00484981" w:rsidRPr="002F1796">
        <w:t>%</w:t>
      </w:r>
      <w:r w:rsidRPr="002F1796">
        <w:t xml:space="preserve"> sensitivity</w:t>
      </w:r>
      <w:r w:rsidR="00375EEF" w:rsidRPr="002F1796">
        <w:t xml:space="preserve">, and </w:t>
      </w:r>
      <w:r w:rsidRPr="002F1796">
        <w:t>9</w:t>
      </w:r>
      <w:r w:rsidR="002F1796" w:rsidRPr="002F1796">
        <w:t>3</w:t>
      </w:r>
      <w:r w:rsidRPr="002F1796">
        <w:t>%</w:t>
      </w:r>
      <w:r w:rsidR="00375EEF" w:rsidRPr="002F1796">
        <w:t xml:space="preserve"> specificity</w:t>
      </w:r>
      <w:r w:rsidRPr="002F1796">
        <w:t xml:space="preserve"> in the </w:t>
      </w:r>
      <w:r w:rsidR="00D445FE" w:rsidRPr="002F1796">
        <w:t xml:space="preserve">20% of 2019-2020 </w:t>
      </w:r>
      <w:r w:rsidRPr="002F1796">
        <w:t xml:space="preserve">testing dataset. </w:t>
      </w:r>
    </w:p>
    <w:p w14:paraId="26DD8EBF" w14:textId="437E8295" w:rsidR="00C24401" w:rsidRPr="00534FDA" w:rsidRDefault="0028193C" w:rsidP="00C24401">
      <w:r w:rsidRPr="00534FDA">
        <w:t>The</w:t>
      </w:r>
      <w:r w:rsidR="00D445FE">
        <w:t xml:space="preserve"> paper</w:t>
      </w:r>
      <w:r w:rsidRPr="00534FDA">
        <w:t xml:space="preserve"> aim</w:t>
      </w:r>
      <w:r w:rsidR="00D445FE">
        <w:t>ed</w:t>
      </w:r>
      <w:r w:rsidRPr="00534FDA">
        <w:t xml:space="preserve"> to </w:t>
      </w:r>
      <w:r w:rsidR="000B75DD" w:rsidRPr="00534FDA">
        <w:t>identify</w:t>
      </w:r>
      <w:r w:rsidRPr="00534FDA">
        <w:t xml:space="preserve"> IR-only surveillance tests at-risk of an incident at the 60-day retest to target them with appropriate measures to mitigate the </w:t>
      </w:r>
      <w:r w:rsidR="009D1898">
        <w:t xml:space="preserve">IRs’ </w:t>
      </w:r>
      <w:r w:rsidRPr="00534FDA">
        <w:t>risk</w:t>
      </w:r>
      <w:r w:rsidR="00F55FB4" w:rsidRPr="00534FDA">
        <w:t xml:space="preserve">. </w:t>
      </w:r>
      <w:r w:rsidR="000C47A1">
        <w:t>Sixteen percent</w:t>
      </w:r>
      <w:r w:rsidR="000C47A1" w:rsidRPr="002F1796">
        <w:t xml:space="preserve"> (</w:t>
      </w:r>
      <w:r w:rsidR="000C47A1">
        <w:t>341</w:t>
      </w:r>
      <w:r w:rsidR="000C47A1" w:rsidRPr="002F1796">
        <w:t xml:space="preserve"> out of </w:t>
      </w:r>
      <w:r w:rsidR="000C47A1">
        <w:t>2 177</w:t>
      </w:r>
      <w:r w:rsidR="000C47A1" w:rsidRPr="002F1796">
        <w:t xml:space="preserve">) of IR-only herd tests were identified as high-risk in </w:t>
      </w:r>
      <w:r w:rsidR="000C47A1">
        <w:t>the 2020</w:t>
      </w:r>
      <w:r w:rsidR="000C47A1" w:rsidRPr="002F1796">
        <w:t xml:space="preserve"> dataset, with </w:t>
      </w:r>
      <w:r w:rsidR="000C47A1">
        <w:t>265</w:t>
      </w:r>
      <w:r w:rsidR="000C47A1" w:rsidRPr="002F1796">
        <w:t xml:space="preserve"> (7</w:t>
      </w:r>
      <w:r w:rsidR="000C47A1">
        <w:t>8</w:t>
      </w:r>
      <w:r w:rsidR="000C47A1" w:rsidRPr="002F1796">
        <w:t>%) of these having at least one reactor or IR at retest</w:t>
      </w:r>
      <w:r w:rsidR="000C47A1">
        <w:t xml:space="preserve">. </w:t>
      </w:r>
      <w:r w:rsidR="009D1898">
        <w:t>S</w:t>
      </w:r>
      <w:r w:rsidR="00F55FB4" w:rsidRPr="00534FDA">
        <w:t>evere</w:t>
      </w:r>
      <w:r w:rsidR="004837CD">
        <w:t>-level</w:t>
      </w:r>
      <w:r w:rsidR="00C24401" w:rsidRPr="00534FDA">
        <w:t xml:space="preserve"> </w:t>
      </w:r>
      <w:r w:rsidR="00F55FB4" w:rsidRPr="00534FDA">
        <w:t>rei</w:t>
      </w:r>
      <w:r w:rsidR="00C24401" w:rsidRPr="00534FDA">
        <w:t xml:space="preserve">nterpretation </w:t>
      </w:r>
      <w:r w:rsidR="00F55FB4" w:rsidRPr="00534FDA">
        <w:t>of</w:t>
      </w:r>
      <w:r w:rsidR="00C24401" w:rsidRPr="00534FDA">
        <w:t xml:space="preserve"> </w:t>
      </w:r>
      <w:r w:rsidR="000C47A1">
        <w:t>the</w:t>
      </w:r>
      <w:r w:rsidR="009D1898">
        <w:t xml:space="preserve"> </w:t>
      </w:r>
      <w:r w:rsidR="004837CD">
        <w:t>high-risk</w:t>
      </w:r>
      <w:r w:rsidR="00C24401" w:rsidRPr="00534FDA">
        <w:t xml:space="preserve"> </w:t>
      </w:r>
      <w:r w:rsidR="004837CD">
        <w:t xml:space="preserve">IR-only </w:t>
      </w:r>
      <w:r w:rsidR="00C24401" w:rsidRPr="00534FDA">
        <w:t xml:space="preserve">disclosing </w:t>
      </w:r>
      <w:r w:rsidR="004837CD">
        <w:t xml:space="preserve">tests </w:t>
      </w:r>
      <w:r w:rsidR="009D1898">
        <w:t xml:space="preserve">identified </w:t>
      </w:r>
      <w:r w:rsidR="000C47A1">
        <w:t>in this</w:t>
      </w:r>
      <w:r w:rsidR="009D1898">
        <w:t xml:space="preserve"> dataset would turn</w:t>
      </w:r>
      <w:r w:rsidR="00C24401" w:rsidRPr="00534FDA">
        <w:t xml:space="preserve"> </w:t>
      </w:r>
      <w:r w:rsidR="000C47A1">
        <w:t>68</w:t>
      </w:r>
      <w:r w:rsidR="00C24401" w:rsidRPr="00534FDA">
        <w:t xml:space="preserve"> out of the </w:t>
      </w:r>
      <w:r w:rsidR="000C47A1">
        <w:t>590</w:t>
      </w:r>
      <w:r w:rsidR="00C24401" w:rsidRPr="00534FDA">
        <w:t xml:space="preserve"> (</w:t>
      </w:r>
      <w:r w:rsidR="006518CF" w:rsidRPr="00534FDA">
        <w:t>1</w:t>
      </w:r>
      <w:r w:rsidR="002F1796">
        <w:t>2</w:t>
      </w:r>
      <w:r w:rsidR="00C24401" w:rsidRPr="00534FDA">
        <w:t xml:space="preserve">%) </w:t>
      </w:r>
      <w:r w:rsidR="006959F9" w:rsidRPr="00534FDA">
        <w:t xml:space="preserve">IRs </w:t>
      </w:r>
      <w:r w:rsidR="009D1898">
        <w:t>into</w:t>
      </w:r>
      <w:r w:rsidR="00C24401" w:rsidRPr="00534FDA">
        <w:t xml:space="preserve"> reactors</w:t>
      </w:r>
      <w:r w:rsidR="009D1898">
        <w:t xml:space="preserve">, </w:t>
      </w:r>
      <w:r w:rsidR="00F55FB4" w:rsidRPr="00534FDA">
        <w:t>generat</w:t>
      </w:r>
      <w:r w:rsidR="009D1898">
        <w:t>ing</w:t>
      </w:r>
      <w:r w:rsidR="00C24401" w:rsidRPr="00534FDA">
        <w:t xml:space="preserve"> </w:t>
      </w:r>
      <w:r w:rsidR="006518CF" w:rsidRPr="00534FDA">
        <w:t>2</w:t>
      </w:r>
      <w:r w:rsidR="000C47A1">
        <w:t>3</w:t>
      </w:r>
      <w:r w:rsidR="00C24401" w:rsidRPr="00534FDA">
        <w:t xml:space="preserve"> incidents, the majority (</w:t>
      </w:r>
      <w:r w:rsidR="006518CF" w:rsidRPr="00534FDA">
        <w:t>19</w:t>
      </w:r>
      <w:r w:rsidR="00C24401" w:rsidRPr="00534FDA">
        <w:t xml:space="preserve"> or </w:t>
      </w:r>
      <w:r w:rsidR="000C47A1">
        <w:t>83</w:t>
      </w:r>
      <w:r w:rsidR="00C24401" w:rsidRPr="00534FDA">
        <w:t xml:space="preserve">%) part of the </w:t>
      </w:r>
      <w:r w:rsidR="002F1796">
        <w:t>265</w:t>
      </w:r>
      <w:r w:rsidR="00C24401" w:rsidRPr="00534FDA">
        <w:t xml:space="preserve"> incidents that would have been declared at the retest.</w:t>
      </w:r>
    </w:p>
    <w:p w14:paraId="0A819080" w14:textId="19A7081C" w:rsidR="003C7DF2" w:rsidRPr="00534FDA" w:rsidRDefault="00C24401" w:rsidP="00C24401">
      <w:pPr>
        <w:rPr>
          <w:iCs/>
        </w:rPr>
      </w:pPr>
      <w:r w:rsidRPr="00534FDA">
        <w:t xml:space="preserve">Classification tree analysis used to identify </w:t>
      </w:r>
      <w:r w:rsidR="00BA2B44" w:rsidRPr="00534FDA">
        <w:t xml:space="preserve">IR-only </w:t>
      </w:r>
      <w:r w:rsidRPr="00534FDA">
        <w:t xml:space="preserve">high-risk </w:t>
      </w:r>
      <w:r w:rsidR="00BA2B44" w:rsidRPr="00534FDA">
        <w:t>tests in herds</w:t>
      </w:r>
      <w:r w:rsidRPr="00534FDA">
        <w:t xml:space="preserve"> eligible for severe interpretation would enhance the sensitivity of the test-and-slaughter regime, cornerstone of the bTB eradication programme in England</w:t>
      </w:r>
      <w:r w:rsidR="00BA2B44" w:rsidRPr="00534FDA">
        <w:t>,</w:t>
      </w:r>
      <w:r w:rsidRPr="00534FDA">
        <w:t xml:space="preserve"> further mitiga</w:t>
      </w:r>
      <w:r w:rsidR="00BA2B44" w:rsidRPr="00534FDA">
        <w:t>ting</w:t>
      </w:r>
      <w:r w:rsidRPr="00534FDA">
        <w:t xml:space="preserve"> the risk of disease spread posed by </w:t>
      </w:r>
      <w:r w:rsidR="00BA2B44" w:rsidRPr="00534FDA">
        <w:t>IR</w:t>
      </w:r>
      <w:r w:rsidRPr="00534FDA">
        <w:t>s</w:t>
      </w:r>
      <w:r w:rsidR="00355D3E" w:rsidRPr="00534FDA">
        <w:rPr>
          <w:iCs/>
        </w:rPr>
        <w:t>.</w:t>
      </w:r>
      <w:r w:rsidR="00502300" w:rsidRPr="00534FDA">
        <w:rPr>
          <w:iCs/>
        </w:rPr>
        <w:t xml:space="preserve"> </w:t>
      </w:r>
    </w:p>
    <w:p w14:paraId="4C00C949" w14:textId="1F065ED2" w:rsidR="00DD1EAD" w:rsidRPr="00534FDA" w:rsidRDefault="00DD1EAD" w:rsidP="00DD1EAD">
      <w:pPr>
        <w:pStyle w:val="Title1"/>
        <w:numPr>
          <w:ilvl w:val="0"/>
          <w:numId w:val="0"/>
        </w:numPr>
        <w:spacing w:after="0" w:line="480" w:lineRule="auto"/>
        <w:rPr>
          <w:b w:val="0"/>
          <w:iCs/>
          <w:szCs w:val="24"/>
        </w:rPr>
      </w:pPr>
      <w:r w:rsidRPr="00534FDA">
        <w:rPr>
          <w:b w:val="0"/>
          <w:szCs w:val="24"/>
        </w:rPr>
        <w:t>Keywords:</w:t>
      </w:r>
      <w:r w:rsidR="00C24401" w:rsidRPr="00534FDA">
        <w:rPr>
          <w:rFonts w:eastAsia="Times New Roman" w:cs="Times New Roman"/>
          <w:b w:val="0"/>
          <w:i/>
          <w:szCs w:val="24"/>
          <w:lang w:eastAsia="en-GB"/>
        </w:rPr>
        <w:t xml:space="preserve"> </w:t>
      </w:r>
      <w:bookmarkStart w:id="4" w:name="_GoBack"/>
      <w:r w:rsidR="00C24401" w:rsidRPr="00534FDA">
        <w:rPr>
          <w:b w:val="0"/>
          <w:i/>
          <w:szCs w:val="24"/>
        </w:rPr>
        <w:t xml:space="preserve">Bovine tuberculosis, Machine learning, Classification tree analysis, Inconclusive reactor management, </w:t>
      </w:r>
      <w:r w:rsidR="00096BAC" w:rsidRPr="00534FDA">
        <w:rPr>
          <w:b w:val="0"/>
          <w:i/>
          <w:szCs w:val="24"/>
        </w:rPr>
        <w:t>S</w:t>
      </w:r>
      <w:r w:rsidR="00C24401" w:rsidRPr="00534FDA">
        <w:rPr>
          <w:b w:val="0"/>
          <w:i/>
          <w:szCs w:val="24"/>
        </w:rPr>
        <w:t>urveillance, England</w:t>
      </w:r>
      <w:bookmarkEnd w:id="4"/>
      <w:r w:rsidRPr="00534FDA">
        <w:rPr>
          <w:b w:val="0"/>
          <w:i/>
          <w:szCs w:val="24"/>
        </w:rPr>
        <w:t>.</w:t>
      </w:r>
    </w:p>
    <w:p w14:paraId="777B7CFA" w14:textId="6A87B991" w:rsidR="000D18C3" w:rsidRDefault="000D18C3" w:rsidP="00F52BBC">
      <w:pPr>
        <w:pStyle w:val="Title1"/>
      </w:pPr>
      <w:r w:rsidRPr="000075CC">
        <w:t>Introduction</w:t>
      </w:r>
    </w:p>
    <w:p w14:paraId="122DBD60" w14:textId="70A7B409" w:rsidR="00C24401" w:rsidRDefault="00C24401" w:rsidP="00C24401">
      <w:r>
        <w:t xml:space="preserve">Bovine tuberculosis (bTB), caused by infection of cattle with </w:t>
      </w:r>
      <w:r w:rsidRPr="00F95064">
        <w:rPr>
          <w:i/>
        </w:rPr>
        <w:t xml:space="preserve">Mycobacterium </w:t>
      </w:r>
      <w:proofErr w:type="spellStart"/>
      <w:r w:rsidRPr="00F95064">
        <w:rPr>
          <w:i/>
        </w:rPr>
        <w:t>bovis</w:t>
      </w:r>
      <w:proofErr w:type="spellEnd"/>
      <w:r>
        <w:t xml:space="preserve"> (</w:t>
      </w:r>
      <w:r w:rsidRPr="00F95064">
        <w:rPr>
          <w:i/>
        </w:rPr>
        <w:t xml:space="preserve">M. </w:t>
      </w:r>
      <w:proofErr w:type="spellStart"/>
      <w:r w:rsidRPr="00F95064">
        <w:rPr>
          <w:i/>
        </w:rPr>
        <w:t>bovis</w:t>
      </w:r>
      <w:proofErr w:type="spellEnd"/>
      <w:r>
        <w:t xml:space="preserve">), continues to prove very difficult to tackle, particularly in England, which has the highest incidence in Europe </w:t>
      </w:r>
      <w:r w:rsidR="0013561C">
        <w:fldChar w:fldCharType="begin" w:fldLock="1"/>
      </w:r>
      <w:r w:rsidR="00D6638E">
        <w:instrText>ADDIN CSL_CITATION {"citationItems":[{"id":"ITEM-1","itemData":{"DOI":"10.2903/j.efsa.2019.5926","ISSN":"18314732","abstract":"This report of the European Food Safety Authority and the European Centre for Disease Prevention and Control presents the results of zoonoses monitoring activities carried out in 2018 in 36 European countries (28 Member States (MS) and 8 non-MS). The first and second most commonly reported zoonoses in humans were campylobacteriosis and salmonellosis, respectively. The European Union (EU) trend for confirmed human cases of these two diseases was stable during 2014–2018. The proportion of human salmonellosis cases due to Salmonella Enteritidis was at the same level in 2018 as in 2017. Of the 27 reporting MS, 16 met all Salmonella reduction targets for poultry, whereas 11 MS failed meeting at least one. The EU flock prevalence of target Salmonella serovars in breeding hens, laying hens, broilers and fattening turkeys decreased during recent years but stalled in breeding turkeys. Salmonella results from Competent Authorities for pig carcasses and for poultry tested through National Control Programmes were more frequently positive compared with food business operators. Shiga toxin-producing Escherichia coli (STEC) infections in humans were the third most commonly reported zoonosis in the EU and increased from 2014 to 2018. Yersiniosis was the fourth most frequently reported zoonosis in humans in 2018 with a stable trend in 2014–2018. The number of reported confirmed listeriosis cases further increased in 2018, despite Listeria rarely exceeding the EU food safety limit tested in ready-to-eat food. In total, 5,146 food- and waterborne outbreaks were reported. Salmonella was the most commonly detected agent with S. Enteritidis causing one in five outbreaks. Salmonella in eggs and egg products was the highest risk agent/food pair. A large increase of human West Nile virus infections was reported in 2018. The report further updates on bovine tuberculosis, Brucella, Trichinella, Echinococcus, Toxoplasma, rabies, Coxiella burnetii (Q fever) and tularaemia.","author":[{"dropping-particle":"","family":"EFSA/ECDC","given":"","non-dropping-particle":"","parse-names":false,"suffix":""}],"container-title":"EFSA Journal","id":"ITEM-1","issue":"12","issued":{"date-parts":[["2019"]]},"title":"The European Union One Health 2018 Zoonoses Report","type":"article-journal","volume":"17"},"uris":["http://www.mendeley.com/documents/?uuid=6f9737f6-2d21-4b50-af7f-ab875ad4b012"]}],"mendeley":{"formattedCitation":"(EFSA/ECDC, 2019)","plainTextFormattedCitation":"(EFSA/ECDC, 2019)","previouslyFormattedCitation":"(EFSA/ECDC, 2019)"},"properties":{"noteIndex":0},"schema":"https://github.com/citation-style-language/schema/raw/master/csl-citation.json"}</w:instrText>
      </w:r>
      <w:r w:rsidR="0013561C">
        <w:fldChar w:fldCharType="separate"/>
      </w:r>
      <w:r w:rsidR="00DC1312" w:rsidRPr="00DC1312">
        <w:rPr>
          <w:noProof/>
        </w:rPr>
        <w:t>(EFSA/ECDC, 2019)</w:t>
      </w:r>
      <w:r w:rsidR="0013561C">
        <w:fldChar w:fldCharType="end"/>
      </w:r>
      <w:r>
        <w:t xml:space="preserve">, yet which aims to eradicate it by 2038 </w:t>
      </w:r>
      <w:r w:rsidR="0013561C">
        <w:fldChar w:fldCharType="begin" w:fldLock="1"/>
      </w:r>
      <w:r w:rsidR="0013561C">
        <w:instrText>ADDIN CSL_CITATION {"citationItems":[{"id":"ITEM-1","itemData":{"author":[{"dropping-particle":"","family":"Defra","given":"","non-dropping-particle":"","parse-names":false,"suffix":""}],"editor":[{"dropping-particle":"","family":"Defra","given":"","non-dropping-particle":"","parse-names":false,"suffix":""}],"id":"ITEM-1","issued":{"date-parts":[["2014"]]},"number-of-pages":"85","publisher":"Defra","title":"The strategy for achieving Officially Bovine Tuberculosis Free status for England","type":"report"},"uris":["http://www.mendeley.com/documents/?uuid=66bdc699-e8a0-477a-b18b-36932595695b"]}],"mendeley":{"formattedCitation":"(Defra, 2014)","plainTextFormattedCitation":"(Defra, 2014)","previouslyFormattedCitation":"(Defra, 2014)"},"properties":{"noteIndex":0},"schema":"https://github.com/citation-style-language/schema/raw/master/csl-citation.json"}</w:instrText>
      </w:r>
      <w:r w:rsidR="0013561C">
        <w:fldChar w:fldCharType="separate"/>
      </w:r>
      <w:r w:rsidR="0013561C" w:rsidRPr="0013561C">
        <w:rPr>
          <w:noProof/>
        </w:rPr>
        <w:t>(Defra, 2014)</w:t>
      </w:r>
      <w:r w:rsidR="0013561C">
        <w:fldChar w:fldCharType="end"/>
      </w:r>
      <w:r>
        <w:t xml:space="preserve">. The control and eradication of </w:t>
      </w:r>
      <w:r w:rsidRPr="00F95064">
        <w:rPr>
          <w:i/>
        </w:rPr>
        <w:t xml:space="preserve">M. </w:t>
      </w:r>
      <w:proofErr w:type="spellStart"/>
      <w:r w:rsidRPr="00F95064">
        <w:rPr>
          <w:i/>
        </w:rPr>
        <w:t>bovis</w:t>
      </w:r>
      <w:proofErr w:type="spellEnd"/>
      <w:r>
        <w:t xml:space="preserve"> requires the early recognition and </w:t>
      </w:r>
      <w:r>
        <w:lastRenderedPageBreak/>
        <w:t xml:space="preserve">prompt removal of </w:t>
      </w:r>
      <w:proofErr w:type="spellStart"/>
      <w:r>
        <w:t>subclinically</w:t>
      </w:r>
      <w:proofErr w:type="spellEnd"/>
      <w:r>
        <w:t>-infected animals to prevent transmission to other animals as well as humans</w:t>
      </w:r>
      <w:r w:rsidR="0013561C">
        <w:t xml:space="preserve"> </w:t>
      </w:r>
      <w:r w:rsidR="0013561C">
        <w:fldChar w:fldCharType="begin" w:fldLock="1"/>
      </w:r>
      <w:r w:rsidR="00B043A8">
        <w:instrText>ADDIN CSL_CITATION {"citationItems":[{"id":"ITEM-1","itemData":{"DOI":"10.1016/j.vetmic.2011.07.034","ISSN":"03781135","author":[{"dropping-particle":"","family":"Álvarez","given":"Julio","non-dropping-particle":"","parse-names":false,"suffix":""},{"dropping-particle":"","family":"Perez","given":"Andrés","non-dropping-particle":"","parse-names":false,"suffix":""},{"dropping-particle":"","family":"Bezos","given":"Javier","non-dropping-particle":"","parse-names":false,"suffix":""},{"dropping-particle":"","family":"Marqués","given":"Sergio","non-dropping-particle":"","parse-names":false,"suffix":""},{"dropping-particle":"","family":"Grau","given":"Anna","non-dropping-particle":"","parse-names":false,"suffix":""},{"dropping-particle":"","family":"Saez","given":"Jose Luis","non-dropping-particle":"","parse-names":false,"suffix":""},{"dropping-particle":"","family":"Mínguez","given":"Olga","non-dropping-particle":"","parse-names":false,"suffix":""},{"dropping-particle":"","family":"Juan","given":"Lucía","non-dropping-particle":"de","parse-names":false,"suffix":""},{"dropping-particle":"","family":"Domínguez","given":"Lucas","non-dropping-particle":"","parse-names":false,"suffix":""}],"container-title":"Veterinary Microbiology","id":"ITEM-1","issue":"1","issued":{"date-parts":[["2012"]]},"page":"38-43","title":"Evaluation of the sensitivity and specificity of bovine tuberculosis diagnostic tests in naturally infected cattle herds using a Bayesian approach","type":"article-journal","volume":"155"},"uris":["http://www.mendeley.com/documents/?uuid=b83192bd-8e2b-4797-8cac-5c46613a0e04"]},{"id":"ITEM-2","itemData":{"DOI":"10.20506/rst.20.1.1263","ISSN":"02531933","PMID":"11288521","abstract":"Bovine tuberculosis, caused by Mycobacterium bovis, is a well-known zoonotic disease which affects cattle world-wide. The public health risk has been alleviated in many countries by the introduction of pasteurisation, but the disease continues to cause production losses when poorly controlled. The Office International des Epizooties classifies bovine tuberculosis as a List B disease, a disease which is considered to be of socio-economic or public health importance within countries and of significance to the international trade of animals and animal products. Consequently, most developed nations have embarked on campaigns to eradicate M. bovis from the cattle population or at least to control the spread of infection. The success of these eradication and control programmes has been mixed. Mycobacterium bovis infects other animal species, both domesticated and wild, and this range of hosts may complicate attempts to control or eradicate the disease in cattle.","author":[{"dropping-particle":"V.","family":"Cousins","given":"D.","non-dropping-particle":"","parse-names":false,"suffix":""}],"container-title":"OIE Revue Scientifique et Technique","id":"ITEM-2","issue":"1","issued":{"date-parts":[["2001"]]},"page":"71-85","title":"Mycobacterium bovis infection and control in domestic livestock","type":"article-journal","volume":"20"},"uris":["http://www.mendeley.com/documents/?uuid=486a5cb3-f6e1-4d98-a092-2d175a0c580b"]},{"id":"ITEM-3","itemData":{"DOI":"10.1016/j.rvsc.2005.11.005","ISBN":"0034-5288 (Print)\\r0034-5288 (Linking)","ISSN":"00345288","PMID":"16513150","abstract":"The early, preclinical stages of bovine TB can be detected in live animals by the use of tests of cellular immunity (the skin, γ-interferon and lymphocyte transformation tests). Tests of humoral (antibody) immunity, Mycobacterium bovis PCR probes on early tissue cultures or live cattle specimens, and tests based on \"electronic nose\" technology have been developed more recently. The key measure of diagnostic test accuracy is the relationship between sensitivity and specificity, which determines the false-positive and false-negative proportions. None of the tests currently available for the diagnosis of bovine TB allow a perfectly accurate determination of the M. bovis infection status of cattle. Although various factors can reduce the sensitivity and specificity of the skin tests, these remain the primary ante mortem diagnostic tools for TB in cattle, providing a cost-effective and reliable means of screening entire cattle populations. Despite the inescapable limitations of existing diagnostic tests, bovine TB has been effectively eradicated from many developed countries and regions with the implementation of sound programmes of regular tuberculin skin testing and removal of reactors, coupled with slaughterhouse surveillance for undetected infections, repeat testing and culling of infected herds, cattle movement restrictions to prevent introduction of infected animals and occasional slaughter of entire herds with intractable breakdowns. This is likely to remain the mainstay of bovine TB control programmes for the foreseeable future. Additionally, newer ancillary in vitro diagnostic assays are now available to TB control programme managers to supplement the skin tests in defined circumstances according to the specific disease situation in each country or region. The strategic deployment of ancillary in vitro tests alongside the primary skin tests has enhanced the detection of M. bovis-infected cattle and reduced the number of animals slaughtered as false positives. Crown Copyright © 2006.","author":[{"dropping-particle":"","family":"la Rua-Domenech","given":"R.","non-dropping-particle":"de","parse-names":false,"suffix":""},{"dropping-particle":"","family":"Goodchild","given":"A. T.","non-dropping-particle":"","parse-names":false,"suffix":""},{"dropping-particle":"","family":"Vordermeier","given":"H. M.","non-dropping-particle":"","parse-names":false,"suffix":""},{"dropping-particle":"","family":"Hewinson","given":"R. G.","non-dropping-particle":"","parse-names":false,"suffix":""},{"dropping-particle":"","family":"Christiansen","given":"K. H.","non-dropping-particle":"","parse-names":false,"suffix":""},{"dropping-particle":"","family":"Clifton-Hadley","given":"R. S.","non-dropping-particle":"","parse-names":false,"suffix":""}],"container-title":"Research in Veterinary Science","id":"ITEM-3","issue":"2","issued":{"date-parts":[["2006"]]},"page":"190-210","title":"Ante mortem diagnosis of tuberculosis in cattle: A review of the tuberculin tests, γ-interferon assay and other ancillary diagnostic techniques","type":"article-journal","volume":"81"},"uris":["http://www.mendeley.com/documents/?uuid=8cbbfa80-4aae-4845-9fcd-a29fd603f59a"]},{"id":"ITEM-4","itemData":{"DOI":"10.4061/2011/410470","ISSN":"20420048","abstract":"Tuberculosis remains a significant disease of animals and humans worldwide. Bovine tuberculosis is caused by Mycobacteria with an extremely wide host range and serious, although currently probably underdiagnosed, zoonotic potential. Where bovine tuberculosis controls are effective, human zoonotic TB, due to Mycobacterium bovis or M. caprae, is uncommon and clinical cases are infrequent in cattle. Therefore, the control and ultimate eradication of bovine tuberculosis is desirable. Tuberculin tests are the primary screening tool used in bovine eradication. The choice of tuberculin test is dependent on the environment in which it is to be used. Tuberculin potency is critical to test performance, and the accurate determination of potency is therefore particularly important. The design of a control or eradication programme should take into consideration the fundamental scientific knowledge, the epidemiological profile of disease, the experience of other eradication programmes, and the presence, in the same ecosystem, of maintenance hosts, in which infection is self-sustaining and which are capable of transmitting infection. A control or eradication programme will necessarily require modification as it progresses and must be under constant review to identify the optimal desirable goals, the efficacy of policy, and constraints to progress. © 2011 Margaret Good and Anthony Duignan.","author":[{"dropping-particle":"","family":"Good","given":"Margaret","non-dropping-particle":"","parse-names":false,"suffix":""},{"dropping-particle":"","family":"Duignan","given":"Anthony","non-dropping-particle":"","parse-names":false,"suffix":""}],"container-title":"Veterinary Medicine International","id":"ITEM-4","issued":{"date-parts":[["2011"]]},"title":"Perspectives on the history of bovine TB and the role of tuberculin in bovine TB eradication","type":"article-journal","volume":"2011"},"uris":["http://www.mendeley.com/documents/?uuid=f1e5f0bc-7305-44b4-a4c4-c0a81468b600"]}],"mendeley":{"formattedCitation":"(Álvarez et al., 2012; Cousins, 2001; de la Rua-Domenech et al., 2006; Good and Duignan, 2011)","plainTextFormattedCitation":"(Álvarez et al., 2012; Cousins, 2001; de la Rua-Domenech et al., 2006; Good and Duignan, 2011)","previouslyFormattedCitation":"(Álvarez et al., 2012; Cousins, 2001; de la Rua-Domenech et al., 2006; Good and Duignan, 2011)"},"properties":{"noteIndex":0},"schema":"https://github.com/citation-style-language/schema/raw/master/csl-citation.json"}</w:instrText>
      </w:r>
      <w:r w:rsidR="0013561C">
        <w:fldChar w:fldCharType="separate"/>
      </w:r>
      <w:r w:rsidR="0013561C" w:rsidRPr="0013561C">
        <w:rPr>
          <w:noProof/>
        </w:rPr>
        <w:t>(Álvarez et al., 2012; Cousins, 2001; de la Rua-Domenech et al., 2006; Good and Duignan, 2011)</w:t>
      </w:r>
      <w:r w:rsidR="0013561C">
        <w:fldChar w:fldCharType="end"/>
      </w:r>
      <w:r w:rsidR="0013561C">
        <w:t>.</w:t>
      </w:r>
      <w:r>
        <w:t xml:space="preserve"> However, currently no diagnostic test allows for a perfect identification of all infected and uninfected cattle </w:t>
      </w:r>
      <w:r w:rsidR="00B043A8">
        <w:fldChar w:fldCharType="begin" w:fldLock="1"/>
      </w:r>
      <w:r w:rsidR="00B043A8">
        <w:instrText>ADDIN CSL_CITATION {"citationItems":[{"id":"ITEM-1","itemData":{"DOI":"10.1016/j.rvsc.2005.11.005","ISBN":"0034-5288 (Print)\\r0034-5288 (Linking)","ISSN":"00345288","PMID":"16513150","abstract":"The early, preclinical stages of bovine TB can be detected in live animals by the use of tests of cellular immunity (the skin, γ-interferon and lymphocyte transformation tests). Tests of humoral (antibody) immunity, Mycobacterium bovis PCR probes on early tissue cultures or live cattle specimens, and tests based on \"electronic nose\" technology have been developed more recently. The key measure of diagnostic test accuracy is the relationship between sensitivity and specificity, which determines the false-positive and false-negative proportions. None of the tests currently available for the diagnosis of bovine TB allow a perfectly accurate determination of the M. bovis infection status of cattle. Although various factors can reduce the sensitivity and specificity of the skin tests, these remain the primary ante mortem diagnostic tools for TB in cattle, providing a cost-effective and reliable means of screening entire cattle populations. Despite the inescapable limitations of existing diagnostic tests, bovine TB has been effectively eradicated from many developed countries and regions with the implementation of sound programmes of regular tuberculin skin testing and removal of reactors, coupled with slaughterhouse surveillance for undetected infections, repeat testing and culling of infected herds, cattle movement restrictions to prevent introduction of infected animals and occasional slaughter of entire herds with intractable breakdowns. This is likely to remain the mainstay of bovine TB control programmes for the foreseeable future. Additionally, newer ancillary in vitro diagnostic assays are now available to TB control programme managers to supplement the skin tests in defined circumstances according to the specific disease situation in each country or region. The strategic deployment of ancillary in vitro tests alongside the primary skin tests has enhanced the detection of M. bovis-infected cattle and reduced the number of animals slaughtered as false positives. Crown Copyright © 2006.","author":[{"dropping-particle":"","family":"la Rua-Domenech","given":"R.","non-dropping-particle":"de","parse-names":false,"suffix":""},{"dropping-particle":"","family":"Goodchild","given":"A. T.","non-dropping-particle":"","parse-names":false,"suffix":""},{"dropping-particle":"","family":"Vordermeier","given":"H. M.","non-dropping-particle":"","parse-names":false,"suffix":""},{"dropping-particle":"","family":"Hewinson","given":"R. G.","non-dropping-particle":"","parse-names":false,"suffix":""},{"dropping-particle":"","family":"Christiansen","given":"K. H.","non-dropping-particle":"","parse-names":false,"suffix":""},{"dropping-particle":"","family":"Clifton-Hadley","given":"R. S.","non-dropping-particle":"","parse-names":false,"suffix":""}],"container-title":"Research in Veterinary Science","id":"ITEM-1","issue":"2","issued":{"date-parts":[["2006"]]},"page":"190-210","title":"Ante mortem diagnosis of tuberculosis in cattle: A review of the tuberculin tests, γ-interferon assay and other ancillary diagnostic techniques","type":"article-journal","volume":"81"},"uris":["http://www.mendeley.com/documents/?uuid=8cbbfa80-4aae-4845-9fcd-a29fd603f59a"]}],"mendeley":{"formattedCitation":"(de la Rua-Domenech et al., 2006)","plainTextFormattedCitation":"(de la Rua-Domenech et al., 2006)","previouslyFormattedCitation":"(de la Rua-Domenech et al., 2006)"},"properties":{"noteIndex":0},"schema":"https://github.com/citation-style-language/schema/raw/master/csl-citation.json"}</w:instrText>
      </w:r>
      <w:r w:rsidR="00B043A8">
        <w:fldChar w:fldCharType="separate"/>
      </w:r>
      <w:r w:rsidR="00B043A8" w:rsidRPr="00B043A8">
        <w:rPr>
          <w:noProof/>
        </w:rPr>
        <w:t>(de la Rua-Domenech et al., 2006)</w:t>
      </w:r>
      <w:r w:rsidR="00B043A8">
        <w:fldChar w:fldCharType="end"/>
      </w:r>
      <w:r>
        <w:t xml:space="preserve">. </w:t>
      </w:r>
    </w:p>
    <w:p w14:paraId="7FC6B53B" w14:textId="22F386E3" w:rsidR="00C24401" w:rsidRDefault="00C24401" w:rsidP="00C24401">
      <w:r>
        <w:t xml:space="preserve">The main diagnostic test for tuberculosis in cattle is the intradermal tuberculin test - or skin test - which elicits a localised delayed hypersensitivity reaction in animals exposed to </w:t>
      </w:r>
      <w:r w:rsidRPr="00F95064">
        <w:rPr>
          <w:i/>
        </w:rPr>
        <w:t xml:space="preserve">M. </w:t>
      </w:r>
      <w:proofErr w:type="spellStart"/>
      <w:r w:rsidRPr="00F95064">
        <w:rPr>
          <w:i/>
        </w:rPr>
        <w:t>bovis</w:t>
      </w:r>
      <w:proofErr w:type="spellEnd"/>
      <w:r>
        <w:t xml:space="preserve"> </w:t>
      </w:r>
      <w:r w:rsidR="00B043A8">
        <w:fldChar w:fldCharType="begin" w:fldLock="1"/>
      </w:r>
      <w:r w:rsidR="00B043A8">
        <w:instrText>ADDIN CSL_CITATION {"citationItems":[{"id":"ITEM-1","itemData":{"DOI":"10.1016/j.rvsc.2005.11.005","ISBN":"0034-5288 (Print)\\r0034-5288 (Linking)","ISSN":"00345288","PMID":"16513150","abstract":"The early, preclinical stages of bovine TB can be detected in live animals by the use of tests of cellular immunity (the skin, γ-interferon and lymphocyte transformation tests). Tests of humoral (antibody) immunity, Mycobacterium bovis PCR probes on early tissue cultures or live cattle specimens, and tests based on \"electronic nose\" technology have been developed more recently. The key measure of diagnostic test accuracy is the relationship between sensitivity and specificity, which determines the false-positive and false-negative proportions. None of the tests currently available for the diagnosis of bovine TB allow a perfectly accurate determination of the M. bovis infection status of cattle. Although various factors can reduce the sensitivity and specificity of the skin tests, these remain the primary ante mortem diagnostic tools for TB in cattle, providing a cost-effective and reliable means of screening entire cattle populations. Despite the inescapable limitations of existing diagnostic tests, bovine TB has been effectively eradicated from many developed countries and regions with the implementation of sound programmes of regular tuberculin skin testing and removal of reactors, coupled with slaughterhouse surveillance for undetected infections, repeat testing and culling of infected herds, cattle movement restrictions to prevent introduction of infected animals and occasional slaughter of entire herds with intractable breakdowns. This is likely to remain the mainstay of bovine TB control programmes for the foreseeable future. Additionally, newer ancillary in vitro diagnostic assays are now available to TB control programme managers to supplement the skin tests in defined circumstances according to the specific disease situation in each country or region. The strategic deployment of ancillary in vitro tests alongside the primary skin tests has enhanced the detection of M. bovis-infected cattle and reduced the number of animals slaughtered as false positives. Crown Copyright © 2006.","author":[{"dropping-particle":"","family":"la Rua-Domenech","given":"R.","non-dropping-particle":"de","parse-names":false,"suffix":""},{"dropping-particle":"","family":"Goodchild","given":"A. T.","non-dropping-particle":"","parse-names":false,"suffix":""},{"dropping-particle":"","family":"Vordermeier","given":"H. M.","non-dropping-particle":"","parse-names":false,"suffix":""},{"dropping-particle":"","family":"Hewinson","given":"R. G.","non-dropping-particle":"","parse-names":false,"suffix":""},{"dropping-particle":"","family":"Christiansen","given":"K. H.","non-dropping-particle":"","parse-names":false,"suffix":""},{"dropping-particle":"","family":"Clifton-Hadley","given":"R. S.","non-dropping-particle":"","parse-names":false,"suffix":""}],"container-title":"Research in Veterinary Science","id":"ITEM-1","issue":"2","issued":{"date-parts":[["2006"]]},"page":"190-210","title":"Ante mortem diagnosis of tuberculosis in cattle: A review of the tuberculin tests, γ-interferon assay and other ancillary diagnostic techniques","type":"article-journal","volume":"81"},"uris":["http://www.mendeley.com/documents/?uuid=8cbbfa80-4aae-4845-9fcd-a29fd603f59a"]}],"mendeley":{"formattedCitation":"(de la Rua-Domenech et al., 2006)","plainTextFormattedCitation":"(de la Rua-Domenech et al., 2006)","previouslyFormattedCitation":"(de la Rua-Domenech et al., 2006)"},"properties":{"noteIndex":0},"schema":"https://github.com/citation-style-language/schema/raw/master/csl-citation.json"}</w:instrText>
      </w:r>
      <w:r w:rsidR="00B043A8">
        <w:fldChar w:fldCharType="separate"/>
      </w:r>
      <w:r w:rsidR="00B043A8" w:rsidRPr="00B043A8">
        <w:rPr>
          <w:noProof/>
        </w:rPr>
        <w:t>(de la Rua-Domenech et al., 2006)</w:t>
      </w:r>
      <w:r w:rsidR="00B043A8">
        <w:fldChar w:fldCharType="end"/>
      </w:r>
      <w:r>
        <w:t xml:space="preserve">. Imperfect test sensitivity (the probability that an infected animal is classified as positive) contributes to the persistence of bTB in cattle in parts of Great Britain </w:t>
      </w:r>
      <w:r w:rsidR="00B043A8">
        <w:fldChar w:fldCharType="begin" w:fldLock="1"/>
      </w:r>
      <w:r w:rsidR="00B043A8">
        <w:instrText>ADDIN CSL_CITATION {"citationItems":[{"id":"ITEM-1","itemData":{"DOI":"10.1016/j.vetmic.2011.07.034","ISSN":"03781135","author":[{"dropping-particle":"","family":"Álvarez","given":"Julio","non-dropping-particle":"","parse-names":false,"suffix":""},{"dropping-particle":"","family":"Perez","given":"Andrés","non-dropping-particle":"","parse-names":false,"suffix":""},{"dropping-particle":"","family":"Bezos","given":"Javier","non-dropping-particle":"","parse-names":false,"suffix":""},{"dropping-particle":"","family":"Marqués","given":"Sergio","non-dropping-particle":"","parse-names":false,"suffix":""},{"dropping-particle":"","family":"Grau","given":"Anna","non-dropping-particle":"","parse-names":false,"suffix":""},{"dropping-particle":"","family":"Saez","given":"Jose Luis","non-dropping-particle":"","parse-names":false,"suffix":""},{"dropping-particle":"","family":"Mínguez","given":"Olga","non-dropping-particle":"","parse-names":false,"suffix":""},{"dropping-particle":"","family":"Juan","given":"Lucía","non-dropping-particle":"de","parse-names":false,"suffix":""},{"dropping-particle":"","family":"Domínguez","given":"Lucas","non-dropping-particle":"","parse-names":false,"suffix":""}],"container-title":"Veterinary Microbiology","id":"ITEM-1","issue":"1","issued":{"date-parts":[["2012"]]},"page":"38-43","title":"Evaluation of the sensitivity and specificity of bovine tuberculosis diagnostic tests in naturally infected cattle herds using a Bayesian approach","type":"article-journal","volume":"155"},"uris":["http://www.mendeley.com/documents/?uuid=b83192bd-8e2b-4797-8cac-5c46613a0e04"]},{"id":"ITEM-2","itemData":{"DOI":"10.1016/j.vetmic.2005.11.029","ISSN":"03781135","abstract":"The strategic use of the gamma-interferon (IFN-γ) assay (Bovigam®) can provide a means for the early identification of Mycobacterium bovis infected cattle, thus ensuring their removal from an infected herd. When used in parallel with the tuberculin test, it is capable of identifying infected cattle, which might otherwise not be detected until later, if at all. The early detection and removal of these animals reduces the risk that they will become a source of infection for other cattle. When targeted in herds of high prevalence the benefits to the herd owner directly concerned can be considerable as the assay provides a means of shortening the period of restriction for such herds. This serves to generate confidence among herd owners and other stakeholders that effective schemes, based on sound scientific principles, can be developed to eradicate tuberculosis from infected cattle populations. © 2005 Elsevier B.V. All rights reserved.","author":[{"dropping-particle":"","family":"Gormley","given":"E.","non-dropping-particle":"","parse-names":false,"suffix":""},{"dropping-particle":"","family":"Doyle","given":"M. B.","non-dropping-particle":"","parse-names":false,"suffix":""},{"dropping-particle":"","family":"Fitzsimons","given":"T.","non-dropping-particle":"","parse-names":false,"suffix":""},{"dropping-particle":"","family":"McGill","given":"K.","non-dropping-particle":"","parse-names":false,"suffix":""},{"dropping-particle":"","family":"Collins","given":"J. D.","non-dropping-particle":"","parse-names":false,"suffix":""}],"container-title":"Veterinary Microbiology","id":"ITEM-2","issue":"2-4 SPEC. ISS.","issued":{"date-parts":[["2006"]]},"page":"171-179","title":"Diagnosis of Mycobacterium bovis infection in cattle by use of the gamma-interferon (Bovigam®) assay","type":"article-journal","volume":"112"},"uris":["http://www.mendeley.com/documents/?uuid=aff0aae1-d617-4144-8ca2-b043230580e9"]},{"id":"ITEM-3","itemData":{"DOI":"10.1371/journal.pone.0043217","author":[{"dropping-particle":"","family":"Karolemeas","given":"K.;","non-dropping-particle":"","parse-names":false,"suffix":""},{"dropping-particle":"","family":"la Rua-Domenech","given":"R.;","non-dropping-particle":"de","parse-names":false,"suffix":""},{"dropping-particle":"","family":"Cooper","given":"R.;","non-dropping-particle":"","parse-names":false,"suffix":""},{"dropping-particle":"","family":"Goodchild","given":"A. V.;","non-dropping-particle":"","parse-names":false,"suffix":""},{"dropping-particle":"","family":"Clifton-Hadley","given":"R. S.;","non-dropping-particle":"","parse-names":false,"suffix":""},{"dropping-particle":"","family":"Conlan","given":"A. J. K.;","non-dropping-particle":"","parse-names":false,"suffix":""},{"dropping-particle":"","family":"Mitchell","given":"A. P.;","non-dropping-particle":"","parse-names":false,"suffix":""},{"dropping-particle":"","family":"Hewinson","given":"R. G.;","non-dropping-particle":"","parse-names":false,"suffix":""},{"dropping-particle":"","family":"Donnelly","given":"C. A.;","non-dropping-particle":"","parse-names":false,"suffix":""},{"dropping-particle":"","family":"Wood","given":"J. L. N.;","non-dropping-particle":"","parse-names":false,"suffix":""},{"dropping-particle":"","family":"McKinley","given":"T. J.","non-dropping-particle":"","parse-names":false,"suffix":""}],"container-title":"PLoS ONE","id":"ITEM-3","issue":"8","issued":{"date-parts":[["2012"]]},"page":"e43217","title":"Estimation of the Relative Sensitivity of the Comparative Tuberculin Skin Test in Tuberculous Cattle Herds Subjected to Depopulation","type":"article-journal","volume":"7"},"uris":["http://www.mendeley.com/documents/?uuid=fcd11641-5562-4b42-b290-ca8007abda2d"]}],"mendeley":{"formattedCitation":"(Álvarez et al., 2012; Gormley et al., 2006; Karolemeas et al., 2012)","plainTextFormattedCitation":"(Álvarez et al., 2012; Gormley et al., 2006; Karolemeas et al., 2012)","previouslyFormattedCitation":"(Álvarez et al., 2012; Gormley et al., 2006; Karolemeas et al., 2012)"},"properties":{"noteIndex":0},"schema":"https://github.com/citation-style-language/schema/raw/master/csl-citation.json"}</w:instrText>
      </w:r>
      <w:r w:rsidR="00B043A8">
        <w:fldChar w:fldCharType="separate"/>
      </w:r>
      <w:r w:rsidR="00B043A8" w:rsidRPr="00B043A8">
        <w:rPr>
          <w:noProof/>
        </w:rPr>
        <w:t>(Álvarez et al., 2012; Gormley et al., 2006; Karolemeas et al., 2012)</w:t>
      </w:r>
      <w:r w:rsidR="00B043A8">
        <w:fldChar w:fldCharType="end"/>
      </w:r>
      <w:r>
        <w:t xml:space="preserve">. Improvements to the detection of infected cattle could have a positive impact on bTB eradication </w:t>
      </w:r>
      <w:r w:rsidR="00B043A8">
        <w:fldChar w:fldCharType="begin" w:fldLock="1"/>
      </w:r>
      <w:r w:rsidR="00B043A8">
        <w:instrText>ADDIN CSL_CITATION {"citationItems":[{"id":"ITEM-1","itemData":{"DOI":"10.1016/j.prevetmed.2017.02.017","ISSN":"01675877","author":[{"dropping-particle":"","family":"Nuñez-Garcia","given":"Javier","non-dropping-particle":"","parse-names":false,"suffix":""},{"dropping-particle":"","family":"Downs","given":"Sara H.","non-dropping-particle":"","parse-names":false,"suffix":""},{"dropping-particle":"","family":"Parry","given":"Jessica E.","non-dropping-particle":"","parse-names":false,"suffix":""},{"dropping-particle":"","family":"Abernethy","given":"Darrell A.","non-dropping-particle":"","parse-names":false,"suffix":""},{"dropping-particle":"","family":"Broughan","given":"Jennifer M.","non-dropping-particle":"","parse-names":false,"suffix":""},{"dropping-particle":"","family":"Cameron","given":"Angus R.","non-dropping-particle":"","parse-names":false,"suffix":""},{"dropping-particle":"","family":"Cook","given":"Alasdair J.","non-dropping-particle":"","parse-names":false,"suffix":""},{"dropping-particle":"","family":"Woolliams","given":"John A.","non-dropping-particle":"","parse-names":false,"suffix":""},{"dropping-particle":"","family":"Greiner","given":"Matthias","non-dropping-particle":"","parse-names":false,"suffix":""},{"dropping-particle":"","family":"Sharp","given":"Michael","non-dropping-particle":"","parse-names":false,"suffix":""},{"dropping-particle":"","family":"Gunn","given":"Jane","non-dropping-particle":"","parse-names":false,"suffix":""},{"dropping-particle":"","family":"More","given":"Simon J.","non-dropping-particle":"","parse-names":false,"suffix":""},{"dropping-particle":"","family":"Welsh","given":"Michael","non-dropping-particle":"","parse-names":false,"suffix":""},{"dropping-particle":"","family":"Rolfe","given":"Simon","non-dropping-particle":"","parse-names":false,"suffix":""},{"dropping-particle":"","family":"Clifton-Hadley","given":"Richard S.","non-dropping-particle":"","parse-names":false,"suffix":""},{"dropping-particle":"","family":"Rhodes","given":"Shelley","non-dropping-particle":"","parse-names":false,"suffix":""},{"dropping-particle":"","family":"Upton","given":"Paul A.","non-dropping-particle":"","parse-names":false,"suffix":""},{"dropping-particle":"","family":"la Rua-Domenech","given":"Ricardo","non-dropping-particle":"de","parse-names":false,"suffix":""},{"dropping-particle":"","family":"Watson","given":"Eamon","non-dropping-particle":"","parse-names":false,"suffix":""},{"dropping-particle":"V.","family":"Goodchild","given":"Anthony","non-dropping-particle":"","parse-names":false,"suffix":""},{"dropping-particle":"","family":"Whelan","given":"Adam O.","non-dropping-particle":"","parse-names":false,"suffix":""},{"dropping-particle":"","family":"Vordermeier","given":"H. Martin","non-dropping-particle":"","parse-names":false,"suffix":""}],"container-title":"Preventive Veterinary Medicine","id":"ITEM-1","issued":{"date-parts":[["2017"]]},"page":"94-107","title":"Meta-analyses of the sensitivity and specificity of ante-mortem and post-mortem diagnostic tests for bovine tuberculosis in the UK and Ireland","type":"article-journal","volume":"153"},"uris":["http://www.mendeley.com/documents/?uuid=3f82607c-7499-4958-8a71-b7031aa85a2e"]}],"mendeley":{"formattedCitation":"(Nuñez-Garcia et al., 2017)","plainTextFormattedCitation":"(Nuñez-Garcia et al., 2017)","previouslyFormattedCitation":"(Nuñez-Garcia et al., 2017)"},"properties":{"noteIndex":0},"schema":"https://github.com/citation-style-language/schema/raw/master/csl-citation.json"}</w:instrText>
      </w:r>
      <w:r w:rsidR="00B043A8">
        <w:fldChar w:fldCharType="separate"/>
      </w:r>
      <w:r w:rsidR="00B043A8" w:rsidRPr="00B043A8">
        <w:rPr>
          <w:noProof/>
        </w:rPr>
        <w:t>(Nuñez-Garcia et al., 2017)</w:t>
      </w:r>
      <w:r w:rsidR="00B043A8">
        <w:fldChar w:fldCharType="end"/>
      </w:r>
      <w:r>
        <w:t>.</w:t>
      </w:r>
    </w:p>
    <w:p w14:paraId="0523A2D4" w14:textId="21ADD859" w:rsidR="00C24401" w:rsidRDefault="00C24401" w:rsidP="00C24401">
      <w:r>
        <w:t>Due to environmental mycobacteria being responsible for up to 12% of false positive results to the single intradermal test</w:t>
      </w:r>
      <w:r w:rsidR="00B043A8">
        <w:t xml:space="preserve"> </w:t>
      </w:r>
      <w:r w:rsidR="00B043A8">
        <w:fldChar w:fldCharType="begin" w:fldLock="1"/>
      </w:r>
      <w:r w:rsidR="00B043A8">
        <w:instrText>ADDIN CSL_CITATION {"citationItems":[{"id":"ITEM-1","itemData":{"DOI":"10.1128/JCM.41.5.1856-1860.2003","ISSN":"00951137","PMID":"12734217","abstract":"Human and bovine tuberculosis have long been detected by skin testing with purified protein derivative (PPD), a complex mix of partly denatured mycobacterial antigens with suboptimal specificity. In the present study, skin tests based on ESAT-6, a recombinantly produced antigen highly specific for tuberculosis infection, were investigated. Although ESAT-6 was strongly recognized in vitro and induced high levels of gamma interferon, initial investigations demonstrated that higher doses of ESAT-6 than of PPD were needed to induce substantial delayed-type hypersensitivity reactions. Also, the kinetics of the skin test response differed for the two reagents; PPD showed maximal response at 72 h, but the response to ESAT-6 often peaked later at 96 h. Tests based on an optimized strategy (400 μg of ESAT-6 measured between 72 and 96 h), in cattle infected with Mycobacterium bovis (n = 22) and animals sensitized by exposure to environmental mycobacteria showed ESAT-6 to have a promising diagnostic potential (sensitivity, 82%; specificity, 100%; optimal cutoff, 3 mm), compared with PPD (sensitivity, 86%; specificity, 90%; optimal cutoff, 4 mm). Larger investigations are required to refine cutoff points for any new diagnostic test, but the present results indicate great potential for skin tests based on specific antigens for accurate in vivo diagnosis of tuberculosis.","author":[{"dropping-particle":"","family":"Pollock","given":"J. M.","non-dropping-particle":"","parse-names":false,"suffix":""},{"dropping-particle":"","family":"McNair","given":"J.","non-dropping-particle":"","parse-names":false,"suffix":""},{"dropping-particle":"","family":"Bassett","given":"H.","non-dropping-particle":"","parse-names":false,"suffix":""},{"dropping-particle":"","family":"Cassidy","given":"J. P.","non-dropping-particle":"","parse-names":false,"suffix":""},{"dropping-particle":"","family":"Costello","given":"E.","non-dropping-particle":"","parse-names":false,"suffix":""},{"dropping-particle":"","family":"Aggerbeck","given":"H.","non-dropping-particle":"","parse-names":false,"suffix":""},{"dropping-particle":"","family":"Rosenkrands","given":"I.","non-dropping-particle":"","parse-names":false,"suffix":""},{"dropping-particle":"","family":"Andersen","given":"P.","non-dropping-particle":"","parse-names":false,"suffix":""}],"container-title":"Journal of Clinical Microbiology","id":"ITEM-1","issue":"5","issued":{"date-parts":[["2003"]]},"page":"1856-1860","title":"Specific delayed-type hypersensitivity responses to ESAT-6 identify tuberculosis-infected cattle","type":"article-journal","volume":"41"},"uris":["http://www.mendeley.com/documents/?uuid=9692d678-e1c4-4e58-b9b5-daa3628ca162"]}],"mendeley":{"formattedCitation":"(Pollock et al., 2003)","plainTextFormattedCitation":"(Pollock et al., 2003)","previouslyFormattedCitation":"(Pollock et al., 2003)"},"properties":{"noteIndex":0},"schema":"https://github.com/citation-style-language/schema/raw/master/csl-citation.json"}</w:instrText>
      </w:r>
      <w:r w:rsidR="00B043A8">
        <w:fldChar w:fldCharType="separate"/>
      </w:r>
      <w:r w:rsidR="00B043A8" w:rsidRPr="00B043A8">
        <w:rPr>
          <w:noProof/>
        </w:rPr>
        <w:t>(Pollock et al., 2003)</w:t>
      </w:r>
      <w:r w:rsidR="00B043A8">
        <w:fldChar w:fldCharType="end"/>
      </w:r>
      <w:r>
        <w:t>, in Great Britain and Ireland the Single Intradermal Comparative Cervical Test (SICCT)</w:t>
      </w:r>
      <w:r w:rsidR="00BC1F3C">
        <w:t xml:space="preserve"> is used</w:t>
      </w:r>
      <w:r>
        <w:t xml:space="preserve">. </w:t>
      </w:r>
      <w:r w:rsidR="00584678">
        <w:t>The skin thickness is measured and injected at two sites in the neck (Figure S1</w:t>
      </w:r>
      <w:r w:rsidR="000C0D2C">
        <w:t>_</w:t>
      </w:r>
      <w:r w:rsidR="005957D5">
        <w:t>a</w:t>
      </w:r>
      <w:r w:rsidR="00584678">
        <w:t xml:space="preserve"> supplementary materials S1) with avian (</w:t>
      </w:r>
      <w:r w:rsidR="00584678" w:rsidRPr="00F95064">
        <w:rPr>
          <w:i/>
        </w:rPr>
        <w:t>M. avium</w:t>
      </w:r>
      <w:r w:rsidR="00584678">
        <w:t>) and bovine (</w:t>
      </w:r>
      <w:r w:rsidR="00584678" w:rsidRPr="00F95064">
        <w:rPr>
          <w:i/>
        </w:rPr>
        <w:t xml:space="preserve">M. </w:t>
      </w:r>
      <w:proofErr w:type="spellStart"/>
      <w:r w:rsidR="00584678" w:rsidRPr="00F95064">
        <w:rPr>
          <w:i/>
        </w:rPr>
        <w:t>bovis</w:t>
      </w:r>
      <w:proofErr w:type="spellEnd"/>
      <w:r w:rsidR="00584678">
        <w:t xml:space="preserve">) tuberculins. After 72 hours, the injection sites are inspected for inflammatory or oedematous reactions and the skin thickness remeasured. </w:t>
      </w:r>
      <w:r>
        <w:t xml:space="preserve">Cattle infected with </w:t>
      </w:r>
      <w:r w:rsidRPr="00F95064">
        <w:rPr>
          <w:i/>
        </w:rPr>
        <w:t xml:space="preserve">M. </w:t>
      </w:r>
      <w:proofErr w:type="spellStart"/>
      <w:r w:rsidRPr="00F95064">
        <w:rPr>
          <w:i/>
        </w:rPr>
        <w:t>bovis</w:t>
      </w:r>
      <w:proofErr w:type="spellEnd"/>
      <w:r>
        <w:t xml:space="preserve"> tend to show a greater response to the bovine tuberculin </w:t>
      </w:r>
      <w:r w:rsidR="00584678">
        <w:t xml:space="preserve">than </w:t>
      </w:r>
      <w:r>
        <w:t>to the avian tuberculin, as opposed</w:t>
      </w:r>
      <w:r w:rsidR="00584678">
        <w:t xml:space="preserve"> to if</w:t>
      </w:r>
      <w:r>
        <w:t xml:space="preserve"> </w:t>
      </w:r>
      <w:r w:rsidR="00584678">
        <w:t>exposed to</w:t>
      </w:r>
      <w:r>
        <w:t xml:space="preserve"> other mycobacteria, like </w:t>
      </w:r>
      <w:r w:rsidRPr="00534FDA">
        <w:rPr>
          <w:i/>
        </w:rPr>
        <w:t>M. avium</w:t>
      </w:r>
      <w:r>
        <w:t xml:space="preserve"> </w:t>
      </w:r>
      <w:r w:rsidR="00B043A8">
        <w:fldChar w:fldCharType="begin" w:fldLock="1"/>
      </w:r>
      <w:r w:rsidR="00B043A8">
        <w:instrText>ADDIN CSL_CITATION {"citationItems":[{"id":"ITEM-1","itemData":{"DOI":"10.1016/j.rvsc.2005.11.005","ISBN":"0034-5288 (Print)\\r0034-5288 (Linking)","ISSN":"00345288","PMID":"16513150","abstract":"The early, preclinical stages of bovine TB can be detected in live animals by the use of tests of cellular immunity (the skin, γ-interferon and lymphocyte transformation tests). Tests of humoral (antibody) immunity, Mycobacterium bovis PCR probes on early tissue cultures or live cattle specimens, and tests based on \"electronic nose\" technology have been developed more recently. The key measure of diagnostic test accuracy is the relationship between sensitivity and specificity, which determines the false-positive and false-negative proportions. None of the tests currently available for the diagnosis of bovine TB allow a perfectly accurate determination of the M. bovis infection status of cattle. Although various factors can reduce the sensitivity and specificity of the skin tests, these remain the primary ante mortem diagnostic tools for TB in cattle, providing a cost-effective and reliable means of screening entire cattle populations. Despite the inescapable limitations of existing diagnostic tests, bovine TB has been effectively eradicated from many developed countries and regions with the implementation of sound programmes of regular tuberculin skin testing and removal of reactors, coupled with slaughterhouse surveillance for undetected infections, repeat testing and culling of infected herds, cattle movement restrictions to prevent introduction of infected animals and occasional slaughter of entire herds with intractable breakdowns. This is likely to remain the mainstay of bovine TB control programmes for the foreseeable future. Additionally, newer ancillary in vitro diagnostic assays are now available to TB control programme managers to supplement the skin tests in defined circumstances according to the specific disease situation in each country or region. The strategic deployment of ancillary in vitro tests alongside the primary skin tests has enhanced the detection of M. bovis-infected cattle and reduced the number of animals slaughtered as false positives. Crown Copyright © 2006.","author":[{"dropping-particle":"","family":"la Rua-Domenech","given":"R.","non-dropping-particle":"de","parse-names":false,"suffix":""},{"dropping-particle":"","family":"Goodchild","given":"A. T.","non-dropping-particle":"","parse-names":false,"suffix":""},{"dropping-particle":"","family":"Vordermeier","given":"H. M.","non-dropping-particle":"","parse-names":false,"suffix":""},{"dropping-particle":"","family":"Hewinson","given":"R. G.","non-dropping-particle":"","parse-names":false,"suffix":""},{"dropping-particle":"","family":"Christiansen","given":"K. H.","non-dropping-particle":"","parse-names":false,"suffix":""},{"dropping-particle":"","family":"Clifton-Hadley","given":"R. S.","non-dropping-particle":"","parse-names":false,"suffix":""}],"container-title":"Research in Veterinary Science","id":"ITEM-1","issue":"2","issued":{"date-parts":[["2006"]]},"page":"190-210","title":"Ante mortem diagnosis of tuberculosis in cattle: A review of the tuberculin tests, γ-interferon assay and other ancillary diagnostic techniques","type":"article-journal","volume":"81"},"uris":["http://www.mendeley.com/documents/?uuid=8cbbfa80-4aae-4845-9fcd-a29fd603f59a"]},{"id":"ITEM-2","itemData":{"author":[{"dropping-particle":"","family":"Francis","given":"J. D.","non-dropping-particle":"","parse-names":false,"suffix":""},{"dropping-particle":"","family":"Choi","given":"C.L.","non-dropping-particle":"","parse-names":false,"suffix":""},{"dropping-particle":"","family":"Frost","given":"A.J.","non-dropping-particle":"","parse-names":false,"suffix":""}],"container-title":"Australian Veterinary Journal","id":"ITEM-2","issued":{"date-parts":[["1973"]]},"page":"246-251","title":"The diagnosis of tuberculosis in cattle with special reference to bovine PPD tuberculin","type":"article-journal","volume":"49"},"uris":["http://www.mendeley.com/documents/?uuid=feb41b7d-aba8-4a4c-a042-c38d74206d2e"]},{"id":"ITEM-3","itemData":{"DOI":"10.1128/JCM.41.5.1856-1860.2003","ISSN":"00951137","PMID":"12734217","abstract":"Human and bovine tuberculosis have long been detected by skin testing with purified protein derivative (PPD), a complex mix of partly denatured mycobacterial antigens with suboptimal specificity. In the present study, skin tests based on ESAT-6, a recombinantly produced antigen highly specific for tuberculosis infection, were investigated. Although ESAT-6 was strongly recognized in vitro and induced high levels of gamma interferon, initial investigations demonstrated that higher doses of ESAT-6 than of PPD were needed to induce substantial delayed-type hypersensitivity reactions. Also, the kinetics of the skin test response differed for the two reagents; PPD showed maximal response at 72 h, but the response to ESAT-6 often peaked later at 96 h. Tests based on an optimized strategy (400 μg of ESAT-6 measured between 72 and 96 h), in cattle infected with Mycobacterium bovis (n = 22) and animals sensitized by exposure to environmental mycobacteria showed ESAT-6 to have a promising diagnostic potential (sensitivity, 82%; specificity, 100%; optimal cutoff, 3 mm), compared with PPD (sensitivity, 86%; specificity, 90%; optimal cutoff, 4 mm). Larger investigations are required to refine cutoff points for any new diagnostic test, but the present results indicate great potential for skin tests based on specific antigens for accurate in vivo diagnosis of tuberculosis.","author":[{"dropping-particle":"","family":"Pollock","given":"J. M.","non-dropping-particle":"","parse-names":false,"suffix":""},{"dropping-particle":"","family":"McNair","given":"J.","non-dropping-particle":"","parse-names":false,"suffix":""},{"dropping-particle":"","famil</w:instrText>
      </w:r>
      <w:r w:rsidR="00B043A8" w:rsidRPr="00F95064">
        <w:rPr>
          <w:lang w:val="es-ES"/>
        </w:rPr>
        <w:instrText>y":"Bassett","given":"H.","non-dropping-particle":"","parse-names":false,"suffix</w:instrText>
      </w:r>
      <w:r w:rsidR="00B043A8" w:rsidRPr="000C0D2C">
        <w:rPr>
          <w:lang w:val="es-ES"/>
        </w:rPr>
        <w:instrText>":""},{"dropping-particle":"","family":"Cassidy","given":"J. P.","non-dropping-particle":"","parse-names":false,"suffix":""},{"dropping-particle":"","family":"Costello","given":"E.","non-dropping-particle":"","parse-names":false,"suffix":""},{"dropping-particle":"","family":"Aggerbeck","given":"H.","non-dropping-particle":"","parse-names":false,"suffix":""},{"dropping-particle":"","family":"Rosenkrands","given":"I.","non-dropping-particle":"","parse-names":false,"suffix":""},{"dropping-particle":"","family":"Andersen","given":"P.","non-dropping-particle":"","parse-names":false,"suffix":""}],"container-title":"Journal of Clinical Microbiology","id":"ITEM-3","issue":"5","issued":{"date-parts":[["2003"]]},"page":"1856-1860","title":"Specific delayed-type hypersensitivity responses to ESAT-6 identify tuberculosis-infected cattle","type":"article-journal","volume":"41"},"uris":["http://www.mendeley.com/documents/?uuid=9692d678-e1c4-4e58-b9b5-daa3628ca162"]}],"mendeley":{"formattedCitation":"(de la Rua-Domenech et al., 2006; Francis et al., 1973; Pollock et al., 2003)","plainTextFormattedCitation":"(de la Rua-Domenech et al., 2006; Francis et al., 1973; Pollock et al., 2003)","previouslyFormattedCitation":"(de la Rua-Domenech et al., 2006; Francis et al., 1973; Pollock et al., 2003)"},"properties":{"noteIndex":0},"schema":"https://github.com/citation-style-language/schema/raw/master/csl-citation.json"}</w:instrText>
      </w:r>
      <w:r w:rsidR="00B043A8">
        <w:fldChar w:fldCharType="separate"/>
      </w:r>
      <w:r w:rsidR="00B043A8" w:rsidRPr="000C0D2C">
        <w:rPr>
          <w:noProof/>
          <w:lang w:val="es-ES"/>
        </w:rPr>
        <w:t>(de la Rua-Domenech et al., 2006; Francis et al., 1973; Pollock et al., 2003)</w:t>
      </w:r>
      <w:r w:rsidR="00B043A8">
        <w:fldChar w:fldCharType="end"/>
      </w:r>
      <w:r w:rsidRPr="000C0D2C">
        <w:rPr>
          <w:lang w:val="es-ES"/>
        </w:rPr>
        <w:t xml:space="preserve">. </w:t>
      </w:r>
      <w:r w:rsidR="00BC1F3C">
        <w:t>Following the SICCT</w:t>
      </w:r>
      <w:r>
        <w:t>, an animal can be</w:t>
      </w:r>
      <w:r w:rsidR="00BC1F3C">
        <w:t xml:space="preserve"> declared</w:t>
      </w:r>
      <w:r>
        <w:t xml:space="preserve">: negative (‘clear’), positive (‘reactor’), or </w:t>
      </w:r>
      <w:r w:rsidR="00584678">
        <w:t>uncertain</w:t>
      </w:r>
      <w:r>
        <w:t xml:space="preserve"> (‘inconclusive reactor’ [IR]), </w:t>
      </w:r>
      <w:r>
        <w:lastRenderedPageBreak/>
        <w:t xml:space="preserve">following the rules for either standard or stricter (severe) interpretation (APHA, 2021) </w:t>
      </w:r>
      <w:bookmarkStart w:id="5" w:name="_Hlk84943598"/>
      <w:r>
        <w:t>(Figure S1</w:t>
      </w:r>
      <w:r w:rsidR="000C0D2C">
        <w:t>_</w:t>
      </w:r>
      <w:r w:rsidR="005957D5">
        <w:t>b</w:t>
      </w:r>
      <w:r>
        <w:t xml:space="preserve"> supplementary materials S1). </w:t>
      </w:r>
      <w:bookmarkEnd w:id="5"/>
    </w:p>
    <w:p w14:paraId="432A6560" w14:textId="42DBAD03" w:rsidR="00C24401" w:rsidRDefault="00C24401" w:rsidP="00C24401">
      <w:r>
        <w:t>An IR is an animal showing a</w:t>
      </w:r>
      <w:r w:rsidR="00D7663A">
        <w:t>n</w:t>
      </w:r>
      <w:r>
        <w:t xml:space="preserve"> SICCT </w:t>
      </w:r>
      <w:r w:rsidR="00D7663A">
        <w:t xml:space="preserve">result </w:t>
      </w:r>
      <w:r>
        <w:t xml:space="preserve">where the difference in size of reactions to the bovine and avian tuberculins is not large enough to be described as a reactor (positive), </w:t>
      </w:r>
      <w:r w:rsidR="00961DCC">
        <w:t>n</w:t>
      </w:r>
      <w:r>
        <w:t>or small enough to be considered clear (negative). Such animals are isolated on farm</w:t>
      </w:r>
      <w:r w:rsidR="00961DCC">
        <w:t>, having</w:t>
      </w:r>
      <w:r>
        <w:t xml:space="preserve"> their movements restricted </w:t>
      </w:r>
      <w:r w:rsidR="00961DCC">
        <w:t>(</w:t>
      </w:r>
      <w:r w:rsidR="00A85296">
        <w:t>also in</w:t>
      </w:r>
      <w:r w:rsidR="00961DCC">
        <w:t xml:space="preserve"> the whole farm</w:t>
      </w:r>
      <w:r w:rsidR="00A85296">
        <w:t>,</w:t>
      </w:r>
      <w:r w:rsidR="00961DCC">
        <w:t xml:space="preserve"> depending on bTB history) </w:t>
      </w:r>
      <w:r>
        <w:t xml:space="preserve">pending a second </w:t>
      </w:r>
      <w:r w:rsidR="00BC1F3C">
        <w:t>SICCT</w:t>
      </w:r>
      <w:r w:rsidR="00626063">
        <w:t>,</w:t>
      </w:r>
      <w:r>
        <w:t xml:space="preserve"> 60 days later (IR retest). </w:t>
      </w:r>
      <w:r w:rsidR="00626063">
        <w:t>Before</w:t>
      </w:r>
      <w:r>
        <w:t xml:space="preserve"> </w:t>
      </w:r>
      <w:r w:rsidR="00BC1F3C">
        <w:t>then</w:t>
      </w:r>
      <w:r>
        <w:t>, they can also be compulsorily removed to slaughter as dangerous contacts</w:t>
      </w:r>
      <w:r w:rsidR="00D6638E">
        <w:t xml:space="preserve"> (</w:t>
      </w:r>
      <w:r w:rsidR="00D6638E" w:rsidRPr="00D6638E">
        <w:t xml:space="preserve">non-reactor </w:t>
      </w:r>
      <w:r w:rsidR="00D6638E">
        <w:t>cattle</w:t>
      </w:r>
      <w:r w:rsidR="00D6638E" w:rsidRPr="00D6638E">
        <w:t xml:space="preserve"> at high risk of being infected</w:t>
      </w:r>
      <w:r w:rsidR="00D6638E">
        <w:t xml:space="preserve"> </w:t>
      </w:r>
      <w:r w:rsidR="00D6638E">
        <w:fldChar w:fldCharType="begin" w:fldLock="1"/>
      </w:r>
      <w:r w:rsidR="001849AF">
        <w:instrText>ADDIN CSL_CITATION {"citationItems":[{"id":"ITEM-1","itemData":{"author":[{"dropping-particle":"","family":"APHA","given":"","non-dropping-particle":"","parse-names":false,"suffix":""}],"id":"ITEM-1","issue":"September","issued":{"date-parts":[["2020"]]},"title":"Bovine tuberculosis in Great Britain in 2019: Explanatory supplement to the annual reports","type":"report"},"uris":["http://www.mendeley.com/documents/?uuid=c92c7d4d-b7cb-428c-b893-fc057eda0e3a"]}],"mendeley":{"formattedCitation":"(APHA, 2020a)","plainTextFormattedCitation":"(APHA, 2020a)","previouslyFormattedCitation":"(APHA, 2020a)"},"properties":{"noteIndex":0},"schema":"https://github.com/citation-style-language/schema/raw/master/csl-citation.json"}</w:instrText>
      </w:r>
      <w:r w:rsidR="00D6638E">
        <w:fldChar w:fldCharType="separate"/>
      </w:r>
      <w:r w:rsidR="00D6638E" w:rsidRPr="00D6638E">
        <w:rPr>
          <w:noProof/>
        </w:rPr>
        <w:t>(APHA, 2020a)</w:t>
      </w:r>
      <w:r w:rsidR="00D6638E">
        <w:fldChar w:fldCharType="end"/>
      </w:r>
      <w:r w:rsidR="00D6638E">
        <w:t>)</w:t>
      </w:r>
      <w:r>
        <w:t xml:space="preserve">, have a follow-up interferon-gamma (IFN-gamma) blood test, or be voluntarily slaughtered by their owner </w:t>
      </w:r>
      <w:r w:rsidR="00B043A8">
        <w:fldChar w:fldCharType="begin" w:fldLock="1"/>
      </w:r>
      <w:r w:rsidR="00D6638E">
        <w:instrText>ADDIN CSL_CITATION {"citationItems":[{"id":"ITEM-1","itemData":{"author":[{"dropping-particle":"","family":"APHA","given":"","non-dropping-particle":"","parse-names":false,"suffix":""}],"id":"ITEM-1","issue":"September","issued":{"date-parts":[["2020"]]},"title":"Bovine tuberculosis in Great Britain in 2019: Explanatory supplement to the annual reports","type":"report"},"uris":["http://www.mendeley.com/documents/?uuid=c92c7d4d-b7cb-428c-b893-fc057eda0e3a"]}],"mendeley":{"formattedCitation":"(APHA, 2020a)","plainTextFormattedCitation":"(APHA, 2020a)","previouslyFormattedCitation":"(APHA, 2020a)"},"properties":{"noteIndex":0},"schema":"https://github.com/citation-style-language/schema/raw/master/csl-citation.json"}</w:instrText>
      </w:r>
      <w:r w:rsidR="00B043A8">
        <w:fldChar w:fldCharType="separate"/>
      </w:r>
      <w:r w:rsidR="00DC1312" w:rsidRPr="00DC1312">
        <w:rPr>
          <w:noProof/>
        </w:rPr>
        <w:t>(APHA, 2020a)</w:t>
      </w:r>
      <w:r w:rsidR="00B043A8">
        <w:fldChar w:fldCharType="end"/>
      </w:r>
      <w:r>
        <w:t>.</w:t>
      </w:r>
    </w:p>
    <w:p w14:paraId="4C7FDCDB" w14:textId="56234267" w:rsidR="00C24401" w:rsidRPr="00581288" w:rsidRDefault="000B4880" w:rsidP="00C24401">
      <w:r w:rsidRPr="00581288">
        <w:t>Compulsory s</w:t>
      </w:r>
      <w:r w:rsidR="00BC1F3C" w:rsidRPr="00581288">
        <w:t>urveillance for bTB</w:t>
      </w:r>
      <w:r w:rsidR="0088108C" w:rsidRPr="00581288">
        <w:t xml:space="preserve"> in England</w:t>
      </w:r>
      <w:r w:rsidR="00BC1F3C" w:rsidRPr="00581288">
        <w:t xml:space="preserve"> </w:t>
      </w:r>
      <w:r w:rsidR="00DC1312" w:rsidRPr="00581288">
        <w:fldChar w:fldCharType="begin" w:fldLock="1"/>
      </w:r>
      <w:r w:rsidR="00D6638E" w:rsidRPr="00581288">
        <w:instrText>ADDIN CSL_CITATION {"citationItems":[{"id":"ITEM-1","itemData":{"author":[{"dropping-particle":"","family":"UK Statutory Instruments","given":"","non-dropping-particle":"","parse-names":false,"suffix":""}],"id":"ITEM-1","issued":{"date-parts":[["2021"]]},"number":"1001","title":"The Tuberculosis in Animals (England) Order 2021","type":"legislation"},"uris":["http://www.mendeley.com/documents/?uuid=4895735c-a90d-445b-bcf8-c8984b2b36e1"]}],"mendeley":{"formattedCitation":"(UK Statutory Instruments, 2021)","plainTextFormattedCitation":"(UK Statutory Instruments, 2021)","previouslyFormattedCitation":"(UK Statutory Instruments, 2021)"},"properties":{"noteIndex":0},"schema":"https://github.com/citation-style-language/schema/raw/master/csl-citation.json"}</w:instrText>
      </w:r>
      <w:r w:rsidR="00DC1312" w:rsidRPr="00581288">
        <w:fldChar w:fldCharType="separate"/>
      </w:r>
      <w:r w:rsidR="00DC1312" w:rsidRPr="00581288">
        <w:rPr>
          <w:noProof/>
        </w:rPr>
        <w:t>(UK Statutory Instruments, 2021)</w:t>
      </w:r>
      <w:r w:rsidR="00DC1312" w:rsidRPr="00581288">
        <w:fldChar w:fldCharType="end"/>
      </w:r>
      <w:r w:rsidRPr="00581288">
        <w:t xml:space="preserve"> </w:t>
      </w:r>
      <w:r w:rsidR="00BC1F3C" w:rsidRPr="00581288">
        <w:t>takes place at herd level</w:t>
      </w:r>
      <w:r w:rsidRPr="00581288">
        <w:t xml:space="preserve">, yearly </w:t>
      </w:r>
      <w:r w:rsidR="00694FAF" w:rsidRPr="00581288">
        <w:t xml:space="preserve">or six-monthly </w:t>
      </w:r>
      <w:r w:rsidRPr="00581288">
        <w:t>in the two worst-affected areas (High-risk area [HRA] and Edge [EA] areas) and four-yearly in the Low-risk area (LRA)</w:t>
      </w:r>
      <w:r w:rsidR="00694FAF" w:rsidRPr="00581288">
        <w:t xml:space="preserve"> </w:t>
      </w:r>
      <w:r w:rsidR="00694FAF" w:rsidRPr="00581288">
        <w:fldChar w:fldCharType="begin" w:fldLock="1"/>
      </w:r>
      <w:r w:rsidR="00EA51D0" w:rsidRPr="00581288">
        <w:instrText>ADDIN CSL_CITATION {"citationItems":[{"id":"ITEM-1","itemData":{"author":[{"dropping-particle":"","family":"APHA","given":"","non-dropping-particle":"","parse-names":false,"suffix":""}],"id":"ITEM-1","issue":"November","issued":{"date-parts":[["2021"]]},"number-of-pages":"117","title":"Bovine tuberculosis in England in 2020: Epidemiological analysis of the 2020 data and historical trends","type":"report"},"uris":["http://www.mendeley.com/documents/?uuid=3019d4e3-7d83-43df-a419-9834d4e7e861"]}],"mendeley":{"formattedCitation":"(APHA, 2021)","plainTextFormattedCitation":"(APHA, 2021)","previouslyFormattedCitation":"(APHA, 2021)"},"properties":{"noteIndex":0},"schema":"https://github.com/citation-style-language/schema/raw/master/csl-citation.json"}</w:instrText>
      </w:r>
      <w:r w:rsidR="00694FAF" w:rsidRPr="00581288">
        <w:fldChar w:fldCharType="separate"/>
      </w:r>
      <w:r w:rsidR="00694FAF" w:rsidRPr="00581288">
        <w:rPr>
          <w:noProof/>
        </w:rPr>
        <w:t>(APHA, 2021)</w:t>
      </w:r>
      <w:r w:rsidR="00694FAF" w:rsidRPr="00581288">
        <w:fldChar w:fldCharType="end"/>
      </w:r>
      <w:r w:rsidRPr="00581288">
        <w:t>.</w:t>
      </w:r>
      <w:r w:rsidR="00BC1F3C" w:rsidRPr="00581288">
        <w:t xml:space="preserve"> </w:t>
      </w:r>
      <w:r w:rsidRPr="00581288">
        <w:t>T</w:t>
      </w:r>
      <w:r w:rsidR="00C24401" w:rsidRPr="00581288">
        <w:t xml:space="preserve">he detection of </w:t>
      </w:r>
      <w:r w:rsidR="00BC1F3C" w:rsidRPr="00581288">
        <w:t xml:space="preserve">IRs without concurrent test reactors (i.e. ‘IR-only’ herds), following the application of the SICCT in </w:t>
      </w:r>
      <w:r w:rsidR="00626063" w:rsidRPr="00581288">
        <w:t>the herd</w:t>
      </w:r>
      <w:r w:rsidR="00BC1F3C" w:rsidRPr="00581288">
        <w:t>, re</w:t>
      </w:r>
      <w:r w:rsidR="00C24401" w:rsidRPr="00581288">
        <w:t xml:space="preserve">presents an increased risk of bTB in England at </w:t>
      </w:r>
      <w:r w:rsidR="005001F3" w:rsidRPr="00581288">
        <w:t xml:space="preserve">the </w:t>
      </w:r>
      <w:r w:rsidR="00C24401" w:rsidRPr="00581288">
        <w:t xml:space="preserve">herd </w:t>
      </w:r>
      <w:r w:rsidR="00B043A8" w:rsidRPr="00581288">
        <w:fldChar w:fldCharType="begin" w:fldLock="1"/>
      </w:r>
      <w:r w:rsidR="00B043A8" w:rsidRPr="00581288">
        <w:instrText>ADDIN CSL_CITATION {"citationItems":[{"id":"ITEM-1","itemData":{"DOI":"10.3389/fvets.2018.00228","abstract":"Bovine tuberculosis (TB) is an important animal health issue in many parts of the world. In England and Wales, the primary test to detect infected animals is the single intradermal comparative cervical tuberculin test, which compares immunological responses to bovine and avian tuberculins. Inconclusive test reactors (IRs) are animals that demonstrate a positive reaction to the bovine tuberculin only marginally greater than the avian reaction, so are not classified as reactors and immediately removed. In the absence of reactors in the herd, IRs are isolated, placed under movement restrictions and re-tested after 60 days. Other animals in these herds at the time of the IR result are not usually subject to movement restrictions. This could affect efforts to control TB if undetected infected cattle move out of those herds before the next TB test. To improve our understanding of the importance of IRs, this study aimed to assess whether median survival time and the rate of subsequent TB incidents differs in herds with only IRs detected compared with negative-testing herds. Survival analysis and Poisson regression were used, with herds entering the study on the date of the first whole herd test in 2012. An additional analysis was performed using an alternative entry date to try to remove the impact of IR retesting and is presented in the Supplementary Material. Survival analysis showed that the median time to failure among IR only herds was half that observed for clear herds (2.3 years and 4.3 years respectively; p&lt;0.001). Mixed effects Poisson regression analysis showed that IR-only herds had a 54% increase in the rate of subsequent incidents compared with negative-testing herds (incidence rate ratio: 1.54; 95% CI: 1.46, 1.62; p&lt;0.001). The supplementary analysis indicated that the fate of IR only herds is comparable to clear herds after they get through the IR testing regime. Both analyses showed that the fate of IR only herds is associated with some of the traditionally accepted risk factors for TB. This suggests that IRs may be more common among generally high-risk herds, and emphasises the importance of careful decision making around the management of IR animals.","author":[{"dropping-particle":"","family":"Brunton","given":"Lucy A.","non-dropping-particle":"","parse-names":false,"suffix":""},{"dropping-particle":"","family":"Prosser","given":"Alison","non-dropping-particle":"","parse-names":false,"suffix":""},{"dropping-particle":"","family":"Pfeiffer","given":"Dirk U.","non-dropping-particle":"","parse-names":false,"suffix":""},{"dropping-particle":"","family":"Downs","given":"Sara H.","non-dropping-particle":"","parse-names":false,"suffix":""}],"container-title":"Frontiers in Veterinary Science","id":"ITEM-1","issue":"September","issued":{"date-parts":[["2018"]]},"page":"1-10","title":"Exploring the fate of cattle herds with inconclusive reactors to the tuberculin skin test","type":"article-journal","volume":"5"},"uris":["http://www.mendeley.com/documents/?uuid=816c4387-5364-4522-9754-aa000057b1f8"]}],"mendeley":{"formattedCitation":"(Brunton et al., 2018)","plainTextFormattedCitation":"(Brunton et al., 2018)","previouslyFormattedCitation":"(Brunton et al., 2018)"},"properties":{"noteIndex":0},"schema":"https://github.com/citation-style-language/schema/raw/master/csl-citation.json"}</w:instrText>
      </w:r>
      <w:r w:rsidR="00B043A8" w:rsidRPr="00581288">
        <w:fldChar w:fldCharType="separate"/>
      </w:r>
      <w:r w:rsidR="00B043A8" w:rsidRPr="00581288">
        <w:rPr>
          <w:noProof/>
        </w:rPr>
        <w:t>(Brunton et al., 2018)</w:t>
      </w:r>
      <w:r w:rsidR="00B043A8" w:rsidRPr="00581288">
        <w:fldChar w:fldCharType="end"/>
      </w:r>
      <w:r w:rsidR="00C24401" w:rsidRPr="00581288">
        <w:t xml:space="preserve"> as well as animal </w:t>
      </w:r>
      <w:r w:rsidR="00B043A8" w:rsidRPr="00581288">
        <w:fldChar w:fldCharType="begin" w:fldLock="1"/>
      </w:r>
      <w:r w:rsidR="00B043A8" w:rsidRPr="00581288">
        <w:instrText>ADDIN CSL_CITATION {"citationItems":[{"id":"ITEM-1","itemData":{"DOI":"10.3390/vetsci6040097","ISSN":"23067381","abstract":"The single intradermal comparative cervical tuberculin (SICCT) test is the primary test for ante-mortem diagnosis of bovine tuberculosis (TB) in England and Wales. When an animal is first classified as an inconclusive reactor (IR) using this test, it is not subject to compulsory slaughter, but it must be isolated from the rest of the herd. To understand the risk posed by these animals, a case-control study was conducted to measure the association between IR status of animals and the odds of them becoming a reactor to the SICCT at a subsequent test. The study included all animals from herds in which only IR animals were found at the first whole herd test in 2012 and used data from subsequent tests up until the end of 2016. Separate mixed-effects logistic regression models were developed to examine the relationship between IR status and subsequent reactor status for each risk area of England and for Wales, adjusting for other explanatory variables. The odds of an animal becoming a subsequent reactor during the study period were greater for IR animals than for negative animals in the high-risk area (odds ratio (OR): 6.85 (5.98-7.86)) and edge area (OR: 8.79 (5.92-13.04)) of England and in Wales (OR: 6.87 (5.75-8.22)). In the low-risk area of England, the odds were 23 times greater, although the confidence interval around this estimate was larger due to the smaller sample size (11-48, p &lt; 0.001). These findings support the need to explore differential controls for IR animals to reduce the spread of TB, and they highlight the importance of area-specific policies.","author":[{"dropping-particle":"","family":"May","given":"Elizabeth","non-dropping-particle":"","parse-names":false,"suffix":""},{"dropping-particle":"","family":"Prosser","given":"Alison","non-dropping-particle":"","parse-names":false,"suffix":""},{"dropping-particle":"","family":"Downs","given":"Sara H.","non-dropping-particle":"","parse-names":false,"suffix":""},{"dropping-particle":"","family":"Brunton","given":"Lucy A.","non-dropping-particle":"","parse-names":false,"suffix":""}],"container-title":"Veterinary Sciences","id":"ITEM-1","issue":"4","issued":{"date-parts":[["2019"]]},"title":"Exploring the risk posed by animals with an inconclusive reaction to the bovine tuberculosis skin test in England and Wales","type":"article-journal","volume":"6"},"uris":["http://www.mendeley.com/documents/?uuid=3453c248-236a-4c06-9054-e1aa4bd51d2c"]}],"mendeley":{"formattedCitation":"(May et al., 2019)","plainTextFormattedCitation":"(May et al., 2019)","previouslyFormattedCitation":"(May et al., 2019)"},"properties":{"noteIndex":0},"schema":"https://github.com/citation-style-language/schema/raw/master/csl-citation.json"}</w:instrText>
      </w:r>
      <w:r w:rsidR="00B043A8" w:rsidRPr="00581288">
        <w:fldChar w:fldCharType="separate"/>
      </w:r>
      <w:r w:rsidR="00B043A8" w:rsidRPr="00581288">
        <w:rPr>
          <w:noProof/>
        </w:rPr>
        <w:t>(May et al., 2019)</w:t>
      </w:r>
      <w:r w:rsidR="00B043A8" w:rsidRPr="00581288">
        <w:fldChar w:fldCharType="end"/>
      </w:r>
      <w:r w:rsidR="00001144">
        <w:t xml:space="preserve"> </w:t>
      </w:r>
      <w:r w:rsidR="00001144" w:rsidRPr="00581288">
        <w:t>levels</w:t>
      </w:r>
      <w:r w:rsidR="00C24401" w:rsidRPr="00581288">
        <w:t xml:space="preserve">. </w:t>
      </w:r>
      <w:r w:rsidR="00375EEF" w:rsidRPr="00581288">
        <w:t>Over 60%</w:t>
      </w:r>
      <w:r w:rsidR="00C24401" w:rsidRPr="00581288">
        <w:t xml:space="preserve"> </w:t>
      </w:r>
      <w:r w:rsidR="003E1BFB" w:rsidRPr="00581288">
        <w:t xml:space="preserve">of </w:t>
      </w:r>
      <w:r w:rsidR="00C24401" w:rsidRPr="00581288">
        <w:t xml:space="preserve">IR-only herds and </w:t>
      </w:r>
      <w:r w:rsidR="003E1BFB" w:rsidRPr="00581288">
        <w:t xml:space="preserve">of </w:t>
      </w:r>
      <w:r w:rsidR="00C24401" w:rsidRPr="00581288">
        <w:t xml:space="preserve">individual IRs </w:t>
      </w:r>
      <w:r w:rsidR="003E1BFB" w:rsidRPr="00581288">
        <w:t xml:space="preserve">(64% and 68%, respectively) detected in England in 2020, </w:t>
      </w:r>
      <w:r w:rsidR="00C24401" w:rsidRPr="00581288">
        <w:t xml:space="preserve">were identified in the </w:t>
      </w:r>
      <w:r w:rsidR="003E1BFB" w:rsidRPr="00581288">
        <w:t>HRA</w:t>
      </w:r>
      <w:r w:rsidR="00C24401" w:rsidRPr="00581288">
        <w:t xml:space="preserve"> </w:t>
      </w:r>
      <w:r w:rsidR="00A85296" w:rsidRPr="00581288">
        <w:fldChar w:fldCharType="begin" w:fldLock="1"/>
      </w:r>
      <w:r w:rsidR="00A85296" w:rsidRPr="00581288">
        <w:instrText>ADDIN CSL_CITATION {"citationItems":[{"id":"ITEM-1","itemData":{"author":[{"dropping-particle":"","family":"APHA","given":"","non-dropping-particle":"","parse-names":false,"suffix":""}],"id":"ITEM-1","issue":"November","issued":{"date-parts":[["2021"]]},"number-of-pages":"117","title":"Bovine tuberculosis in England in 2020: Epidemiological analysis of the 2020 data and historical trends","type":"report"},"uris":["http://www.mendeley.com/documents/?uuid=3019d4e3-7d83-43df-a419-9834d4e7e861"]}],"mendeley":{"formattedCitation":"(APHA, 2021)","plainTextFormattedCitation":"(APHA, 2021)","previouslyFormattedCitation":"(APHA, 2021)"},"properties":{"noteIndex":0},"schema":"https://github.com/citation-style-language/schema/raw/master/csl-citation.json"}</w:instrText>
      </w:r>
      <w:r w:rsidR="00A85296" w:rsidRPr="00581288">
        <w:fldChar w:fldCharType="separate"/>
      </w:r>
      <w:r w:rsidR="00A85296" w:rsidRPr="00581288">
        <w:rPr>
          <w:noProof/>
        </w:rPr>
        <w:t>(APHA, 2021)</w:t>
      </w:r>
      <w:r w:rsidR="00A85296" w:rsidRPr="00581288">
        <w:fldChar w:fldCharType="end"/>
      </w:r>
      <w:r w:rsidR="00C24401" w:rsidRPr="00581288">
        <w:t xml:space="preserve">. Furthermore, </w:t>
      </w:r>
      <w:r w:rsidR="00A85296" w:rsidRPr="00581288">
        <w:t>39</w:t>
      </w:r>
      <w:r w:rsidR="00C24401" w:rsidRPr="00581288">
        <w:t>% of IR-only herds in the HRA went on to have a</w:t>
      </w:r>
      <w:r w:rsidR="003E1BFB" w:rsidRPr="00581288">
        <w:t xml:space="preserve"> bTB</w:t>
      </w:r>
      <w:r w:rsidR="00C24401" w:rsidRPr="00581288">
        <w:t xml:space="preserve"> incident </w:t>
      </w:r>
      <w:r w:rsidR="003E1BFB" w:rsidRPr="00581288">
        <w:t xml:space="preserve">(a positive skin test result) </w:t>
      </w:r>
      <w:r w:rsidR="00C24401" w:rsidRPr="00581288">
        <w:t>within 15 months (compared to 3</w:t>
      </w:r>
      <w:r w:rsidR="00A85296" w:rsidRPr="00581288">
        <w:t>2</w:t>
      </w:r>
      <w:r w:rsidR="00C24401" w:rsidRPr="00581288">
        <w:t>% in the EA and 2</w:t>
      </w:r>
      <w:r w:rsidR="00A85296" w:rsidRPr="00581288">
        <w:t>0</w:t>
      </w:r>
      <w:r w:rsidR="00C24401" w:rsidRPr="00581288">
        <w:t xml:space="preserve">% in the LRA) </w:t>
      </w:r>
      <w:r w:rsidR="00A85296" w:rsidRPr="00581288">
        <w:fldChar w:fldCharType="begin" w:fldLock="1"/>
      </w:r>
      <w:r w:rsidR="00A85296" w:rsidRPr="00581288">
        <w:instrText>ADDIN CSL_CITATION {"citationItems":[{"id":"ITEM-1","itemData":{"author":[{"dropping-particle":"","family":"APHA","given":"","non-dropping-particle":"","parse-names":false,"suffix":""}],"id":"ITEM-1","issue":"November","issued":{"date-parts":[["2021"]]},"number-of-pages":"117","title":"Bovine tuberculosis in England in 2020: Epidemiological analysis of the 2020 data and historical trends","type":"report"},"uris":["http://www.mendeley.com/documents/?uuid=3019d4e3-7d83-43df-a419-9834d4e7e861"]}],"mendeley":{"formattedCitation":"(APHA, 2021)","plainTextFormattedCitation":"(APHA, 2021)","previouslyFormattedCitation":"(APHA, 2021)"},"properties":{"noteIndex":0},"schema":"https://github.com/citation-style-language/schema/raw/master/csl-citation.json"}</w:instrText>
      </w:r>
      <w:r w:rsidR="00A85296" w:rsidRPr="00581288">
        <w:fldChar w:fldCharType="separate"/>
      </w:r>
      <w:r w:rsidR="00A85296" w:rsidRPr="00581288">
        <w:rPr>
          <w:noProof/>
        </w:rPr>
        <w:t>(APHA, 2021)</w:t>
      </w:r>
      <w:r w:rsidR="00A85296" w:rsidRPr="00581288">
        <w:fldChar w:fldCharType="end"/>
      </w:r>
      <w:r w:rsidR="00C24401" w:rsidRPr="00581288">
        <w:t xml:space="preserve">, in the majority of cases through the detection of reactors at </w:t>
      </w:r>
      <w:r w:rsidR="00C24401" w:rsidRPr="00581288">
        <w:lastRenderedPageBreak/>
        <w:t xml:space="preserve">the IRs’ 60-day retest: in </w:t>
      </w:r>
      <w:r w:rsidR="00A85296" w:rsidRPr="00581288">
        <w:t>61% of IR-only herds in the HRA</w:t>
      </w:r>
      <w:r w:rsidR="00C24401" w:rsidRPr="00581288">
        <w:t xml:space="preserve"> </w:t>
      </w:r>
      <w:r w:rsidR="00A85296" w:rsidRPr="00581288">
        <w:t xml:space="preserve">and in 86% of cases in the EA and LRA </w:t>
      </w:r>
      <w:r w:rsidR="00A85296" w:rsidRPr="00581288">
        <w:fldChar w:fldCharType="begin" w:fldLock="1"/>
      </w:r>
      <w:r w:rsidR="00FD5546" w:rsidRPr="00581288">
        <w:instrText>ADDIN CSL_CITATION {"citationItems":[{"id":"ITEM-1","itemData":{"author":[{"dropping-particle":"","family":"APHA","given":"","non-dropping-particle":"","parse-names":false,"suffix":""}],"id":"ITEM-1","issue":"November","issued":{"date-parts":[["2021"]]},"number-of-pages":"117","title":"Bovine tuberculosis in England in 2020: Epidemiological analysis of the 2020 data and historical trends","type":"report"},"uris":["http://www.mendeley.com/documents/?uuid=3019d4e3-7d83-43df-a419-9834d4e7e861"]}],"mendeley":{"formattedCitation":"(APHA, 2021)","plainTextFormattedCitation":"(APHA, 2021)","previouslyFormattedCitation":"(APHA, 2021)"},"properties":{"noteIndex":0},"schema":"https://github.com/citation-style-language/schema/raw/master/csl-citation.json"}</w:instrText>
      </w:r>
      <w:r w:rsidR="00A85296" w:rsidRPr="00581288">
        <w:fldChar w:fldCharType="separate"/>
      </w:r>
      <w:r w:rsidR="00A85296" w:rsidRPr="00581288">
        <w:rPr>
          <w:noProof/>
        </w:rPr>
        <w:t>(APHA, 2021)</w:t>
      </w:r>
      <w:r w:rsidR="00A85296" w:rsidRPr="00581288">
        <w:fldChar w:fldCharType="end"/>
      </w:r>
      <w:r w:rsidR="00C24401" w:rsidRPr="00581288">
        <w:t xml:space="preserve">. </w:t>
      </w:r>
    </w:p>
    <w:p w14:paraId="60489440" w14:textId="63DB8BD7" w:rsidR="00C24401" w:rsidRPr="00581288" w:rsidRDefault="00C24401" w:rsidP="00C24401">
      <w:r w:rsidRPr="00581288">
        <w:t xml:space="preserve">Since </w:t>
      </w:r>
      <w:r w:rsidR="00001144">
        <w:t xml:space="preserve">a </w:t>
      </w:r>
      <w:r w:rsidRPr="00581288">
        <w:t xml:space="preserve">60-day isolation and retesting of IRs alone may not be sufficient to eliminate the risk posed by IR-only herds in England and Wales </w:t>
      </w:r>
      <w:r w:rsidR="00B043A8" w:rsidRPr="00581288">
        <w:fldChar w:fldCharType="begin" w:fldLock="1"/>
      </w:r>
      <w:r w:rsidR="00B043A8" w:rsidRPr="00581288">
        <w:instrText>ADDIN CSL_CITATION {"citationItems":[{"id":"ITEM-1","itemData":{"DOI":"10.3389/fvets.2018.00228","abstract":"Bovine tuberculosis (TB) is an important animal health issue in many parts of the world. In England and Wales, the primary test to detect infected animals is the single intradermal comparative cervical tuberculin test, which compares immunological responses to bovine and avian tuberculins. Inconclusive test reactors (IRs) are animals that demonstrate a positive reaction to the bovine tuberculin only marginally greater than the avian reaction, so are not classified as reactors and immediately removed. In the absence of reactors in the herd, IRs are isolated, placed under movement restrictions and re-tested after 60 days. Other animals in these herds at the time of the IR result are not usually subject to movement restrictions. This could affect efforts to control TB if undetected infected cattle move out of those herds before the next TB test. To improve our understanding of the importance of IRs, this study aimed to assess whether median survival time and the rate of subsequent TB incidents differs in herds with only IRs detected compared with negative-testing herds. Survival analysis and Poisson regression were used, with herds entering the study on the date of the first whole herd test in 2012. An additional analysis was performed using an alternative entry date to try to remove the impact of IR retesting and is presented in the Supplementary Material. Survival analysis showed that the median time to failure among IR only herds was half that observed for clear herds (2.3 years and 4.3 years respectively; p&lt;0.001). Mixed effects Poisson regression analysis showed that IR-only herds had a 54% increase in the rate of subsequent incidents compared with negative-testing herds (incidence rate ratio: 1.54; 95% CI: 1.46, 1.62; p&lt;0.001). The supplementary analysis indicated that the fate of IR only herds is comparable to clear herds after they get through the IR testing regime. Both analyses showed that the fate of IR only herds is associated with some of the traditionally accepted risk factors for TB. This suggests that IRs may be more common among generally high-risk herds, and emphasises the importance of careful decision making around the management of IR animals.","author":[{"dropping-particle":"","family":"Brunton","given":"Lucy A.","non-dropping-particle":"","parse-names":false,"suffix":""},{"dropping-particle":"","family":"Prosser","given":"Alison","non-dropping-particle":"","parse-names":false,"suffix":""},{"dropping-particle":"","family":"Pfeiffer","given":"Dirk U.","non-dropping-particle":"","parse-names":false,"suffix":""},{"dropping-particle":"","family":"Downs","given":"Sara H.","non-dropping-particle":"","parse-names":false,"suffix":""}],"container-title":"Frontiers in Veterinary Science","id":"ITEM-1","issue":"September","issued":{"date-parts":[["2018"]]},"page":"1-10","title":"Exploring the fate of cattle herds with inconclusive reactors to the tuberculin skin test","type":"article-journal","volume":"5"},"uris":["http://www.mendeley.com/documents/?uuid=816c4387-5364-4522-9754-aa000057b1f8"]}],"mendeley":{"formattedCitation":"(Brunton et al., 2018)","plainTextFormattedCitation":"(Brunton et al., 2018)","previouslyFormattedCitation":"(Brunton et al., 2018)"},"properties":{"noteIndex":0},"schema":"https://github.com/citation-style-language/schema/raw/master/csl-citation.json"}</w:instrText>
      </w:r>
      <w:r w:rsidR="00B043A8" w:rsidRPr="00581288">
        <w:fldChar w:fldCharType="separate"/>
      </w:r>
      <w:r w:rsidR="00B043A8" w:rsidRPr="00581288">
        <w:rPr>
          <w:noProof/>
        </w:rPr>
        <w:t>(Brunton et al., 2018)</w:t>
      </w:r>
      <w:r w:rsidR="00B043A8" w:rsidRPr="00581288">
        <w:fldChar w:fldCharType="end"/>
      </w:r>
      <w:r w:rsidRPr="00581288">
        <w:t xml:space="preserve">, it may be necessary to explore additional control options </w:t>
      </w:r>
      <w:r w:rsidR="00B043A8" w:rsidRPr="00581288">
        <w:fldChar w:fldCharType="begin" w:fldLock="1"/>
      </w:r>
      <w:r w:rsidR="00B043A8" w:rsidRPr="00581288">
        <w:instrText>ADDIN CSL_CITATION {"citationItems":[{"id":"ITEM-1","itemData":{"DOI":"10.3390/vetsci6040097","ISSN":"23067381","abstract":"The single intradermal comparative cervical tuberculin (SICCT) test is the primary test for ante-mortem diagnosis of bovine tuberculosis (TB) in England and Wales. When an animal is first classified as an inconclusive reactor (IR) using this test, it is not subject to compulsory slaughter, but it must be isolated from the rest of the herd. To understand the risk posed by these animals, a case-control study was conducted to measure the association between IR status of animals and the odds of them becoming a reactor to the SICCT at a subsequent test. The study included all animals from herds in which only IR animals were found at the first whole herd test in 2012 and used data from subsequent tests up until the end of 2016. Separate mixed-effects logistic regression models were developed to examine the relationship between IR status and subsequent reactor status for each risk area of England and for Wales, adjusting for other explanatory variables. The odds of an animal becoming a subsequent reactor during the study period were greater for IR animals than for negative animals in the high-risk area (odds ratio (OR): 6.85 (5.98-7.86)) and edge area (OR: 8.79 (5.92-13.04)) of England and in Wales (OR: 6.87 (5.75-8.22)). In the low-risk area of England, the odds were 23 times greater, although the confidence interval around this estimate was larger due to the smaller sample size (11-48, p &lt; 0.001). These findings support the need to explore differential controls for IR animals to reduce the spread of TB, and they highlight the importance of area-specific policies.","author":[{"dropping-particle":"","family":"May","given":"Elizabeth","non-dropping-particle":"","parse-names":false,"suffix":""},{"dropping-particle":"","family":"Prosser","given":"Alison","non-dropping-particle":"","parse-names":false,"suffix":""},{"dropping-particle":"","family":"Downs","given":"Sara H.","non-dropping-particle":"","parse-names":false,"suffix":""},{"dropping-particle":"","family":"Brunton","given":"Lucy A.","non-dropping-particle":"","parse-names":false,"suffix":""}],"container-title":"Veterinary Sciences","id":"ITEM-1","issue":"4","issued":{"date-parts":[["2019"]]},"title":"Exploring the risk posed by animals with an inconclusive reaction to the bovine tuberculosis skin test in England and Wales","type":"article-journal","volume":"6"},"uris":["http://www.mendeley.com/documents/?uuid=3453c248-236a-4c06-9054-e1aa4bd51d2c"]},{"id":"ITEM-2","itemData":{"DOI":"10.1016/j.prevetmed.2011.07.014","ISSN":"01675877","abstract":"In Ireland, new cases of bovine tuberculosis (bTB) are detected using both field and abattoir surveillance (More and Good, 2006). Field surveillance is conducted through annual testing of all cattle using the single intradermal comparative tuberculin test (SICTT). An animal may be deemed a 'standard inconclusive reactor' (SIR) to the SICTT if the bovine response is &gt;2. mm and between 1 and 4 mm &gt; the avian response. The herdowner then has three choices for the management of the SIR: option 1 is to have the animal retested after a minimum period of 42 days (an inconclusive reactor retest, IRR), option 2 is to slaughter the SIR and, provided the animal has no visible lesions, have a full herd test 42 days after the SIR leaves the herd, option 3 is to slaughter the SIR and have the lymph nodes examined using histology and/or culture for bTB. In the current study, we examine the bTB risk for SIRs both at slaughter prior to the IRR and at the IRR, and the future bTB risk of TIR animals (so-called 'transient SIRs'; SIR animals with a negative SICTT result at the subsequent IRR) that moved from the herd of disclosure within 6 months of the IRR. We also investigate factors associated with the future bTB status of SIRs at slaughter prior to the IRR and at the IRR. The study population included all SIRs identified in Ireland between 2005 and 2009 inclusive in a herd otherwise Officially TB free (OTF). Between 11.8% and 21.4% of SIRs slaughtered prior to the IRR were confirmed bTB positive at post mortem (using histology or culture if histology was not definitive), compared to 0.13-0.22% of SICTT -ve cohort animals. The post mortem bTB lesion rate of SIRs is lower than the lesion rate reported for reactor animals between 2005 and 2009 of between 34% and 39%, reflecting the doubtful infection status of these animals. Between 20.3% and 27.9% of herds were restricted at the IRR. The herd restriction rate amongst the national herd between 2005 and 2009 varied from 5.09% to 6.02%. TIRs that moved out of the disclosing herd within 6 months of the IRR were 12 times more likely to be bTB positive at the next test/slaughter compared to all animals in the national herd. The same increased risk did not apply to the SICTT -ve cohort animals that moved out of the same herds at the same time. Based on a range of measures, SIRs and TIRs are each at increased bTB risk into the future. Consequently, differential treatment of TIR animals would be justified. © 2011 Elsevier B.V.","author":[{"dropping-particle":"","family":"Clegg","given":"T. A.","non-dropping-particle":"","parse-names":false,"suffix":""},{"dropping-particle":"","family":"Good","given":"M.","non-dropping-particle":"","parse-names":false,"suffix":""},{"dropping-particle":"","family":"Duignan","given":"A.","non-dropping-particle":"","parse-names":false,"suffix":""},{"dropping-particle":"","family":"Doyle","given":"R.","non-dropping-particle":"","parse-names":false,"suffix":""},{"dropping-particle":"","family":"More","given":"S. J.","non-dropping-particle":"","parse-names":false,"suffix":""}],"container-title":"Preventive Veterinary Medicine","id":"ITEM-2","issued":{"date-parts":[["2011"]]},"page":"255-264","publisher":"Elsevier B.V.","title":"Shorter-term risk of Mycobacterium bovis in Irish cattle following an inconclusive diagnosis to the single intradermal comparative tuberculin test","type":"article-journal","volume":"102"},"uris":["http://www.mendeley.com/documents/?uuid=bc5457f6-7efb-41dd-bf45-dbeda8a365ee"]}],"mendeley":{"formattedCitation":"(Clegg et al., 2011a; May et al., 2019)","plainTextFormattedCitation":"(Clegg et al., 2011a; May et al., 2019)","previouslyFormattedCitation":"(Clegg et al., 2011a; May et al., 2019)"},"properties":{"noteIndex":0},"schema":"https://github.com/citation-style-language/schema/raw/master/csl-citation.json"}</w:instrText>
      </w:r>
      <w:r w:rsidR="00B043A8" w:rsidRPr="00581288">
        <w:fldChar w:fldCharType="separate"/>
      </w:r>
      <w:r w:rsidR="00B043A8" w:rsidRPr="00581288">
        <w:rPr>
          <w:noProof/>
        </w:rPr>
        <w:t>(Clegg et al., 2011a; May et al., 2019)</w:t>
      </w:r>
      <w:r w:rsidR="00B043A8" w:rsidRPr="00581288">
        <w:fldChar w:fldCharType="end"/>
      </w:r>
      <w:r w:rsidRPr="00581288">
        <w:t>, such as closer follow-up at future tests, immediate slaughter</w:t>
      </w:r>
      <w:r w:rsidR="003E1BFB" w:rsidRPr="00581288">
        <w:t>,</w:t>
      </w:r>
      <w:r w:rsidRPr="00581288">
        <w:t xml:space="preserve"> or lifetime restrictions </w:t>
      </w:r>
      <w:r w:rsidR="00B043A8" w:rsidRPr="00581288">
        <w:fldChar w:fldCharType="begin" w:fldLock="1"/>
      </w:r>
      <w:r w:rsidR="00B043A8" w:rsidRPr="00581288">
        <w:instrText>ADDIN CSL_CITATION {"citationItems":[{"id":"ITEM-1","itemData":{"DOI":"10.1016/j.prevetmed.2011.07.014","ISSN":"01675877","abstract":"In Ireland, new cases of bovine tuberculosis (bTB) are detected using both field and abattoir surveillance (More and Good, 2006). Field surveillance is conducted through annual testing of all cattle using the single intradermal comparative tuberculin test (SICTT). An animal may be deemed a 'standard inconclusive reactor' (SIR) to the SICTT if the bovine response is &gt;2. mm and between 1 and 4 mm &gt; the avian response. The herdowner then has three choices for the management of the SIR: option 1 is to have the animal retested after a minimum period of 42 days (an inconclusive reactor retest, IRR), option 2 is to slaughter the SIR and, provided the animal has no visible lesions, have a full herd test 42 days after the SIR leaves the herd, option 3 is to slaughter the SIR and have the lymph nodes examined using histology and/or culture for bTB. In the current study, we examine the bTB risk for SIRs both at slaughter prior to the IRR and at the IRR, and the future bTB risk of TIR animals (so-called 'transient SIRs'; SIR animals with a negative SICTT result at the subsequent IRR) that moved from the herd of disclosure within 6 months of the IRR. We also investigate factors associated with the future bTB status of SIRs at slaughter prior to the IRR and at the IRR. The study population included all SIRs identified in Ireland between 2005 and 2009 inclusive in a herd otherwise Officially TB free (OTF). Between 11.8% and 21.4% of SIRs slaughtered prior to the IRR were confirmed bTB positive at post mortem (using histology or culture if histology was not definitive), compared to 0.13-0.22% of SICTT -ve cohort animals. The post mortem bTB lesion rate of SIRs is lower than the lesion rate reported for reactor animals between 2005 and 2009 of between 34% and 39%, reflecting the doubtful infection status of these animals. Between 20.3% and 27.9% of herds were restricted at the IRR. The herd restriction rate amongst the national herd between 2005 and 2009 varied from 5.09% to 6.02%. TIRs that moved out of the disclosing herd within 6 months of the IRR were 12 times more likely to be bTB positive at the next test/slaughter compared to all animals in the national herd. The same increased risk did not apply to the SICTT -ve cohort animals that moved out of the same herds at the same time. Based on a range of measures, SIRs and TIRs are each at increased bTB risk into the future. Consequently, differential treatment of TIR animals would be justified. © 2011 Elsevier B.V.","author":[{"dropping-particle":"","family":"Clegg","given":"T. A.","non-dropping-particle":"","parse-names":false,"suffix":""},{"dropping-particle":"","family":"Good","given":"M.","non-dropping-particle":"","parse-names":false,"suffix":""},{"dropping-particle":"","family":"Duignan","given":"A.","non-dropping-particle":"","parse-names":false,"suffix":""},{"dropping-particle":"","family":"Doyle","given":"R.","non-dropping-particle":"","parse-names":false,"suffix":""},{"dropping-particle":"","family":"More","given":"S. J.","non-dropping-particle":"","parse-names":false,"suffix":""}],"container-title":"Preventive Veterinary Medicine","id":"ITEM-1","issued":{"date-parts":[["2011"]]},"note":"In recent years, there has been increasing recognition\nof the importance of local bTB persistence in Ireland, as reflected in the strong association between previous his- tory of bTB in cattle herds and the risk of future M. bovis infection (Griffin et al., 2005; Olea-Popelka et al., 2008), and spatial clustering of M. bovis infected cattle herds (Kelly and More, 2011).","page":"147-154","publisher":"Elsevier B.V.","title":"Longer-term risk of Mycobacterium bovis in Irish cattle following an inconclusive diagnosis to the single intradermal comparative tuberculin test","type":"article-journal","volume":"100"},"uris":["http://www.mendeley.com/documents/?uuid=a93433c6-b358-4968-aacd-6453b6ae32ae"]}],"mendeley":{"formattedCitation":"(Clegg et al., 2011b)","plainTextFormattedCitation":"(Clegg et al., 2011b)","previouslyFormattedCitation":"(Clegg et al., 2011b)"},"properties":{"noteIndex":0},"schema":"https://github.com/citation-style-language/schema/raw/master/csl-citation.json"}</w:instrText>
      </w:r>
      <w:r w:rsidR="00B043A8" w:rsidRPr="00581288">
        <w:fldChar w:fldCharType="separate"/>
      </w:r>
      <w:r w:rsidR="00B043A8" w:rsidRPr="00581288">
        <w:rPr>
          <w:noProof/>
        </w:rPr>
        <w:t>(Clegg et al., 2011b)</w:t>
      </w:r>
      <w:r w:rsidR="00B043A8" w:rsidRPr="00581288">
        <w:fldChar w:fldCharType="end"/>
      </w:r>
      <w:r w:rsidRPr="00581288">
        <w:t xml:space="preserve">. Veterinarians and farmers should be made aware of the increased risk associated with resolved IRs (i.e. those with a negative result at the 60-day retest) at future testing events and have access to the testing history of individual animals to monitor their future test results </w:t>
      </w:r>
      <w:r w:rsidR="00B043A8" w:rsidRPr="00581288">
        <w:fldChar w:fldCharType="begin" w:fldLock="1"/>
      </w:r>
      <w:r w:rsidR="00B043A8" w:rsidRPr="00581288">
        <w:instrText>ADDIN CSL_CITATION {"citationItems":[{"id":"ITEM-1","itemData":{"DOI":"10.1016/j.prevetmed.2011.07.014","ISSN":"01675877","abstract":"In Ireland, new cases of bovine tuberculosis (bTB) are detected using both field and abattoir surveillance (More and Good, 2006). Field surveillance is conducted through annual testing of all cattle using the single intradermal comparative tuberculin test (SICTT). An animal may be deemed a 'standard inconclusive reactor' (SIR) to the SICTT if the bovine response is &gt;2. mm and between 1 and 4 mm &gt; the avian response. The herdowner then has three choices for the management of the SIR: option 1 is to have the animal retested after a minimum period of 42 days (an inconclusive reactor retest, IRR), option 2 is to slaughter the SIR and, provided the animal has no visible lesions, have a full herd test 42 days after the SIR leaves the herd, option 3 is to slaughter the SIR and have the lymph nodes examined using histology and/or culture for bTB. In the current study, we examine the bTB risk for SIRs both at slaughter prior to the IRR and at the IRR, and the future bTB risk of TIR animals (so-called 'transient SIRs'; SIR animals with a negative SICTT result at the subsequent IRR) that moved from the herd of disclosure within 6 months of the IRR. We also investigate factors associated with the future bTB status of SIRs at slaughter prior to the IRR and at the IRR. The study population included all SIRs identified in Ireland between 2005 and 2009 inclusive in a herd otherwise Officially TB free (OTF). Between 11.8% and 21.4% of SIRs slaughtered prior to the IRR were confirmed bTB positive at post mortem (using histology or culture if histology was not definitive), compared to 0.13-0.22% of SICTT -ve cohort animals. The post mortem bTB lesion rate of SIRs is lower than the lesion rate reported for reactor animals between 2005 and 2009 of between 34% and 39%, reflecting the doubtful infection status of these animals. Between 20.3% and 27.9% of herds were restricted at the IRR. The herd restriction rate amongst the national herd between 2005 and 2009 varied from 5.09% to 6.02%. TIRs that moved out of the disclosing herd within 6 months of the IRR were 12 times more likely to be bTB positive at the next test/slaughter compared to all animals in the national herd. The same increased risk did not apply to the SICTT -ve cohort animals that moved out of the same herds at the same time. Based on a range of measures, SIRs and TIRs are each at increased bTB risk into the future. Consequently, differential treatment of TIR animals would be justified. © 2011 Elsevier B.V.","author":[{"dropping-particle":"","family":"Clegg","given":"T. A.","non-dropping-particle":"","parse-names":false,"suffix":""},{"dropping-particle":"","family":"Good","given":"M.","non-dropping-particle":"","parse-names":false,"suffix":""},{"dropping-particle":"","family":"Duignan","given":"A.","non-dropping-particle":"","parse-names":false,"suffix":""},{"dropping-particle":"","family":"Doyle","given":"R.","non-dropping-particle":"","parse-names":false,"suffix":""},{"dropping-particle":"","family":"More","given":"S. J.","non-dropping-particle":"","parse-names":false,"suffix":""}],"container-title":"Preventive Veterinary Medicine","id":"ITEM-1","issued":{"date-parts":[["2011"]]},"note":"In recent years, there has been increasing recognition\nof the importance of local bTB persistence in Ireland, as reflected in the strong association between previous his- tory of bTB in cattle herds and the risk of future M. bovis infection (Griffin et al., 2005; Olea-Popelka et al., 2008), and spatial clustering of M. bovis infected cattle herds (Kelly and More, 2011).","page":"147-154","publisher":"Elsevier B.V.","title":"Longer-term risk of Mycobacterium bovis in Irish cattle following an inconclusive diagnosis to the single intradermal comparative tuberculin test","type":"article-journal","volume":"100"},"uris":["http://www.mendeley.com/documents/?uuid=a93433c6-b358-4968-aacd-6453b6ae32ae"]}],"mendeley":{"formattedCitation":"(Clegg et al., 2011b)","plainTextFormattedCitation":"(Clegg et al., 2011b)","previouslyFormattedCitation":"(Clegg et al., 2011b)"},"properties":{"noteIndex":0},"schema":"https://github.com/citation-style-language/schema/raw/master/csl-citation.json"}</w:instrText>
      </w:r>
      <w:r w:rsidR="00B043A8" w:rsidRPr="00581288">
        <w:fldChar w:fldCharType="separate"/>
      </w:r>
      <w:r w:rsidR="00B043A8" w:rsidRPr="00581288">
        <w:rPr>
          <w:noProof/>
        </w:rPr>
        <w:t>(Clegg et al., 2011b)</w:t>
      </w:r>
      <w:r w:rsidR="00B043A8" w:rsidRPr="00581288">
        <w:fldChar w:fldCharType="end"/>
      </w:r>
      <w:r w:rsidRPr="00581288">
        <w:t>.</w:t>
      </w:r>
    </w:p>
    <w:p w14:paraId="5B6C3B28" w14:textId="7AC09A04" w:rsidR="00C24401" w:rsidRPr="00581288" w:rsidRDefault="008F6826" w:rsidP="00C24401">
      <w:r w:rsidRPr="00581288">
        <w:t>The</w:t>
      </w:r>
      <w:r w:rsidR="00C24401" w:rsidRPr="00581288">
        <w:t xml:space="preserve"> online bTB information portal (</w:t>
      </w:r>
      <w:proofErr w:type="spellStart"/>
      <w:r w:rsidR="00C24401" w:rsidRPr="00581288">
        <w:t>TBHub</w:t>
      </w:r>
      <w:proofErr w:type="spellEnd"/>
      <w:r w:rsidR="00C24401" w:rsidRPr="00581288">
        <w:t>) includes information on the risk posed by IRs</w:t>
      </w:r>
      <w:r w:rsidRPr="00581288">
        <w:t xml:space="preserve"> but</w:t>
      </w:r>
      <w:r w:rsidR="00C24401" w:rsidRPr="00581288">
        <w:t xml:space="preserve"> Official Veterinarians (OVs) – private vets performing official duties on behalf of the government - do not have access to records indicating if any animals in a herd are resolved IRs. Nor there is a threshold for removing all IRs in England, as it is done in Ireland </w:t>
      </w:r>
      <w:r w:rsidR="00B043A8" w:rsidRPr="00581288">
        <w:fldChar w:fldCharType="begin" w:fldLock="1"/>
      </w:r>
      <w:r w:rsidR="00F24CCD" w:rsidRPr="00581288">
        <w:instrText>ADDIN CSL_CITATION {"citationItems":[{"id":"ITEM-1","itemData":{"author":[{"dropping-particle":"","family":"Phelan","given":"Sylvester","non-dropping-particle":"","parse-names":false,"suffix":""}],"container-title":"Agriland","id":"ITEM-1","issued":{"date-parts":[["2020"]]},"title":"Department confirms TB rule change with clampdown on inconclusive animals","type":"article-magazine"},"uris":["http://www.mendeley.com/documents/?uuid=959e5d3c-2249-4110-abb1-7d6cb4bd5f39"]}],"mendeley":{"formattedCitation":"(Phelan, 2020)","plainTextFormattedCitation":"(Phelan, 2020)","previouslyFormattedCitation":"(Phelan, 2020)"},"properties":{"noteIndex":0},"schema":"https://github.com/citation-style-language/schema/raw/master/csl-citation.json"}</w:instrText>
      </w:r>
      <w:r w:rsidR="00B043A8" w:rsidRPr="00581288">
        <w:fldChar w:fldCharType="separate"/>
      </w:r>
      <w:r w:rsidR="00B043A8" w:rsidRPr="00581288">
        <w:rPr>
          <w:noProof/>
        </w:rPr>
        <w:t>(Phelan, 2020)</w:t>
      </w:r>
      <w:r w:rsidR="00B043A8" w:rsidRPr="00581288">
        <w:fldChar w:fldCharType="end"/>
      </w:r>
      <w:r w:rsidR="00C24401" w:rsidRPr="00581288">
        <w:t xml:space="preserve">. Since November 2017, however, all resolved IRs in the HRA and the EA (and in incident tests in the LRA) have to be restricted to their farm for life, unless moved to slaughter or privately re-tested with a negative result using the IFN-gamma test </w:t>
      </w:r>
      <w:r w:rsidR="00F24CCD" w:rsidRPr="00581288">
        <w:fldChar w:fldCharType="begin" w:fldLock="1"/>
      </w:r>
      <w:r w:rsidR="00F24CCD" w:rsidRPr="00581288">
        <w:instrText>ADDIN CSL_CITATION {"citationItems":[{"id":"ITEM-1","itemData":{"author":[{"dropping-particle":"","family":"Defra","given":"","non-dropping-particle":"","parse-names":false,"suffix":""}],"id":"ITEM-1","issue":"March","issued":{"date-parts":[["2020"]]},"title":"Next steps for the strategy for achieving bovine tuberculosis free status for England - The government’s response to the strategy review, 2018","type":"article-journal"},"uris":["http://www.mendeley.com/documents/?uuid=d5336150-9ed5-40d4-8e22-c3af8889bcdc"]}],"mendeley":{"formattedCitation":"(Defra, 2020)","plainTextFormattedCitation":"(Defra, 2020)","previouslyFormattedCitation":"(Defra, 2020)"},"properties":{"noteIndex":0},"schema":"https://github.com/citation-style-language/schema/raw/master/csl-citation.json"}</w:instrText>
      </w:r>
      <w:r w:rsidR="00F24CCD" w:rsidRPr="00581288">
        <w:fldChar w:fldCharType="separate"/>
      </w:r>
      <w:r w:rsidR="00F24CCD" w:rsidRPr="00581288">
        <w:rPr>
          <w:noProof/>
        </w:rPr>
        <w:t>(Defra, 2020)</w:t>
      </w:r>
      <w:r w:rsidR="00F24CCD" w:rsidRPr="00581288">
        <w:fldChar w:fldCharType="end"/>
      </w:r>
      <w:r w:rsidR="00F24CCD" w:rsidRPr="00581288">
        <w:t xml:space="preserve">. </w:t>
      </w:r>
      <w:r w:rsidR="00C24401" w:rsidRPr="00581288">
        <w:t>Resolved IRs that remain on farm could, nonetheless, still pose a risk to other cattle on the same and adjoining farms, or local wildlife, as they do not need to be isolated.</w:t>
      </w:r>
    </w:p>
    <w:p w14:paraId="62265A8D" w14:textId="79FFF666" w:rsidR="00C24401" w:rsidRPr="00581288" w:rsidRDefault="00C24401" w:rsidP="00C24401">
      <w:r w:rsidRPr="00581288">
        <w:t>To mitigate against this risk without slaughtering all IRs, we propose a proactive severe reinterpretation of IR-only surveillance tests conducted in certain herds. Applying the severe</w:t>
      </w:r>
      <w:r w:rsidR="00001144">
        <w:t xml:space="preserve"> </w:t>
      </w:r>
      <w:r w:rsidR="00001144">
        <w:lastRenderedPageBreak/>
        <w:t>level</w:t>
      </w:r>
      <w:r w:rsidRPr="00581288">
        <w:t xml:space="preserve"> interpretation of the SICCT test, as opposed to the default standard interpretation in surveillance tests, is a way to increase its sensitivity </w:t>
      </w:r>
      <w:r w:rsidR="00F24CCD" w:rsidRPr="00581288">
        <w:fldChar w:fldCharType="begin" w:fldLock="1"/>
      </w:r>
      <w:r w:rsidR="00F24CCD" w:rsidRPr="00581288">
        <w:instrText>ADDIN CSL_CITATION {"citationItems":[{"id":"ITEM-1","itemData":{"DOI":"10.1371/journal.pone.0043217","author":[{"dropping-particle":"","family":"Karolemeas","given":"K.;","non-dropping-particle":"","parse-names":false,"suffix":""},{"dropping-particle":"","family":"la Rua-Domenech","given":"R.;","non-dropping-particle":"de","parse-names":false,"suffix":""},{"dropping-particle":"","family":"Cooper","given":"R.;","non-dropping-particle":"","parse-names":false,"suffix":""},{"dropping-particle":"","family":"Goodchild","given":"A. V.;","non-dropping-particle":"","parse-names":false,"suffix":""},{"dropping-particle":"","family":"Clifton-Hadley","given":"R. S.;","non-dropping-particle":"","parse-names":false,"suffix":""},{"dropping-particle":"","family":"Conlan","given":"A. J. K.;","non-dropping-particle":"","parse-names":false,"suffix":""},{"dropping-particle":"","family":"Mitchell","given":"A. P.;","non-dropping-particle":"","parse-names":false,"suffix":""},{"dropping-particle":"","family":"Hewinson","given":"R. G.;","non-dropping-particle":"","parse-names":false,"suffix":""},{"dropping-particle":"","family":"Donnelly","given":"C. A.;","non-dropping-particle":"","parse-names":false,"suffix":""},{"dropping-particle":"","family":"Wood","given":"J. L. N.;","non-dropping-particle":"","parse-names":false,"suffix":""},{"dropping-particle":"","family":"McKinley","given":"T. J.","non-dropping-particle":"","parse-names":false,"suffix":""}],"container-title":"PLoS ONE","id":"ITEM-1","issue":"8","issued":{"date-parts":[["2012"]]},"page":"e43217","title":"Estimation of the Relative Sensitivity of the Comparative Tuberculin Skin Test in Tuberculous Cattle Herds Subjected to Depopulation","type":"article-journal","volume":"7"},"uris":["http://www.mendeley.com/documents/?uuid=fcd11641-5562-4b42-b290-ca8007abda2d"]}],"mendeley":{"formattedCitation":"(Karolemeas et al., 2012)","plainTextFormattedCitation":"(Karolemeas et al., 2012)","previouslyFormattedCitation":"(Karolemeas et al., 2012)"},"properties":{"noteIndex":0},"schema":"https://github.com/citation-style-language/schema/raw/master/csl-citation.json"}</w:instrText>
      </w:r>
      <w:r w:rsidR="00F24CCD" w:rsidRPr="00581288">
        <w:fldChar w:fldCharType="separate"/>
      </w:r>
      <w:r w:rsidR="00F24CCD" w:rsidRPr="00581288">
        <w:rPr>
          <w:noProof/>
        </w:rPr>
        <w:t>(Karolemeas et al., 2012)</w:t>
      </w:r>
      <w:r w:rsidR="00F24CCD" w:rsidRPr="00581288">
        <w:fldChar w:fldCharType="end"/>
      </w:r>
      <w:r w:rsidRPr="00581288">
        <w:t>; although it also increases the false positive rate from 1 in 5</w:t>
      </w:r>
      <w:r w:rsidR="00DB7C64">
        <w:t xml:space="preserve"> </w:t>
      </w:r>
      <w:r w:rsidRPr="00581288">
        <w:t>000 in to 1 in 1</w:t>
      </w:r>
      <w:r w:rsidR="00DB7C64">
        <w:t xml:space="preserve"> </w:t>
      </w:r>
      <w:r w:rsidRPr="00581288">
        <w:t xml:space="preserve">111 </w:t>
      </w:r>
      <w:r w:rsidR="00F24CCD" w:rsidRPr="00581288">
        <w:fldChar w:fldCharType="begin" w:fldLock="1"/>
      </w:r>
      <w:r w:rsidR="00D6638E" w:rsidRPr="00581288">
        <w:instrText>ADDIN CSL_CITATION {"citationItems":[{"id":"ITEM-1","itemData":{"author":[{"dropping-particle":"","family":"APHA","given":"","non-dropping-particle":"","parse-names":false,"suffix":""}],"id":"ITEM-1","issue":"September","issued":{"date-parts":[["2020"]]},"title":"Bovine tuberculosis in Great Britain in 2019: Explanatory supplement to the annual reports","type":"report"},"uris":["http://www.mendeley.com/documents/?uuid=c92c7d4d-b7cb-428c-b893-fc057eda0e3a"]}],"mendeley":{"formattedCitation":"(APHA, 2020a)","plainTextFormattedCitation":"(APHA, 2020a)","previouslyFormattedCitation":"(APHA, 2020a)"},"properties":{"noteIndex":0},"schema":"https://github.com/citation-style-language/schema/raw/master/csl-citation.json"}</w:instrText>
      </w:r>
      <w:r w:rsidR="00F24CCD" w:rsidRPr="00581288">
        <w:fldChar w:fldCharType="separate"/>
      </w:r>
      <w:r w:rsidR="00DC1312" w:rsidRPr="00581288">
        <w:rPr>
          <w:noProof/>
        </w:rPr>
        <w:t>(APHA, 2020a)</w:t>
      </w:r>
      <w:r w:rsidR="00F24CCD" w:rsidRPr="00581288">
        <w:fldChar w:fldCharType="end"/>
      </w:r>
      <w:r w:rsidRPr="00581288">
        <w:t xml:space="preserve">. The lower positive cut-off used under the severe interpretation of the SICCT in England results in some IRs being reclassified as reactors </w:t>
      </w:r>
      <w:r w:rsidR="00F24CCD" w:rsidRPr="00581288">
        <w:fldChar w:fldCharType="begin" w:fldLock="1"/>
      </w:r>
      <w:r w:rsidR="00F24CCD" w:rsidRPr="00581288">
        <w:instrText>ADDIN CSL_CITATION {"citationItems":[{"id":"ITEM-1","itemData":{"DOI":"10.1016/j.rvsc.2005.11.005","ISBN":"0034-5288 (Print)\\r0034-5288 (Linking)","ISSN":"00345288","PMID":"16513150","abstract":"The early, preclinical stages of bovine TB can be detected in live animals by the use of tests of cellular immunity (the skin, γ-interferon and lymphocyte transformation tests). Tests of humoral (antibody) immunity, Mycobacterium bovis PCR probes on early tissue cultures or live cattle specimens, and tests based on \"electronic nose\" technology have been developed more recently. The key measure of diagnostic test accuracy is the relationship between sensitivity and specificity, which determines the false-positive and false-negative proportions. None of the tests currently available for the diagnosis of bovine TB allow a perfectly accurate determination of the M. bovis infection status of cattle. Although various factors can reduce the sensitivity and specificity of the skin tests, these remain the primary ante mortem diagnostic tools for TB in cattle, providing a cost-effective and reliable means of screening entire cattle populations. Despite the inescapable limitations of existing diagnostic tests, bovine TB has been effectively eradicated from many developed countries and regions with the implementation of sound programmes of regular tuberculin skin testing and removal of reactors, coupled with slaughterhouse surveillance for undetected infections, repeat testing and culling of infected herds, cattle movement restrictions to prevent introduction of infected animals and occasional slaughter of entire herds with intractable breakdowns. This is likely to remain the mainstay of bovine TB control programmes for the foreseeable future. Additionally, newer ancillary in vitro diagnostic assays are now available to TB control programme managers to supplement the skin tests in defined circumstances according to the specific disease situation in each country or region. The strategic deployment of ancillary in vitro tests alongside the primary skin tests has enhanced the detection of M. bovis-infected cattle and reduced the number of animals slaughtered as false positives. Crown Copyright © 2006.","author":[{"dropping-particle":"","family":"la Rua-Domenech","given":"R.","non-dropping-particle":"de","parse-names":false,"suffix":""},{"dropping-particle":"","family":"Goodchild","given":"A. T.","non-dropping-particle":"","parse-names":false,"suffix":""},{"dropping-particle":"","family":"Vordermeier","given":"H. M.","non-dropping-particle":"","parse-names":false,"suffix":""},{"dropping-particle":"","family":"Hewinson","given":"R. G.","non-dropping-particle":"","parse-names":false,"suffix":""},{"dropping-particle":"","family":"Christiansen","given":"K. H.","non-dropping-particle":"","parse-names":false,"suffix":""},{"dropping-particle":"","family":"Clifton-Hadley","given":"R. S.","non-dropping-particle":"","parse-names":false,"suffix":""}],"container-title":"Research in Veterinary Science","id":"ITEM-1","issue":"2","issued":{"date-parts":[["2006"]]},"page":"190-210","title":"Ante mortem diagnosis of tuberculosis in cattle: A review of the tuberculin tests, γ-interferon assay and other ancillary diagnostic techniques","type":"article-journal","volume":"81"},"uris":["http://www.mendeley.com/documents/?uuid=8cbbfa80-4aae-4845-9fcd-a29fd603f59a"]}],"mendeley":{"formattedCitation":"(de la Rua-Domenech et al., 2006)","plainTextFormattedCitation":"(de la Rua-Domenech et al., 2006)","previouslyFormattedCitation":"(de la Rua-Domenech et al., 2006)"},"properties":{"noteIndex":0},"schema":"https://github.com/citation-style-language/schema/raw/master/csl-citation.json"}</w:instrText>
      </w:r>
      <w:r w:rsidR="00F24CCD" w:rsidRPr="00581288">
        <w:fldChar w:fldCharType="separate"/>
      </w:r>
      <w:r w:rsidR="00F24CCD" w:rsidRPr="00581288">
        <w:rPr>
          <w:noProof/>
        </w:rPr>
        <w:t>(de la Rua-Domenech et al., 2006)</w:t>
      </w:r>
      <w:r w:rsidR="00F24CCD" w:rsidRPr="00581288">
        <w:fldChar w:fldCharType="end"/>
      </w:r>
      <w:r w:rsidRPr="00581288">
        <w:t xml:space="preserve"> (Figure S1</w:t>
      </w:r>
      <w:r w:rsidR="000C0D2C" w:rsidRPr="00581288">
        <w:t>_</w:t>
      </w:r>
      <w:r w:rsidR="005957D5" w:rsidRPr="00581288">
        <w:t>b</w:t>
      </w:r>
      <w:r w:rsidRPr="00581288">
        <w:t xml:space="preserve"> supplementary materials S1). </w:t>
      </w:r>
    </w:p>
    <w:p w14:paraId="746CB813" w14:textId="2D8AF062" w:rsidR="00C24401" w:rsidRPr="00581288" w:rsidRDefault="00C24401" w:rsidP="00C24401">
      <w:r w:rsidRPr="00581288">
        <w:t xml:space="preserve">Severe </w:t>
      </w:r>
      <w:r w:rsidR="00001144">
        <w:t xml:space="preserve">level </w:t>
      </w:r>
      <w:r w:rsidRPr="00581288">
        <w:t xml:space="preserve">reinterpretation of surveillance test results </w:t>
      </w:r>
      <w:r w:rsidR="0088108C" w:rsidRPr="00581288">
        <w:t>is applied</w:t>
      </w:r>
      <w:r w:rsidRPr="00581288">
        <w:t xml:space="preserve"> on disclosure of an incident due to the presence of reactors in herds in the HRA and the EA, irrespective of post-mortem and laboratory culture results </w:t>
      </w:r>
      <w:r w:rsidR="00F24CCD" w:rsidRPr="00581288">
        <w:fldChar w:fldCharType="begin" w:fldLock="1"/>
      </w:r>
      <w:r w:rsidR="00F24CCD" w:rsidRPr="00581288">
        <w:instrText>ADDIN CSL_CITATION {"citationItems":[{"id":"ITEM-1","itemData":{"author":[{"dropping-particle":"","family":"Defra","given":"","non-dropping-particle":"","parse-names":false,"suffix":""}],"editor":[{"dropping-particle":"","family":"Defra","given":"","non-dropping-particle":"","parse-names":false,"suffix":""}],"id":"ITEM-1","issued":{"date-parts":[["2014"]]},"number-of-pages":"85","publisher":"Defra","title":"The strategy for achieving Officially Bovine Tuberculosis Free status for England","type":"report"},"uris":["http://www.mendeley.com/documents/?uuid=66bdc699-e8a0-477a-b18b-36932595695b"]}],"mendeley":{"formattedCitation":"(Defra, 2014)","plainTextFormattedCitation":"(Defra, 2014)","previouslyFormattedCitation":"(Defra, 2014)"},"properties":{"noteIndex":0},"schema":"https://github.com/citation-style-language/schema/raw/master/csl-citation.json"}</w:instrText>
      </w:r>
      <w:r w:rsidR="00F24CCD" w:rsidRPr="00581288">
        <w:fldChar w:fldCharType="separate"/>
      </w:r>
      <w:r w:rsidR="00F24CCD" w:rsidRPr="00581288">
        <w:rPr>
          <w:noProof/>
        </w:rPr>
        <w:t>(Defra, 2014)</w:t>
      </w:r>
      <w:r w:rsidR="00F24CCD" w:rsidRPr="00581288">
        <w:fldChar w:fldCharType="end"/>
      </w:r>
      <w:r w:rsidRPr="00581288">
        <w:t xml:space="preserve">. Severe interpretation is also applied to skin tests performed on individual cattle traced from herds with confirmed bTB incidents in England since April 2017 </w:t>
      </w:r>
      <w:r w:rsidR="00F24CCD" w:rsidRPr="00581288">
        <w:fldChar w:fldCharType="begin" w:fldLock="1"/>
      </w:r>
      <w:r w:rsidR="00F24CCD" w:rsidRPr="00581288">
        <w:instrText>ADDIN CSL_CITATION {"citationItems":[{"id":"ITEM-1","itemData":{"author":[{"dropping-particle":"","family":"Defra","given":"","non-dropping-particle":"","parse-names":false,"suffix":""}],"id":"ITEM-1","issue":"March","issued":{"date-parts":[["2020"]]},"title":"Next steps for the strategy for achieving bovine tuberculosis free status for England - The government’s response to the strategy review, 2018","type":"article-journal"},"uris":["http://www.mendeley.com/documents/?uuid=d5336150-9ed5-40d4-8e22-c3af8889bcdc"]}],"mendeley":{"formattedCitation":"(Defra, 2020)","plainTextFormattedCitation":"(Defra, 2020)","previouslyFormattedCitation":"(Defra, 2020)"},"properties":{"noteIndex":0},"schema":"https://github.com/citation-style-language/schema/raw/master/csl-citation.json"}</w:instrText>
      </w:r>
      <w:r w:rsidR="00F24CCD" w:rsidRPr="00581288">
        <w:fldChar w:fldCharType="separate"/>
      </w:r>
      <w:r w:rsidR="00F24CCD" w:rsidRPr="00581288">
        <w:rPr>
          <w:noProof/>
        </w:rPr>
        <w:t>(Defra, 2020)</w:t>
      </w:r>
      <w:r w:rsidR="00F24CCD" w:rsidRPr="00581288">
        <w:fldChar w:fldCharType="end"/>
      </w:r>
      <w:r w:rsidRPr="00581288">
        <w:t xml:space="preserve">. In addition, reinterpretation at severe level of tests is a measure that can be taken by government vets at their own discretion in high-risk scenarios. Still, a systematic method for identifying the tests targeted for reinterpretation is needed. Machine learning, which has been used to develop sensitive and specific models to assess the likelihood of a bTB incident </w:t>
      </w:r>
      <w:r w:rsidR="00F24CCD" w:rsidRPr="00581288">
        <w:fldChar w:fldCharType="begin" w:fldLock="1"/>
      </w:r>
      <w:r w:rsidR="009F4086">
        <w:instrText>ADDIN CSL_CITATION {"citationItems":[{"id":"ITEM-1","itemData":{"DOI":"10.1016/j.prevetmed.2019.104860","ISSN":"01675877","abstract":"Identifying and understanding the risk factors for endemic bovine tuberculosis (TB) in cattle herds is critical for the control of this disease. Exploratory machine learning techniques can uncover complex non-linear relationships and interactions within disease causation webs, and enhance our knowledge of TB risk factors and how they are interrelated. Classification tree analysis was used to reveal associations between predictors of TB in England and each of the three surveillance risk areas (High Risk, Edge, and Low Risk) in 2016, identifying the highest risk herds. The main classifying predictor for farms in England overall related to the TB prevalence in the 100 nearest cattle herds. In the High Risk and Edge areas it was the number of slaughterhouse destinations and in the Low Risk area it was the number of cattle tested in surveillance tests. How long ago the last confirmed incident was resolved was the most frequent classifier in trees; if within two years, leading to the highest risk group of herds in the High Risk and Low Risk areas. At least two different slaughterhouse destinations led to the highest risk group of herds in England, whereas in the Edge area it was a combination of no contiguous low-risk neighbours (i.e. in a 1 km radius) and a minimum proportion of 6–23 month-old cattle in November. A threshold value of prevalence in 100 nearest neighbours increased the risk in all areas, although the value was specific to each area. Having low-risk contiguous neighbours reduced the risk in the Edge and High Risk areas, whereas high-risk ones increased the risk in England overall and in the Edge area specifically. The best classification tree models informed multivariable binomial logistic regression models in each area, adding statistical inference outputs. These two approaches showed similar predictive performance although there were some disparities regarding what constituted high-risk predictors. Decision tree machine learning approaches can identify risk factors from webs of causation: information which may then be used to inform decision making for disease control purposes.","author":[{"dropping-particle":"","family":"Romero","given":"M. Pilar","non-dropping-particle":"","parse-names":false,"suffix":""},{"dropping-particle":"","family":"Chang","given":"Yu Mei","non-dropping-particle":"","parse-names":false,"suffix":""},{"dropping-particle":"","family":"Brunton","given":"Lucy A.","non-dropping-particle":"","parse-names":false,"suffix":""},{"dropping-particle":"","family":"Parry","given":"Jessica","non-dropping-particle":"","parse-names":false,"suffix":""},{"dropping-particle":"","family":"Prosser","given":"Alison","non-dropping-particle":"","parse-names":false,"suffix":""},{"dropping-particle":"","family":"Upton","given":"Paul","non-dropping-particle":"","parse-names":false,"suffix":""},{"dropping-particle":"","family":"Rees","given":"Eleanor","non-dropping-particle":"","parse-names":false,"suffix":""},{"dropping-particle":"","family":"Tearne","given":"Oliver","non-dropping-particle":"","parse-names":false,"suffix":""},{"dropping-particle":"","family":"Arnold","given":"Mark","non-dropping-particle":"","parse-names":false,"suffix":""},{"dropping-particle":"","family":"Stevens","given":"Kim","non-dropping-particle":"","parse-names":false,"suffix":""},{"dropping-particle":"","family":"Drewe","given":"Julian A.","non-dropping-particle":"","parse-names":false,"suffix":""}],"container-title":"Preventive Veterinary Medicine","id":"ITEM-1","issue":"November 2019","issued":{"date-parts":[["2020"]]},"publisher":"Elsevier","title":"Decision tree machine learning applied to bovine tuberculosis risk factors to aid disease control decision making","type":"article-journal","volume":"175"},"uris":["http://www.mendeley.com/documents/?uuid=0986cdfc-0ac4-463f-a63d-30afb4d13841"]},{"id":"ITEM-2","itemData":{"DOI":"10.1016/j.prevetmed.2021.105264","ISSN":"01675877","abstract":"Nearly a decade into Defra's current eradication strategy, bovine tuberculosis (bTB) remains a serious animal health problem in England, with c.30,000 cattle slaughtered annually in the fight against this insidious disease. There is an urgent need to improve our understanding of bTB risk in order to enhance the current disease control policy. Machine learning approaches applied to big datasets offer a potential way to do this. Regularized regression and random forest machine learning methodologies were implemented using 2016 herd-level data to generate the best possible predictive models for a bTB incident in England and its three surveillance risk areas (High-risk area [HRA], Edge area [EA] and Low-risk area [LRA]). Their predictive performance was compared and the best models in each area were used to characterize herds according to risk. While all models provided excellent discrimination, random forest models achieved the highest balanced accuracy (i.e. average of sensitivity and specificity) in England, HRA and LRA, whereas the regularized regression LASSO model did so in the EA. The time since the last confirmed incident was resolved was the only variable in the top-ten ranking in all areas according to both types of models, which highlights the importance of bTB history as a predictor of a new incident. Risk categorisation based on Receiver Operating Characteristic (ROC) analysis was carried out using the best predictive models in each area setting a 99 % threshold value for sensitivity and specificity (97 % in the LRA). Thirteen percent of herds in the whole of England as well as in its HRA, 14 % in its EA and 31 % in its LRA were classified as high-risk. These could be selected for the deployment of additional disease control measures at national or area level. In this way, low-risk herds within the area considered would not be penalised unnecessarily by blanket control measures and limited resources be used more efficiently. The methodology presented in this paper demonstrates a way to accurately identify high-risk farms to inform a targeted disease control and prevention strategy in England that supplements existing population strategies.","author":[{"dropping-particle":"","family":"Romero","given":"M. Pilar","non-dropping-particle":"","parse-names":false,"suffix":""},{"dropping-particle":"","family":"Chang","given":"Yu Mei","non-dropping-particle":"","parse-names":false,"suffix":""},{"dropping-particle":"","family":"Brunton","given":"Lucy A.","non-dropping-particle":"","parse-names":false,"suffix":""},{"dropping-particle":"","family":"Parry","given":"Jessica","non-dropping-particle":"","parse-names":false,"suffix":""},{"dropping-particle":"","family":"Prosser","given":"Alison","non-dropping-particle":"","parse-names":false,"suffix":""},{"dropping-particle":"","family":"Upton","given":"Paul","non-dropping-particle":"","parse-names":false,"suffix":""},{"dropping-particle":"","family":"Rees","given":"Eleanor","non-dropping-particle":"","parse-names":false,"suffix":""},{"dropping-particle":"","family":"Tearne","given":"Oliver","non-dropping-particle":"","parse-names":false,"suffix":""},{"dropping-particle":"","family":"Arnold","given":"Mark","non-dropping-particle":"","parse-names":false,"suffix":""},{"dropping-particle":"","family":"Stevens","given":"Kim","non-dropping-particle":"","parse-names":false,"suffix":""},{"dropping-particle":"","family":"Drewe","given":"Julian A.","non-dropping-particle":"","parse-names":false,"suffix":""}],"container-title":"Preventive Veterinary Medicine","id":"ITEM-2","issue":"July 2020","issued":{"date-parts":[["2021"]]},"page":"105264","publisher":"Elsevier B.V.","title":"A comparison of the value of two machine learning predictive models to support bovine tuberculosis disease control in England","type":"article-journal","volume":"188"},"uris":["http://www.mendeley.com/documents/?uuid=76f043c9-dfab-4f80-b311-f4322fd3ecb8"]}],"mendeley":{"formattedCitation":"(Romero et al., 2021, 2020)","plainTextFormattedCitation":"(Romero et al., 2021, 2020)","previouslyFormattedCitation":"(Romero et al., 2021, 2020)"},"properties":{"noteIndex":0},"schema":"https://github.com/citation-style-language/schema/raw/master/csl-citation.json"}</w:instrText>
      </w:r>
      <w:r w:rsidR="00F24CCD" w:rsidRPr="00581288">
        <w:fldChar w:fldCharType="separate"/>
      </w:r>
      <w:r w:rsidR="00F24CCD" w:rsidRPr="00581288">
        <w:rPr>
          <w:noProof/>
        </w:rPr>
        <w:t>(Romero et al., 2021, 2020)</w:t>
      </w:r>
      <w:r w:rsidR="00F24CCD" w:rsidRPr="00581288">
        <w:fldChar w:fldCharType="end"/>
      </w:r>
      <w:r w:rsidRPr="00581288">
        <w:t>, offers a mechanism to do this.</w:t>
      </w:r>
    </w:p>
    <w:p w14:paraId="09DE9D7A" w14:textId="37A618E7" w:rsidR="00C24401" w:rsidRPr="00581288" w:rsidRDefault="00C24401" w:rsidP="00C24401">
      <w:r w:rsidRPr="00581288">
        <w:t xml:space="preserve">Decision trees are non-parametric machine learning methods that partition the predictor space successively into regions, using splitting rules that are summarized in a tree </w:t>
      </w:r>
      <w:r w:rsidR="00F24CCD" w:rsidRPr="00581288">
        <w:fldChar w:fldCharType="begin" w:fldLock="1"/>
      </w:r>
      <w:r w:rsidR="00F24CCD" w:rsidRPr="00581288">
        <w:instrText>ADDIN CSL_CITATION {"citationItems":[{"id":"ITEM-1","itemData":{"DOI":"10.1016/j.peva.2007.06.006","ISBN":"9780387781884","ISSN":"01665316","PMID":"10911016","author":[{"dropping-particle":"","family":"James","given":"G.","non-dropping-particle":"","parse-names":false,"suffix":""},{"dropping-particle":"","family":"Witten","given":"D.","non-dropping-particle":"","parse-names":false,"suffix":""},{"dropping-particle":"","family":"Hastie","given":"T.","non-dropping-particle":"","parse-names":false,"suffix":""},{"dropping-particle":"","family":"Tibshirani","given":"R.","non-dropping-particle":"","parse-names":false,"suffix":""}],"editor":[{"dropping-particle":"","family":"Casella","given":"G.","non-dropping-particle":"","parse-names":false,"suffix":""},{"dropping-particle":"","family":"Fienberg","given":"S.","non-dropping-particle":"","parse-names":false,"suffix":""},{"dropping-particle":"","family":"Olkin","given":"I.","non-dropping-particle":"","parse-names":false,"suffix":""}],"id":"ITEM-1","issued":{"date-parts":[["2014"]]},"publisher":"Springer US","title":"An Introduction to Statistical Learning with Applications in R","type":"book"},"uris":["http://www.mendeley.com/documents/?uuid=00199a1c-8798-4d37-bcf1-d70bbaddcb74"]},{"id":"ITEM-2","itemData":{"author":[{"dropping-particle":"","family":"Therneau","given":"Terry M.","non-dropping-particle":"","parse-names":false,"suffix":""},{"dropping-particle":"","family":"Atkinson","given":"Elizabeth J.","non-dropping-particle":"","parse-names":false,"suffix":""}],"id":"ITEM-2","issued":{"date-parts":[["2018"]]},"number":"4.1-15","title":"An introduction to recursive partitioning using the rpart routines. R package version 4.1-15.","type":"article"},"uris":["http://www.mendeley.com/documents/?uuid=004ee1fb-8747-4a3f-999c-c67213447dac"]}],"mendeley":{"formattedCitation":"(James et al., 2014; Therneau and Atkinson, 2018)","plainTextFormattedCitation":"(James et al., 2014; Therneau and Atkinson, 2018)","previouslyFormattedCitation":"(James et al., 2014; Therneau and Atkinson, 2018)"},"properties":{"noteIndex":0},"schema":"https://github.com/citation-style-language/schema/raw/master/csl-citation.json"}</w:instrText>
      </w:r>
      <w:r w:rsidR="00F24CCD" w:rsidRPr="00581288">
        <w:fldChar w:fldCharType="separate"/>
      </w:r>
      <w:r w:rsidR="00F24CCD" w:rsidRPr="00581288">
        <w:rPr>
          <w:noProof/>
        </w:rPr>
        <w:t>(James et al., 2014; Therneau and Atkinson, 2018)</w:t>
      </w:r>
      <w:r w:rsidR="00F24CCD" w:rsidRPr="00581288">
        <w:fldChar w:fldCharType="end"/>
      </w:r>
      <w:r w:rsidRPr="00581288">
        <w:t xml:space="preserve">. The underlying algorithm </w:t>
      </w:r>
      <w:r w:rsidR="00F24CCD" w:rsidRPr="00581288">
        <w:fldChar w:fldCharType="begin" w:fldLock="1"/>
      </w:r>
      <w:r w:rsidR="00437AF8" w:rsidRPr="00581288">
        <w:instrText>ADDIN CSL_CITATION {"citationItems":[{"id":"ITEM-1","itemData":{"author":[{"dropping-particle":"","family":"Breiman","given":"L.","non-dropping-particle":"","parse-names":false,"suffix":""},{"dropping-particle":"","family":"Friedman","given":"J.H.","non-dropping-particle":"","parse-names":false,"suffix":""},{"dropping-particle":"","family":"Olsen","given":"R.A.","non-dropping-particle":"","parse-names":false,"suffix":""},{"dropping-particle":"","family":"Stone","given":"C.J.","non-dropping-particle":"","parse-names":false,"suffix":""}],"id":"ITEM-1","issued":{"date-parts":[["1984"]]},"publisher":"Wadsworth Inc","title":"Classification and Regression Trees","type":"book"},"uris":["http://www.mendeley.com/documents/?uuid=bfd274b2-2587-4666-a994-780916cd9dd2"]}],"mendeley":{"formattedCitation":"(Breiman et al., 1984)","plainTextFormattedCitation":"(Breiman et al., 1984)","previouslyFormattedCitation":"(Breiman et al., 1984)"},"properties":{"noteIndex":0},"schema":"https://github.com/citation-style-language/schema/raw/master/csl-citation.json"}</w:instrText>
      </w:r>
      <w:r w:rsidR="00F24CCD" w:rsidRPr="00581288">
        <w:fldChar w:fldCharType="separate"/>
      </w:r>
      <w:r w:rsidR="00F24CCD" w:rsidRPr="00581288">
        <w:rPr>
          <w:noProof/>
        </w:rPr>
        <w:t>(Breiman et al., 1984)</w:t>
      </w:r>
      <w:r w:rsidR="00F24CCD" w:rsidRPr="00581288">
        <w:fldChar w:fldCharType="end"/>
      </w:r>
      <w:r w:rsidRPr="00581288">
        <w:t xml:space="preserve"> does not make distributional assumptions, can deal with different levels of measurements in variables </w:t>
      </w:r>
      <w:r w:rsidR="00437AF8" w:rsidRPr="00581288">
        <w:fldChar w:fldCharType="begin" w:fldLock="1"/>
      </w:r>
      <w:r w:rsidR="00437AF8" w:rsidRPr="00581288">
        <w:instrText>ADDIN CSL_CITATION {"citationItems":[{"id":"ITEM-1","itemData":{"DOI":"http://dx.doi.org/10.1016/j.jcrc.2017.02.019","author":[{"dropping-particle":"","family":"Fei","given":"Yang","non-dropping-particle":"","parse-names":false,"suffix":""},{"dropping-particle":"","family":"Gao","given":"Kun","non-dropping-particle":"","parse-names":false,"suffix":""},{"dropping-particle":"","family":"Hu","given":"Jian","non-dropping-particle":"","parse-names":false,"suffix":""},{"dropping-particle":"","family":"Tu","given":"Jianfeng","non-dropping-particle":"","parse-names":false,"suffix":""},{"dropping-particle":"","family":"Li","given":"Wei-qin","non-dropping-particle":"","parse-names":false,"suffix":""},{"dropping-particle":"","family":"Wang","given":"Wei","non-dropping-particle":"","parse-names":false,"suffix":""},{"dropping-particle":"","family":"Zong","given":"Guang-quan","non-dropping-particle":"","parse-names":false,"suffix":""}],"container-title":"Journal of Critical Care","id":"ITEM-1","issued":{"date-parts":[["2017"]]},"note":"0883-9441","page":"124-130","title":"Predicting the incidence of portosplenomesenteric vein thrombosis in patients with acute pancreatitis using classification and regression tree algorithm","type":"article-journal","volume":"39"},"uris":["http://www.mendeley.com/documents/?uuid=7ee83d42-c53c-4936-9ae5-cdb66b4bbdda"]},{"id":"ITEM-2","itemData":{"author":[{"dropping-particle":"","family":"Lewis","given":"R J","non-dropping-particle":"","parse-names":false,"suffix":""}],"container-title":"Annual meeting of the Society for Academic Emergency Medicine","id":"ITEM-2","issued":{"date-parts":[["2000"]]},"note":"Good points for discussion and explanations for many points (surrogate variables, cross validation, etc).","publisher-place":"San Francisco","title":"An introduction to classification and regression tree (CART) analysis","type":"paper-conference"},"uris":["http://www.mendeley.com/documents/?uuid=2635dc08-0f68-4242-863f-d84f292c8aa5"]}],"mendeley":{"formattedCitation":"(Fei et al., 2017; Lewis, 2000)","plainTextFormattedCitation":"(Fei et al., 2017; Lewis, 2000)","previouslyFormattedCitation":"(Fei et al., 2017; Lewis, 2000)"},"properties":{"noteIndex":0},"schema":"https://github.com/citation-style-language/schema/raw/master/csl-citation.json"}</w:instrText>
      </w:r>
      <w:r w:rsidR="00437AF8" w:rsidRPr="00581288">
        <w:fldChar w:fldCharType="separate"/>
      </w:r>
      <w:r w:rsidR="00437AF8" w:rsidRPr="00581288">
        <w:rPr>
          <w:noProof/>
        </w:rPr>
        <w:t>(Fei et al., 2017; Lewis, 2000)</w:t>
      </w:r>
      <w:r w:rsidR="00437AF8" w:rsidRPr="00581288">
        <w:fldChar w:fldCharType="end"/>
      </w:r>
      <w:r w:rsidRPr="00581288">
        <w:t xml:space="preserve">, is robust against extreme biases in observations, and does not have restrictions on the number of predictors </w:t>
      </w:r>
      <w:r w:rsidR="00437AF8" w:rsidRPr="00581288">
        <w:fldChar w:fldCharType="begin" w:fldLock="1"/>
      </w:r>
      <w:r w:rsidR="00437AF8" w:rsidRPr="00581288">
        <w:instrText>ADDIN CSL_CITATION {"citationItems":[{"id":"ITEM-1","itemData":{"DOI":"doi: 10.1080/02791072.2008.10400651","author":[{"dropping-particle":"","family":"Frisman","given":"L;","non-dropping-particle":"","parse-names":false,"suffix":""},{"dropping-particle":"","family":"Prendergast","given":"M;","non-dropping-particle":"","parse-names":false,"suffix":""},{"dropping-particle":"","family":"Lin","given":"H-J;","non-dropping-particle":"","parse-names":false,"suffix":""},{"dropping-particle":"","family":"Rodis","given":"E;","non-dropping-particle":"","parse-names":false,"suffix":""},{"dropping-particle":"","family":"Greenwell","given":"L","non-dropping-particle":"","parse-names":false,"suffix":""}],"container-title":"J Psychoactive Drugs","id":"ITEM-1","issue":"4","issued":{"date-parts":[["2008"]]},"page":"447-458","publisher-place":"Connecticut Department of Mental Health &amp; Addiction Services, Research Division MS #14 RSD, Hartford, CT 06134, USA. Linda.frisman@uconn.edu FAU - Prendergast, Michael","title":"Applying classification and regression tree analysis to identify prisoners with high HIV risk behaviors","type":"article-journal","volume":"40"},"uris":["http://www.mendeley.com/documents/?uuid=6a104695-ada3-44b9-8442-14ae9433e5e2"]},{"id":"ITEM-2","itemData":{"DOI":"10.1037/a0016973","author":[{"dropping-particle":"","family":"Strobl","given":"Carolin","non-dropping-particle":"","parse-names":false,"suffix":""}],"container-title":"Psychol Methods","id":"ITEM-2","issue":"4","issued":{"date-parts":[["2010"]]},"page":"323-348","title":"An introduction to recursive partitioning: rationale, application and characteristics of classification","type":"article-journal","volume":"14"},"uris":["http://www.mendeley.com/documents/?uuid=ec0763b9-733d-42b6-a860-a520f4366c91"]}],"mendeley":{"formattedCitation":"(Frisman et al., 2008; Strobl, 2010)","plainTextFormattedCitation":"(Frisman et al., 2008; Strobl, 2010)","previouslyFormattedCitation":"(Frisman et al., 2008; Strobl, 2010)"},"properties":{"noteIndex":0},"schema":"https://github.com/citation-style-language/schema/raw/master/csl-citation.json"}</w:instrText>
      </w:r>
      <w:r w:rsidR="00437AF8" w:rsidRPr="00581288">
        <w:fldChar w:fldCharType="separate"/>
      </w:r>
      <w:r w:rsidR="00437AF8" w:rsidRPr="00581288">
        <w:rPr>
          <w:noProof/>
        </w:rPr>
        <w:t>(Frisman et al., 2008; Strobl, 2010)</w:t>
      </w:r>
      <w:r w:rsidR="00437AF8" w:rsidRPr="00581288">
        <w:fldChar w:fldCharType="end"/>
      </w:r>
      <w:r w:rsidR="00437AF8" w:rsidRPr="00581288">
        <w:t>.</w:t>
      </w:r>
      <w:r w:rsidRPr="00581288">
        <w:t xml:space="preserve"> </w:t>
      </w:r>
      <w:r w:rsidR="0049591A" w:rsidRPr="00581288">
        <w:lastRenderedPageBreak/>
        <w:t>Decision trees</w:t>
      </w:r>
      <w:r w:rsidRPr="00581288">
        <w:t xml:space="preserve"> have been applied to veterinary </w:t>
      </w:r>
      <w:r w:rsidR="00437AF8" w:rsidRPr="00581288">
        <w:fldChar w:fldCharType="begin" w:fldLock="1"/>
      </w:r>
      <w:r w:rsidR="00437AF8" w:rsidRPr="00581288">
        <w:instrText>ADDIN CSL_CITATION {"citationItems":[{"id":"ITEM-1","itemData":{"DOI":"10.1016/j.rvsc.2018.10.016","ISSN":"15322661","abstract":"Bovine tuberculosis (bTB) is an important animal and zoonotic disease, which causes severe economic losses. The main focus of this study was to assess the predictive power of previously identified biomarkers of bTB in infected animals that were negative to the tuberculin skin test (TST). We studied 16 animals with bTB, in which the disease was confirmed by necropsy, and 16 healthy animals. The level of expression of ten biomarkers (CXCL9, THBS1, MMP9, IL-22, CXCL10, IFNγ, IL-17, FYVE, CD14, IL-1R) was evaluated by RT-qPCR upon stimulation or not of peripheral blood mononuclear cells with PPDb (purified protein derivative of bovine tuberculin). In this assay, CXCL9, THBS1, MMP9, IL-22 and IFNγ changed their expression level depending on the bTB status. In addition, we evaluated different biomarker candidates simultaneously to infer the animal condition. By performing an analysis with classification trees, we found that the sturdiest combination was IL-22, IFNγ and IL-1R. On the other hand, CXCL10, IFNγ and IL-22's expression distinguished between bTB positive animals that were negative to TST (TST false negative animals) and the bTB negative groups. Thus, these biomarkers are promising candidates to be tested as an ancillary diagnostic assay. In addition, the expression of CXCL10 and IL-22 exhibited also significant differences between the bTB positive animals that were undetectable by IFNγ release assay (IGRA) and TST tests (TST and IGRA false negative animals) and the bTB negative groups. Therefore, CXCL10 and IL-22 constitute candidate biomarkers that could complement the two most widely used diagnostic tests.","author":[{"dropping-particle":"","family":"Klepp","given":"L. I.","non-dropping-particle":"","parse-names":false,"suffix":""},{"dropping-particle":"","family":"Eirin","given":"M. E.","non-dropping-particle":"","parse-names":false,"suffix":""},{"dropping-particle":"","family":"Garbaccio","given":"S.","non-dropping-particle":"","parse-names":false,"suffix":""},{"dropping-particle":"","family":"Soria","given":"M.","non-dropping-particle":"","parse-names":false,"suffix":""},{"dropping-particle":"","family":"Bigi","given":"F.","non-dropping-particle":"","parse-names":false,"suffix":""},{"dropping-particle":"","family":"Blanco","given":"F. C.","non-dropping-particle":"","parse-names":false,"suffix":""}],"container-title":"Research in Veterinary Science","id":"ITEM-1","issue":"October 2018","issued":{"date-parts":[["2019"]]},"page":"7-14","publisher":"Elsevier","title":"Identification of bovine tuberculosis biomarkers to detect tuberculin skin test and IFNγ release assay false negative cattle","type":"article-journal","volume":"122"},"uris":["http://www.mendeley.com/documents/?uuid=859e31a9-b3e9-4c4a-811c-d3d5ee059a07"]},{"id":"ITEM-2","itemData":{"DOI":"10.1186/1746-6148-4-24","ISSN":"17466148","PMID":"18601728","abstract":"Background: Biosecurity is at the forefront of the fight against infectious diseases in animal populations. Few research studies have attempted to identify and quantify the effectiveness of biosecurity against disease introduction or presence in cattle farms and, when done, they have relied on the collection of on-farm data. Data on environmental, animal movement, demographic/husbandry systems and density disease determinants can be collated without requiring additional specific on-farm data collection activities, since they have already been collected for some other purposes. The aim of this study was to classify cattle herds according to their risk of disease presence as a proxy for compromised biosecurity in the cattle population of Wales in 2004 for riskbased surveillance purposes. Results: Three data mining methods have been applied: logistic regression, classification trees and factor analysis. Using the cattle holding population in Wales, a holding was considered positive if at least bovine TB or one of the ten most frequently diagnosed infectious or transmissible nonnotifiable diseases in England and Wales, according to the Veterinary Investigation Surveillance Report (VIDA) had been diagnosed in 2004. High-risk holdings can be described as open large cattle herds located in high-density cattle areas with frequent movements off to many locations within Wales. Additional risks are associated with the holding being a dairy enterprise and with a large farming area. Conclusion: This work has demonstrated the potential of mining various livestock-relevant databases to obtain generic criteria for individual cattle herd biosecurity risk classification. Despite the data and analytical constraints the described risk profiles are highly specific and present variable sensitivity depending on the model specifications. Risk profiling of farms provides a tool for designing targeted surveillance activities for endemic or emerging diseases, regardless of the prior amount of information available on biosecurity at farm level. As the delivery of practical evidencebased information and advice is one of the priorities of Defra's new Animal Health and Welfare Strategy (AHWS), data-driven models, derived from existing databases, need to be developed that can then be used to inform activities during outbreaks of endemic diseases and to help design surveillance activities. © 2008 Ortiz-Pelaez and Pfeiffer; licensee BioMed Central Ltd.","author":[{"dropping-particle":"","family":"Ortiz-Pelaez","given":"Ángel","non-dropping-particle":"","parse-names":false,"suffix":""},{"dropping-particle":"","family":"Pfeiffer","given":"Dirk U.","non-dropping-particle":"","parse-names":false,"suffix":""}],"container-title":"BMC Veterinary Research","id":"ITEM-2","issued":{"date-parts":[["2008"]]},"page":"1-16","title":"Use of data mining techniques to investigate disease risk classification as a proxy for compromised Biosecurity of cattle herds in Wales","type":"article-journal","volume":"4"},"uris":["http://www.mendeley.com/documents/?uuid=a72cf89d-6146-46b2-b107-117222249e10"]},{"id":"ITEM-3","itemData":{"DOI":"10.1016/j.prevetmed.2019.104860","ISSN":"01675877","abstract":"Identifying and understanding the risk factors for endemic bovine tuberculosis (TB) in cattle herds is critical for the control of this disease. Exploratory machine learning techniques can uncover complex non-linear relationships and interactions within disease causation webs, and enhance our knowledge of TB risk factors and how they are interrelated. Classification tree analysis was used to reveal associations between predictors of TB in England and each of the three surveillance risk areas (High Risk, Edge, and Low Risk) in 2016, identifying the highest risk herds. The main classifying predictor for farms in England overall related to the TB prevalence in the 100 nearest cattle herds. In the High Risk and Edge areas it was the number of slaughterhouse destinations and in the Low Risk area it was the number of cattle tested in surveillance tests. How long ago the last confirmed incident was resolved was the most frequent classifier in trees; if within two years, leading to the highest risk group of herds in the High Risk and Low Risk areas. At least two different slaughterhouse destinations led to the highest risk group of herds in England, whereas in the Edge area it was a combination of no contiguous low-risk neighbours (i.e. in a 1 km radius) and a minimum proportion of 6–23 month-old cattle in November. A threshold value of prevalence in 100 nearest neighbours increased the risk in all areas, although the value was specific to each area. Having low-risk contiguous neighbours reduced the risk in the Edge and High Risk areas, whereas high-risk ones increased the risk in England overall and in the Edge area specifically. The best classification tree models informed multivariable binomial logistic regression models in each area, adding statistical inference outputs. These two approaches showed similar predictive performance although there were some disparities regarding what constituted high-risk predictors. Decision tree machine learning approaches can identify risk factors from webs of causation: information which may then be used to inform decision making for disease control purposes.","author":[{"dropping-particle":"","family":"Romero","given":"M. Pilar","non-dropping-particle":"","parse-names":false,"suffix":""},{"dropping-particle":"","family":"Chang","given":"Yu Mei","non-dropping-particle":"","parse-names":false,"suffix":""},{"dropping-particle":"","family":"Brunton","given":"Lucy A.","non-dropping-particle":"","parse-names":false,"suffix":""},{"dropping-particle":"","family":"Parry","given":"Jessica","non-dropping-particle":"","parse-names":false,"suffix":""},{"dropping-particle":"","family":"Prosser","given":"Alison","non-dropping-particle":"","parse-names":false,"suffix":""},{"dropping-particle":"","family":"Upton","given":"Paul","non-dropping-particle":"","parse-names":false,"suffix":""},{"dropping-particle":"","family":"Rees","given":"Eleanor","non-dropping-particle":"","parse-names":false,"suffix":""},{"dropping-particle":"","family":"Tearne","given":"Oliver","non-dropping-particle":"","parse-names":false,"suffix":""},{"dropping-particle":"","family":"Arnold","given":"Mark","non-dropping-particle":"","parse-names":false,"suffix":""},{"dropping-particle":"","family":"Stevens","given":"Kim","non-dropping-particle":"","parse-names":false,"suffix":""},{"dropping-particle":"","family":"Drewe","given":"Julian A.","non-dropping-particle":"","parse-names":false,"suffix":""}],"container-title":"Preventive Veterinary Medicine","id":"ITEM-3","issue":"November 2019","issued":{"date-parts":[["2020"]]},"publisher":"Elsevier","title":"Decision tree machine learning applied to bovine tuberculosis risk factors to aid disease control decision making","type":"article-journal","volume":"175"},"uris":["http://www.mendeley.com/documents/?uuid=0986cdfc-0ac4-463f-a63d-30afb4d13841"]},{"id":"ITEM-4","itemData":{"author":[{"dropping-particle":"","family":"Staerk","given":"K D C","non-dropping-particle":"","parse-names":false,"suffix":""},{"dropping-particle":"","family":"Pfeiffer","given":"D U","non-dropping-particle":"","parse-names":false,"suffix":""}],"container-title":"Intelligent Data Analysis","id":"ITEM-4","issued":{"date-parts":[["1999"]]},"page":"23-35","title":"The application of non-parametric techniques to solve classification problems in complex data sets in veterinary epidemiology - An example","type":"article-journal","volume":"3"},"uris":["http://www.mendeley.com/documents/?uuid=792bf39b-6404-4ce5-948f-eb85dc664caf"]}],"mendeley":{"formattedCitation":"(Klepp et al., 2019; Ortiz-Pelaez and Pfeiffer, 2008; Romero et al., 2020; Staerk and Pfeiffer, 1999)","plainTextFormattedCitation":"(Klepp et al., 2019; Ortiz-Pelaez and Pfeiffer, 2008; Romero et al., 2020; Staerk and Pfeiffer, 1999)","previouslyFormattedCitation":"(Klepp et al., 2019; Ortiz-Pelaez and Pfeiffer, 2008; Romero et al., 2020; Staerk and Pfeiffer, 1999)"},"properties":{"noteIndex":0},"schema":"https://github.com/citation-style-language/schema/raw/master/csl-citation.json"}</w:instrText>
      </w:r>
      <w:r w:rsidR="00437AF8" w:rsidRPr="00581288">
        <w:fldChar w:fldCharType="separate"/>
      </w:r>
      <w:r w:rsidR="00437AF8" w:rsidRPr="00581288">
        <w:rPr>
          <w:noProof/>
        </w:rPr>
        <w:t>(Klepp et al., 2019; Ortiz-Pelaez and Pfeiffer, 2008; Romero et al., 2020; Staerk and Pfeiffer, 1999)</w:t>
      </w:r>
      <w:r w:rsidR="00437AF8" w:rsidRPr="00581288">
        <w:fldChar w:fldCharType="end"/>
      </w:r>
      <w:r w:rsidRPr="00581288">
        <w:t xml:space="preserve">, medical </w:t>
      </w:r>
      <w:r w:rsidR="00437AF8" w:rsidRPr="00581288">
        <w:fldChar w:fldCharType="begin" w:fldLock="1"/>
      </w:r>
      <w:r w:rsidR="00437AF8" w:rsidRPr="00581288">
        <w:instrText>ADDIN CSL_CITATION {"citationItems":[{"id":"ITEM-1","itemData":{"DOI":"10.1093/fampra/cms020","ISSN":"02632136","abstract":"BACKGROUND: Individual signs and symptoms are of limited value for the diagnosis of influenza. OBJECTIVE: To develop a decision tree for the diagnosis of influenza based on a classification and regression tree (CART) analysis. METHODS: Data from two previous similar cohort studies were assembled into a single dataset. The data were randomly divided into a development set (70%) and a validation set (30%). We used CART analysis to develop three models that maximize the number of patients who do not require diagnostic testing prior to treatment decisions. The validation set was used to evaluate overfitting of the model to the training set. RESULTS: Model 1 has seven terminal nodes based on temperature, the onset of symptoms and the presence of chills, cough and myalgia. Model 2 was a simpler tree with only two splits based on temperature and the presence of chills. Model 3 was developed with temperature as a dichotomous variable (&gt;/=38 degrees C) and had only two splits based on the presence of fever and myalgia. The area under the receiver operating characteristic curves (AUROCC) for the development and validation sets, respectively, were 0.82 and 0.80 for Model 1, 0.75 and 0.76 for Model 2 and 0.76 and 0.77 for Model 3. Model 2 classified 67% of patients in the validation group into a high- or low-risk group compared with only 38% for Model 1 and 54% for Model 3. CONCLUSIONS: A simple decision tree (Model 2) classified two-thirds of patients as low or high risk and had an AUROCC of 0.76. After further validation in an independent population, this CART model could support clinical decision making regarding influenza, with low-risk patients requiring no further evaluation for influenza and high-risk patients being candidates for empiric symptomatic or drug therapy.","author":[{"dropping-particle":"","family":"Afonso","given":"Anna M.","non-dropping-particle":"","parse-names":false,"suffix":""},{"dropping-particle":"","family":"Ebell","given":"Mark H.","non-dropping-particle":"","parse-names":false,"suffix":""},{"dropping-particle":"","family":"Gonzales","given":"Ralph","non-dropping-particle":"","parse-names":false,"suffix":""},{"dropping-particle":"","family":"Stein","given":"John","non-dropping-particle":"","parse-names":false,"suffix":""},{"dropping-particle":"","family":"Genton","given":"Blaise","non-dropping-particle":"","parse-names":false,"suffix":""},{"dropping-particle":"","family":"Senn","given":"Nicolas","non-dropping-particle":"","parse-names":false,"suffix":""}],"container-title":"Family Practice","id":"ITEM-1","issue":"6","issued":{"date-parts":[["2012"]]},"page":"671-677","title":"The use of classification and regression trees to predict the likelihood of seasonal influenza","type":"article-journal","volume":"29"},"uris":["http://www.mendeley.com/documents/?uuid=a5eb85d2-adc1-4e31-8fc1-29311340104a"]},{"id":"ITEM-2","itemData":{"author":[{"dropping-particle":"","family":"Cheng","given":"Zhi","non-dropping-particle":"","parse-names":false,"suffix":""},{"dropping-particle":"","family":"Nakatsugawa","given":"Minoru","non-dropping-particle":"","parse-names":false,"suffix":""},{"dropping-particle":"","family":"Hu","given":"Chen","non-dropping-particle":"","parse-names":false,"suffix":""},{"dropping-particle":"","family":"Robertson","given":"Scott P","non-dropping-particle":"","parse-names":false,"suffix":""},{"dropping-particle":"","family":"Hui","given":"Xuan","non-dropping-particle":"","parse-names":false,"suffix":""},{"dropping-particle":"","family":"Moore","given":"Joseph A","non-dropping-particle":"","parse-names":false,"suffix":""},{"dropping-particle":"","family":"Bowers","given":"Michael R","non-dropping-particle":"","parse-names":false,"suffix":""},{"dropping-particle":"","family":"Kiess","given":"Ana P","non-dropping-particle":"","parse-names":false,"suffix":""},{"dropping-particle":"","family":"Page","given":"Brandi R","non-dropping-particle":"","parse-names":false,"suffix":""},{"dropping-particle":"","family":"Burns","given":"Laura","non-dropping-particle":"","parse-names":false,"suffix":""},{"dropping-particle":"","family":"Muse","given":"Mariah","non-dropping-particle":"","parse-names":false,"suffix":""},{"dropping-particle":"","family":"Choflet","given":"Amanda","non-dropping-particle":"","parse-names":false,"suffix":""},{"dropping-particle":"","family":"Sakaue","given":"Kousuke","non-dropping-particle":"","parse-names":false,"suffix":""},{"dropping-particle":"","family":"Sugiyama","given":"Shinya","non-dropping-particle":"","parse-names":false,"suffix":""},{"dropping-particle":"","family":"Utsunomiya","given":"Kazuki","non-dropping-particle":"","parse-names":false,"suffix":""},{"dropping-particle":"","family":"Wong","given":"John W","non-dropping-particle":"","parse-names":false,"suffix":""},{"dropping-particle":"","family":"McNutt","given":"Todd R","non-dropping-particle":"","parse-names":false,"suffix":""},{"dropping-particle":"","family":"Quon","given":"Harry","non-dropping-particle":"","parse-names":false,"suffix":""}],"id":"ITEM-2","issue":"3","issued":{"date-parts":[["2018"]]},"note":"2452-1094","page":"346-355","title":"Evaluation of classification and regression tree (CART) model in weight loss prediction following head and neck cancer radiation therapy","type":"article-journal","volume":"3"},"uris":["http://www.mendeley.com/documents/?uuid=e2c6f302-4f24-4e35-b3ae-7d8a9d69d4bf"]},{"id":"ITEM-3","itemData":{"DOI":"doi: 10.1080/02791072.2008.10400651","author":[{"dropping-particle":"","family":"Frisman","given":"L;","non-dropping-particle":"","parse-names":false,"suffix":""},{"dropping-particle":"","family":"Prendergast","given":"M;","non-dropping-particle":"","parse-names":false,"suffix":""},{"dropping-particle":"","family":"Lin","given":"H-J;","non-dropping-particle":"","parse-names":false,"suffix":""},{"dropping-particle":"","family":"Rodis","given":"E;","non-dropping-particle":"","parse-names":false,"suffix":""},{"dropping-particle":"","family":"Greenwell","given":"L","non-dropping-particle":"","parse-names":false,"suffix":""}],"container-title":"J Psychoactive Drugs","id":"ITEM-3","issue":"4","issued":{"date-parts":[["2008"]]},"page":"447-458","publisher-place":"Connecticut Department of Mental Health &amp; Addiction Services, Research Division MS #14 RSD, Hartford, CT 06134, USA. Linda.frisman@uconn.edu FAU - Prendergast, Michael","title":"Applying classification and regression tree analysis to identify prisoners with high HIV risk behaviors","type":"article-journal","volume":"40"},"uris":["http://www.mendeley.com/documents/?uuid=6a104695-ada3-44b9-8442-14ae9433e5e2"]},{"id":"ITEM-4","itemData":{"DOI":"https://doi.org/10.1007/s10067-018-4372-z","author":[{"dropping-particle":"","family":"Imafuku","given":"Aya","non-dropping-particle":"","parse-names":false,"suffix":""},{"dropping-particle":"","family":"Sawa","given":"Naoki","non-dropping-particle":"","parse-names":false,"suffix":""},{"dropping-particle":"","family":"Kawada","given":"Masahiro","non-dropping-particle":"","parse-names":false,"suffix":""},{"dropping-particle":"","family":"Hiramatsu","given":"Rikako","non-dropping-particle":"","parse-names":false,"suffix":""},{"dropping-particle":"","family":"Hasegawa","given":"Eiko","non-dropping-particle":"","parse-names":false,"suffix":""},{"dropping-particle":"","family":"Yamanouchi","given":"Masayuki","non-dropping-particle":"","parse-names":false,"suffix":""},{"dropping-particle":"","family":"Hoshino","given":"Junichi","non-dropping-particle":"","parse-names":false,"suffix":""},{"dropping-particle":"","family":"Ubara","given":"Yoshihumi","non-dropping-particle":"","parse-names":false,"suffix":""},{"dropping-particle":"","family":"Takaichi","given":"Kenmei","non-dropping-particle":"","parse-names":false,"suffix":""}],"container-title":"Clinical Rheumatology","id":"ITEM-4","issued":{"date-parts":[["2018"]]},"note":"1434-9949","title":"Incidence and risk factors of new-onset hypertrophic pachymeningitis in patients with anti-neutrophil antibody-associated vasculitis: using logistic regression and classification tree analysis","type":"article-journal"},"uris":["http://www.mendeley.com/documents/?uuid=ed493f25-7715-48b5-b944-cbf3b985ed34"]},{"id":"ITEM-5","itemData":{"DOI":"http://dx.doi.org/10.1016/j.fob.2012.04.007","author":[{"dropping-particle":"","family":"Kawamura","given":"Yoshihiro","non-dropping-particle":"","parse-names":false,"suffix":""},{"dropping-particle":"","family":"Takasaki","given":"Shigeru","non-dropping-particle":"","parse-names":false,"suffix":""},{"dropping-particle":"","family":"Mizokami","given":"Masashi","non-dropping-particle":"","parse-names":false,"suffix":""}],"container-title":"FEBS Open Bio","id":"ITEM-5","issued":{"date-parts":[["2012"]]},"note":"2211-5463","page":"98-102","title":"Using decision tree learning to predict the responsiveness of hepatitis C patients to drug treatment","type":"article-journal","volume":"2"},"uris":["http://www.mendeley.com/documents/?uuid=820dce86-c6e6-405c-8fcd-ba3bfc292076"]},{"id":"ITEM-6","itemData":{"DOI":"doi:10.1016/j.artmed.2006.03.008","author":[{"dropping-particle":"","family":"Kitsantas","given":"P","non-dropping-particle":"","parse-names":false,"suffix":""},{"dropping-particle":"","family":"Hollander M Fau - Li","given":"Lei","non-dropping-particle":"","parse-names":false,"suffix":""},{"dropping-particle":"","family":"Li","given":"L","non-dropping-particle":"","parse-names":false,"suffix":""}],"id":"ITEM-6","issue":"0933-3657 (Print)","issued":{"date-parts":[["2006"]]},"publisher-place":"George Mason University, Department of Health Administration and Policy, The College of Health and Human Services, 4400 University Drive, Fairfax, VA 22030, USA. kitsantap@ecu.edu FAU - Hollander, Myles","title":"Using classification trees to assess low birth weight outcomes","type":"article-journal"},"uris":["http://www.mendeley.com/documents/?uuid=53fe83dc-f96c-423c-873f-96cf82f0a38b"]},{"id":"ITEM-7","itemData":{"author":[{"dropping-particle":"","family":"Ramezankhani","given":"Azra","non-dropping-particle":"","parse-names":false,"suffix":""},{"dropping-particle":"","family":"Pournik","given":"Omid","non-dropping-particle":"","parse-names":false,"suffix":""},{"dropping-particle":"","family":"Shahrabi","given":"Jamal","non-dropping-particle":"","parse-names":false,"suffix":""},{"dropping-particle":"","family":"Khalili","given":"Davood","non-dropping-particle":"","parse-names":false,"suffix":""},{"dropping-particle":"","family":"Azizi","given":"Fereidoun","non-dropping-particle":"","parse-names":false,"suffix":""},{"dropping-particle":"","family":"Hadaegh","given":"Farzad","non-dropping-particle":"","parse-names":false,"suffix":""}],"id":"ITEM-7","issue":"3","issued":{"date-parts":[["2014"]]},"note":"0168-8227","page":"391-398","title":"Applying decision tree for identification of a low risk population for type 2 diabetes. Tehran Lipid and Glucose Study","type":"article-journal","volume":"105"},"uris":["http://www.mendeley.com/documents/?uuid=7da4bd53-9812-44a4-a744-53add43ee700"]},{"id":"ITEM-8","itemData":{"DOI":"doi:10.101</w:instrText>
      </w:r>
      <w:r w:rsidR="00437AF8" w:rsidRPr="00581288">
        <w:rPr>
          <w:lang w:val="es-ES"/>
        </w:rPr>
        <w:instrText>6/j.artmed.2008.11.002","author":[{"dropping-particle":"","family":"Scheetz","given":"Linda J","non-dropping-particle":"","parse-names":false,"suffix":""},{"dropping-particle":"","family":"Zhang","given":"Juan","non-dropping-particle":"","parse-names":false,"suffix":""},{"dropping-particle":"","family":"Kolassa","given":"John","non-dropping-particle":"","parse-names":false,"suffix":""}],"id":"ITEM-8","issue":"1","issued":{"date-parts":[["2009"]]},"note":"0933-3657","page":"1-10","title":"Classification tree modeling to identify severe and moderate vehicular injuries in young and middle-aged adults","type":"article-journal","volume":"45"},"uris":["http://www.mendeley.com/documents/?uuid=f75da01a-44fb-4956-92b2-c9a0cb35ac6d"]}],"mendeley":{"formattedCitation":"(Afonso et al., 2012; Cheng et al., 2018; Frisman et al., 2008; Imafuku et al., 2018; Kawamura et al., 2012; Kitsantas et al., 2006; Ramezankhani et al., 2014; Scheetz et al., 2009)","plainTextFormattedCitation":"(Afonso et al., 2012; Cheng et al., 2018; Frisman et al., 2008; Imafuku et al., 2018; Kawamura et al., 2012; Kitsantas et al., 2006; Ramezankhani et al., 2014; Scheetz et al., 2009)","previouslyFormattedCitation":"(Afonso et al., 2012; Cheng et al., 2018; Frisman et al., 2008; Imafuku et al., 2018; Kawamura et al., 2012; Kitsantas et al., 2006; Ramezankhani et al., 2014; Scheetz et al., 2009)"},"properties":{"noteIndex":0},"schema":"https://github.com/citation-style-language/schema/raw/master/csl-citation.json"}</w:instrText>
      </w:r>
      <w:r w:rsidR="00437AF8" w:rsidRPr="00581288">
        <w:fldChar w:fldCharType="separate"/>
      </w:r>
      <w:r w:rsidR="00437AF8" w:rsidRPr="00581288">
        <w:rPr>
          <w:noProof/>
          <w:lang w:val="es-ES"/>
        </w:rPr>
        <w:t>(Afonso et al., 2012; Cheng et al., 2018; Frisman et al., 2008; Imafuku et al., 2018; Kawamura et al., 2012; Kitsantas et al., 2006; Ramezankhani et al., 2014; Scheetz et al., 2009)</w:t>
      </w:r>
      <w:r w:rsidR="00437AF8" w:rsidRPr="00581288">
        <w:fldChar w:fldCharType="end"/>
      </w:r>
      <w:r w:rsidRPr="00581288">
        <w:rPr>
          <w:lang w:val="es-ES"/>
        </w:rPr>
        <w:t xml:space="preserve">, environmental </w:t>
      </w:r>
      <w:r w:rsidR="00437AF8" w:rsidRPr="00581288">
        <w:fldChar w:fldCharType="begin" w:fldLock="1"/>
      </w:r>
      <w:r w:rsidR="00437AF8" w:rsidRPr="00581288">
        <w:rPr>
          <w:lang w:val="es-ES"/>
        </w:rPr>
        <w:instrText>ADDIN CSL_CITATION {"citationItems":[{"id":"ITEM-1","itemData":{"DOI":"https://doi.org/10.3155/1047-3289.58.10.1297","author":[{"dropping-particle":"","family":"Julien","given":"Rhona","non-dropping-particle":"","parse-names":false,"suffix":""},{"dropping-particle":"","family":"Levy","given":"Jonathan I","non-dropping-particle":"","parse-names":false,"suffix":""},{"dropping-particle":"","family":"Adamkiewicz","given":"Gary","non-dropping-particle":"","parse-names":false,"suffix":""},{"dropping-particle":"","family":"Hauser","given":"Russ","non-dropping-particle":"","parse-names":false,"suffix":""},{"dropping-particle":"","family":"Spengler","given":"John D","non-dropping-particle":"","parse-names":false,"suffix":""},{"dropping-particle":"","family":"Canales","given":"Robert A","non-dropping-particle":"","parse-names":false,"suffix":""},{"dropping-particle":"","family":"Hynes","given":"H Patricia","non-dropping-particle":"","parse-names":false,"suffix":""}],"container-title":"Journal of the Air &amp; Waste Management Association","id":"ITEM-1","issue":"10","issued":{"date-parts":[["2008"]]},"note":"doi: 10.3155/1047-3289.58.10.1297\n1096-2247","page":"1297-1302","title":"Pesticides in Urban Multiunit Dwellings: Hazard Identification Using Classification and Regression Tree (CART) Analy</w:instrText>
      </w:r>
      <w:r w:rsidR="00437AF8" w:rsidRPr="00581288">
        <w:instrText>sis","type":"article-journal","volume":"58"},"uris":["http://www.mendeley.com/documents/?uuid=81aae759-4552-48db-a3f3-e50604c8b98b"]},{"id":"ITEM-2","itemData":{"DOI":"doi:10.1002/ 2015WR017394","abstract":"Abstract The controlled outflows from a reservoir or dam are highly dependent on the decisions made by the reservoir operators, instead of a natural hydrological process. Difference exists between the natural upstream inflows to reservoirs and the controlled outflows from reservoirs that supply the downstream users. With the decision maker's awareness of changing climate, reservoir management requires adaptable means to incorporate more information into decision making, such as water delivery requirement, environmental constraints, dry/wet conditions, etc. In this paper, a robust reservoir outflow simulation model is presented, which incorporates one of the well-developed data-mining models (Classification and Regression Tree) to predict the complicated human-controlled reservoir outflows and extract the reservoir operation patterns. A shuffled cross-validation approach is further implemented to improve CART's predictive performance. An application study of nine major reservoirs in California is carried out. Results produced by the enhanced CART, original CART, and random forest are compared with observation. The statistical measurements show that the enhanced CART and random forest overperform the CART control run in general, and the enhanced CART algorithm gives a better predictive performance over random forest in simulating the peak flows. The results also show that the proposed model is able to consistently and reasonably predict the expert release decisions. Experiments indicate that the release operation in the Oroville Lake is significantly dominated by SWP allocation amount and reservoirs with low elevation are more sensitive to inflow amount than others.","author":[{"dropping-particle":"","family":"Yang","given":"Tiantian","non-dropping-particle":"","parse-names":false,"suffix":""},{"dropping-particle":"","family":"Gao","given":"Xiaogang","non-dropping-particle":"","parse-names":false,"suffix":""},{"dropping-particle":"","family":"Sorooshian","given":"Soroosh","non-dropping-particle":"","parse-names":false,"suffix":""},{"dropping-particle":"","family":"Li","given":"Xin","non-dropping-particle":"","parse-names":false,"suffix":""}],"container-title":"Water Resources Research","id":"ITEM-2","issue":"3","issued":{"date-parts":[["2016"]]},"note":"doi: 10.1002/2015WR017394\n0043-1397","page":"1626-1651","title":"Simulating California reservoir operation using the classification and regression-tree algorithm combined with a shuffled cross-validation scheme","type":"article-journal","volume":"52"},"uris":["http://www.mendeley.com/documents/?uuid=5e486d0b-004a-4491-b9a6-8da5b45d359e"]}],"mendeley":{"formattedCitation":"(Julien et al., 2008; Yang et al., 2016)","plainTextFormattedCitation":"(Julien et al., 2008; Yang et al., 2016)","previouslyFormattedCitation":"(Julien et al., 2008; Yang et al., 2016)"},"properties":{"noteIndex":0},"schema":"https://github.com/citation-style-language/schema/raw/master/csl-citation.json"}</w:instrText>
      </w:r>
      <w:r w:rsidR="00437AF8" w:rsidRPr="00581288">
        <w:fldChar w:fldCharType="separate"/>
      </w:r>
      <w:r w:rsidR="00437AF8" w:rsidRPr="00581288">
        <w:rPr>
          <w:noProof/>
        </w:rPr>
        <w:t>(Julien et al., 2008; Yang et al., 2016)</w:t>
      </w:r>
      <w:r w:rsidR="00437AF8" w:rsidRPr="00581288">
        <w:fldChar w:fldCharType="end"/>
      </w:r>
      <w:r w:rsidRPr="00581288">
        <w:t xml:space="preserve">, and economic </w:t>
      </w:r>
      <w:r w:rsidR="00437AF8" w:rsidRPr="00581288">
        <w:fldChar w:fldCharType="begin" w:fldLock="1"/>
      </w:r>
      <w:r w:rsidR="00E95B67" w:rsidRPr="00581288">
        <w:instrText>ADDIN CSL_CITATION {"citationItems":[{"id":"ITEM-1","itemData":{"DOI":"10.1016/j.apenergy.2019.04.170","ISSN":"03062619","abstract":"The United Nations Sustainable Development Goals have highlighted the challenges brought about by increasing energy consumption and climate change. Previous studies have concentrated on accounting for urban and rural household energy requirements in China at a macro-scale, which neglects the analysis of individuals and their socio-economic driving factors at the micro-scale. To fill this gap, this study began with an accounting of energy requirements for urban and rural households based on the provincial Multi-Regional Input-Output (MRIO)tables and household survey covering over 25,000 unique samples from 25 provinces in 2012. Multilinear Regression models were employed to estimate the average effect of various demographic and socioeconomic characteristics of samples, and Tree-based models were applied to classify energy requirement groups and identify the key individual characteristics. The results suggest that the energy requirements per capita on average range from 34 to 211 GJ for urban samples and 34 to 149 GJ for rural samples across different provinces, and that the gap between individuals can be over 100 times. Indirect energy requirements representing above 90% of the total is the focus of the study. Changes in lifestyle factors include eating out, drinking and smoking, were all correlated with indirect energy requirements. Furthermore, the one-child family has had a positive effect on indirect energy requirements, while the two or more children family has had a negative effect. In addition, an individual's mental health plays a role in the level of indirect energy requirements for high-income rural residents, while geographic location plays a key role for urban residents.","author":[{"dropping-particle":"","family":"Chen","given":"Guangwu","non-dropping-particle":"","parse-names":false,"suffix":""},{"dropping-particle":"","family":"Zhu","given":"Yuhan","non-dropping-particle":"","parse-names":false,"suffix":""},{"dropping-particle":"","family":"Wiedmann","given":"Thomas","non-dropping-particle":"","parse-names":false,"suffix":""},{"dropping-particle":"","family":"Yao","given":"Lina","non-dropping-particle":"","parse-names":false,"suffix":""},{"dropping-particle":"","family":"Xu","given":"Lixiao","non-dropping-particle":"","parse-names":false,"suffix":""},{"dropping-particle":"","family":"Wang","given":"Yafei","non-dropping-particle":"","parse-names":false,"suffix":""}],"container-title":"Applied Energy","id":"ITEM-1","issue":"April","issued":{"date-parts":[["2019"]]},"page":"1321-1335","publisher":"Elsevier","title":"Urban-rural disparities of household energy requirements and influence factors in China: Classification tree models","type":"article-journal","volume":"250"},"uris":["http://www.mendeley.com/documents/?uuid=d3dfbf1f-f864-4203-af74-47028a811cd4"]},{"id":"ITEM-2","itemData":{"DOI":"10.1007/s11205-020-02505-6","ISBN":"0123456789","ISSN":"15730921","abstract":"Increasing a personal debt burden implies greater financial vulnerability and threats for macroeconomic stability. It also generates a risk of the households over-indebtedness. The assessment of over-indebtedness is conducted with the use of various objective and subjective measures based on the micro-level data. The aim of the study is to investigate over-indebted households in Poland using a unique dataset obtained from the CATI survey. We discuss and compare the usefulness of various over-indebtedness measures across different socio-economic characteristics. Due to the differences in over-indebtedness across single measures, we perform a more complex assessment using a mix of indicators. As an alternative to other commonly criticised over-indebtedness measures, we apply the “below the poverty line” (BPL) measure. In order to obtain the profile of over-indebted households, we use classification and regression tree analysis as an alternative to logit or probit models. We find that DSTI (“debt service to income”) ratio underestimates the extent of over-indebtedness in vulnerable groups of households in comparison with the BPL. We highlight the necessity to use different measures depending on the adopted definition of over-indebtedness. A psychological burden of debts is particularly strong among older and poorly educated respondents. We also find that the age structure of over-indebted households in Poland differs from this structure in countries with a broader access to consumer credits. Our results can be used to enrich the methods of assessing the household over-indebtedness.","author":[{"dropping-particle":"","family":"Wałęga","given":"Grzegorz","non-dropping-particle":"","parse-names":false,"suffix":""},{"dropping-particle":"","family":"Wałęga","given":"Agnieszka","non-dropping-particle":"","parse-names":false,"suffix":""}],"container-title":"Social Indicators Research","id":"ITEM-2","issue":"2","issued":{"date-parts":[["2021"]]},"page":"561-584","publisher":"Springer Netherlands","title":"Over-indebted Households in Poland: Classification Tree Analysis","type":"article-journal","volume":"153"},"uris":["http://www.mendeley.com/documents/?uuid=a16fbe73-6aa0-40fe-8044-8f7949a81d84"]}],"mendeley":{"formattedCitation":"(Chen et al., 2019; Wałęga and Wałęga, 2021)","plainTextFormattedCitation":"(Chen et al., 2019; Wałęga and Wałęga, 2021)","previouslyFormattedCitation":"(Chen et al., 2019; Wałęga and Wałęga, 2021)"},"properties":{"noteIndex":0},"schema":"https://github.com/citation-style-language/schema/raw/master/csl-citation.json"}</w:instrText>
      </w:r>
      <w:r w:rsidR="00437AF8" w:rsidRPr="00581288">
        <w:fldChar w:fldCharType="separate"/>
      </w:r>
      <w:r w:rsidR="00E95B67" w:rsidRPr="00581288">
        <w:rPr>
          <w:noProof/>
        </w:rPr>
        <w:t>(Chen et al., 2019; Wałęga and Wałęga, 2021)</w:t>
      </w:r>
      <w:r w:rsidR="00437AF8" w:rsidRPr="00581288">
        <w:fldChar w:fldCharType="end"/>
      </w:r>
      <w:r w:rsidRPr="00581288">
        <w:t xml:space="preserve"> areas</w:t>
      </w:r>
      <w:r w:rsidR="0049591A" w:rsidRPr="00581288">
        <w:t>,</w:t>
      </w:r>
      <w:r w:rsidRPr="00581288">
        <w:t xml:space="preserve"> producing </w:t>
      </w:r>
      <w:r w:rsidR="0049591A" w:rsidRPr="00581288">
        <w:t xml:space="preserve">easy-to-interpret </w:t>
      </w:r>
      <w:r w:rsidRPr="00581288">
        <w:t xml:space="preserve">models </w:t>
      </w:r>
      <w:r w:rsidR="00E95B67" w:rsidRPr="00581288">
        <w:fldChar w:fldCharType="begin" w:fldLock="1"/>
      </w:r>
      <w:r w:rsidR="00E95B67" w:rsidRPr="00581288">
        <w:instrText>ADDIN CSL_CITATION {"citationItems":[{"id":"ITEM-1","itemData":{"abstract":"The information contained in this document is based on a number of technical, circum- stantial or otherwise specified assumptions and parameters. The user must make its own analysis and assessment of the suitability of the information or material contained in or generated from ...","author":[{"dropping-particle":"","family":"Kuhnert","given":"Petra","non-dropping-particle":"","parse-names":false,"suffix":""},{"dropping-particle":"","family":"Venables","given":"B.","non-dropping-particle":"","parse-names":false,"suffix":""}],"container-title":"Information Sciences","id":"ITEM-1","issued":{"date-parts":[["2005"]]},"page":"1-364","title":"An Introduction to R: Software for Statistical Modelling &amp; Computing","type":"article-journal"},"uris":["http://www.mendeley.com/documents/?uuid=df2c8312-b742-4b2f-b341-7e400502d84a"]},{"id":"ITEM-2","itemData":{"author":[{"dropping-particle":"","family":"Saegerman","given":"C","non-dropping-particle":"","parse-names":false,"suffix":""},{"dropping-particle":"","family":"Porter Sr Fau - Humblet","given":"M F","non-dropping-particle":"","parse-names":false,"suffix":""},{"dropping-particle":"","family":"Humblet","given":"M F","non-dropping-particle":"","parse-names":false,"suffix":""}],"container-title":"Revue scientifique et technique (International Office of Epizootics)","id":"ITEM-2","issue":"2","issued":{"date-parts":[["2011"]]},"page":"555-569","publisher-place":"Faculty of Veterinary Medicine, Department of Infectious and Parasitic Diseases, Research Unit of Epidemiology and Risk Analysis Applied to Veterinary Sciences, University of Liege, Boulevard de Colonster 20, B42, B-4000 Liege, Belgium. Claude.Saegerman@u","title":"The use of modelling to evaluate and adapt strategies for animal disease control","type":"article-journal","volume":"30"},"uris":["http://www.mendeley.com/documents/?uuid=7c0afa58-f79d-4d4a-9d1a-d1ce04cd52cb"]}],"mendeley":{"formattedCitation":"(Kuhnert and Venables, 2005; Saegerman et al., 2011)","plainTextFormattedCitation":"(Kuhnert and Venables, 2005; Saegerman et al., 2011)","previouslyFormattedCitation":"(Kuhnert and Venables, 2005; Saegerman et al., 2011)"},"properties":{"noteIndex":0},"schema":"https://github.com/citation-style-language/schema/raw/master/csl-citation.json"}</w:instrText>
      </w:r>
      <w:r w:rsidR="00E95B67" w:rsidRPr="00581288">
        <w:fldChar w:fldCharType="separate"/>
      </w:r>
      <w:r w:rsidR="00E95B67" w:rsidRPr="00581288">
        <w:rPr>
          <w:noProof/>
        </w:rPr>
        <w:t>(Kuhnert and Venables, 2005; Saegerman et al., 2011)</w:t>
      </w:r>
      <w:r w:rsidR="00E95B67" w:rsidRPr="00581288">
        <w:fldChar w:fldCharType="end"/>
      </w:r>
      <w:r w:rsidR="00E95B67" w:rsidRPr="00581288">
        <w:t xml:space="preserve">. Random forest </w:t>
      </w:r>
      <w:r w:rsidR="00E95B67" w:rsidRPr="00581288">
        <w:fldChar w:fldCharType="begin" w:fldLock="1"/>
      </w:r>
      <w:r w:rsidR="00DC1312" w:rsidRPr="00581288">
        <w:instrText>ADDIN CSL_CITATION {"citationItems":[{"id":"ITEM-1","itemData":{"DOI":"https://doi.org/10.1023/A:1010933404324","abstract":"Random forests are a combination of tree predictors such that each tree depends on the values of a random vector sampled independently and with the same distribution for all trees in the forest. The generalization error for forests converges a.s. to a limit as the number of trees in the forest becomes large. The generalization error of a forest of tree classifiers depends on the strength of the individual trees in the forest and the correlation between them. Using a random selection of features to split each node yields error rates that compare favorably to Adaboost (Y. Freund &amp; R. Schapire, Machine Learning: Proceedings of the Thirteenth International conference, * * *, 148-156), but are more robust with respect to noise. Internal estimates monitor error, strength, and correlation and these are used to show the response to increasing the number of features used in the splitting. Internal estimates are also used to measure variable importance. These ideas are also applicable to regression.","author":[{"dropping-particle":"","family":"Breiman","given":"L","non-dropping-particle":"","parse-names":false,"suffix":""}],"container-title":"Machine Learning","id":"ITEM-1","issued":{"date-parts":[["2001"]]},"page":"5-32","title":"Random forests","type":"article-journal","volume":"45"},"uris":["http://www.mendeley.com/documents/?uuid=965c894e-eb4b-42ca-ab2a-cad6ca539840"]},{"id":"ITEM-2","itemData":{"DOI":"10.1177/154405910408300516","ISBN":"1609-3631","ISSN":"16093631","PMID":"21196786","abstract":"Background: Proteochemometrics is a new methodology that allows prediction of protein function directly from real interaction measurement data without the need of 3D structure information. Several reported proteochemometric models of ligand-receptor interactions have already yielded significant insights into various forms of bio-molecular interactions. The proteochemometric models are multivariate regression models that predict binding affinity for a particular combination of features of the ligand and protein. Although proteochemometric models have already offered interesting results in various studies, no detailed statistical evaluation of their average predictive power has been performed. In particular, variable subset selection performed to date has always relied on using all available examples, a situation also encountered in microarray gene expression data analysis. Results: A methodology for an unbiased evaluation of the predictive power of proteochemometric models was implemented and results from applying it to two of the largest proteochemometric data sets yet reported are presented. A double cross-validation loop procedure is used to estimate the expected performance of a given design method. The unbiased performance estimates (P 2) obtained for the data sets that we consider confirm that properly designed single proteochemometric models have useful predictive power, but that a standard design based on cross validation may yield models with quite limited performance. The results also show that different commercial software packages employed for the design of proteochemometric models may yield very different and therefore misleading performance estimates. In addition, the differences in the models obtained in the double CV loop indicate that detailed chemical interpretation of a single proteochemometric model is uncertain when data sets are small. Conclusion: The double CV loop employed offer unbiased performance estimates about a given proteochemometric modelling procedure, making it possible to identify cases where the proteochemometric design does not result in useful predictive models. Chemical interpretations of single proteochemometric models are uncertain and should instead be based on all the models selected in the double CV loop employed here.","author":[{"dropping-particle":"","family":"Liaw","given":"Andt","non-dropping-particle":"","parse-names":false,"suffix":""},{"dropping-particle":"","family":"Wiener","given":"Matthew","non-dropping-particle":"","parse-names":false,"suffix":""}],"container-title":"R News","id":"ITEM-2","issue":"3","issued":{"date-parts":[["2002"]]},"page":"18-22","title":"Classification and regression by randomForest","type":"article-journal","volume":"2"},"uris":["http://www.mendeley.com/documents/?uuid=b9fe0543-5b0d-4405-82d4-463c4647190e"]}],"mendeley":{"formattedCitation":"(Breiman, 2001; Liaw and Wiener, 2002)","plainTextFormattedCitation":"(Breiman, 2001; Liaw and Wiener, 2002)","previouslyFormattedCitation":"(Breiman, 2001; Liaw and Wiener, 2002)"},"properties":{"noteIndex":0},"schema":"https://github.com/citation-style-language/schema/raw/master/csl-citation.json"}</w:instrText>
      </w:r>
      <w:r w:rsidR="00E95B67" w:rsidRPr="00581288">
        <w:fldChar w:fldCharType="separate"/>
      </w:r>
      <w:r w:rsidR="00E95B67" w:rsidRPr="00581288">
        <w:rPr>
          <w:noProof/>
        </w:rPr>
        <w:t>(Breiman, 2001; Liaw and Wiener, 2002)</w:t>
      </w:r>
      <w:r w:rsidR="00E95B67" w:rsidRPr="00581288">
        <w:fldChar w:fldCharType="end"/>
      </w:r>
      <w:r w:rsidRPr="00581288">
        <w:t xml:space="preserve"> </w:t>
      </w:r>
      <w:r w:rsidR="008006C0">
        <w:t xml:space="preserve">is </w:t>
      </w:r>
      <w:r w:rsidRPr="00581288">
        <w:t xml:space="preserve">an improved decision-tree method which combines resampled observations and variables from multiple trees producing a single consensus outcome prediction from the de-correlated trees, reducing variability and improving prediction accuracy, although </w:t>
      </w:r>
      <w:r w:rsidR="00EE7B72" w:rsidRPr="00581288">
        <w:t>reducing</w:t>
      </w:r>
      <w:r w:rsidRPr="00581288">
        <w:t xml:space="preserve"> interpretability </w:t>
      </w:r>
      <w:r w:rsidR="00E95B67" w:rsidRPr="00581288">
        <w:fldChar w:fldCharType="begin" w:fldLock="1"/>
      </w:r>
      <w:r w:rsidR="00E95B67" w:rsidRPr="00581288">
        <w:instrText>ADDIN CSL_CITATION {"citationItems":[{"id":"ITEM-1","itemData":{"author":[{"dropping-particle":"","family":"Hastie","given":"T","non-dropping-particle":"","parse-names":false,"suffix":""},{"dropping-particle":"","family":"Tibshirani","given":"R","non-dropping-particle":"","parse-names":false,"suffix":""},{"dropping-particle":"","family":"Friedman","given":"J","non-dropping-particle":"","parse-names":false,"suffix":""}],"edition":"2nd","id":"ITEM-1","issued":{"date-parts":[["2017"]]},"number-of-pages":"745","publisher":"Springer","title":"The Elements of Statistical Learning","type":"book"},"uris":["http://www.mendeley.com/documents/?uuid=6b674898-bc56-447d-9a58-787e7bbebaec"]},{"id":"ITEM-2","itemData":{"DOI":"10.1016/j.peva.2007.06.006","ISBN":"9780387781884","ISSN":"01665316","PMID":"10911016","author":[{"dropping-particle":"","family":"James","given":"G.","non-dropping-particle":"","parse-names":false,"suffix":""},{"dropping-particle":"","family":"Witten","given":"D.","non-dropping-particle":"","parse-names":false,"suffix":""},{"dropping-particle":"","family":"Hastie","given":"T.","non-dropping-particle":"","parse-names":false,"suffix":""},{"dropping-particle":"","family":"Tibshirani","given":"R.","non-dropping-particle":"","parse-names":false,"suffix":""}],"editor":[{"dropping-particle":"","family":"Casella","given":"G.","non-dropping-particle":"","parse-names":false,"suffix":""},{"dropping-particle":"","family":"Fienberg","given":"S.","non-dropping-particle":"","parse-names":false,"suffix":""},{"dropping-particle":"","family":"Olkin","given":"I.","non-dropping-particle":"","parse-names":false,"suffix":""}],"id":"ITEM-2","issued":{"date-parts":[["2014"]]},"publisher":"Springer US","title":"An Introduction to Statistical Learning with Applications in R","type":"book"},"uris":["http://www.mendeley.com/documents/?uuid=00199a1c-8798-4d37-bcf1-d70bbaddcb74"]}],"mendeley":{"formattedCitation":"(Hastie et al., 2017; James et al., 2014)","plainTextFormattedCitation":"(Hastie et al., 2017; James et al., 2014)","previouslyFormattedCitation":"(Hastie et al., 2017; James et al., 2014)"},"properties":{"noteIndex":0},"schema":"https://github.com/citation-style-language/schema/raw/master/csl-citation.json"}</w:instrText>
      </w:r>
      <w:r w:rsidR="00E95B67" w:rsidRPr="00581288">
        <w:fldChar w:fldCharType="separate"/>
      </w:r>
      <w:r w:rsidR="00E95B67" w:rsidRPr="00581288">
        <w:rPr>
          <w:noProof/>
        </w:rPr>
        <w:t>(Hastie et al., 2017; James et al., 2014)</w:t>
      </w:r>
      <w:r w:rsidR="00E95B67" w:rsidRPr="00581288">
        <w:fldChar w:fldCharType="end"/>
      </w:r>
      <w:r w:rsidRPr="00581288">
        <w:t xml:space="preserve">. They have </w:t>
      </w:r>
      <w:r w:rsidR="008F6826" w:rsidRPr="00581288">
        <w:t xml:space="preserve">also </w:t>
      </w:r>
      <w:r w:rsidRPr="00581288">
        <w:t xml:space="preserve">been widely applied </w:t>
      </w:r>
      <w:r w:rsidR="00E95B67" w:rsidRPr="00581288">
        <w:fldChar w:fldCharType="begin" w:fldLock="1"/>
      </w:r>
      <w:r w:rsidR="00E95B67" w:rsidRPr="00581288">
        <w:instrText>ADDIN CSL_CITATION {"citationItems":[{"id":"ITEM-1","itemData":{"DOI":"10.1016/j.pnpbp.2007.05.019","ISSN":"02785846","PMID":"17614183","abstract":"Attempted suicide appears to be a familial behavior. This study aims to determine the variables associated with family history of attempted suicide in a large sample of suicide attempters. The sample included 539 suicide attempters 18 years or older recruited in an emergency room. The two dichotomous dependent variables were family history of suicide attempt (10%, 51/539) and of completed suicide (4%, 23/539). Independent variables were 101 clinical variables studied with two data mining techniques: Random Forest and Forward Selection. A model for family history of completed suicide could not be developed. A classificatory model for family history of attempted suicide included the use of alcohol in the intent and family history of completed suicide (sensitivity, specificity, 98.7%; and accuracy, 96.6%). This is the first study that uses a powerful new statistical methodology, data mining, in the field of familial suicidal behaviors and suggests that it may be important to study familial variables associated with alcohol use to better understand the familiality of suicide attempts. © 2007 Elsevier Inc. All rights reserved.","author":[{"dropping-particle":"","family":"Baca-Garcia","given":"Enrique","non-dropping-particle":"","parse-names":false,"suffix":""},{"dropping-particle":"","family":"Perez-Rodriguez","given":"M. Mercedes","non-dropping-particle":"","parse-names":false,"suffix":""},{"dropping-particle":"","family":"Saiz-Gonzalez","given":"Dolores","non-dropping-particle":"","parse-names":false,"suffix":""},{"dropping-particle":"","family":"Basurte-Villamor","given":"Ignacio","non-dropping-particle":"","parse-names":false,"suffix":""},{"dropping-particle":"","family":"Saiz-Ruiz","given":"Jeronimo","non-dropping-particle":"","parse-names":false,"suffix":""},{"dropping-particle":"","family":"Leiva-Murillo","given":"José M.","non-dropping-particle":"","parse-names":false,"suffix":""},{"dropping-particle":"","family":"Prado-Cumplido","given":"Mario","non-dropping-particle":"de","parse-names":false,"suffix":""},{"dropping-particle":"","family":"Santiago-Mozos","given":"Ricardo","non-dropping-particle":"","parse-names":false,"suffix":""},{"dropping-particle":"","family":"Artés-Rodríguez","given":"Antonio","non-dropping-particle":"","parse-names":false,"suffix":""},{"dropping-particle":"","family":"Leon","given":"Jose","non-dropping-particle":"de","parse-names":false,"suffix":""}],"container-title":"Progress in Neuro-Psychopharmacology and Biological Psychiatry","id":"ITEM-1","issue":"6","issued":{"date-parts":[["2007"]]},"page":"1312-1316","title":"Variables associated with familial suicide attempts in a sample of suicide attempters","type":"article-journal","volume":"31"},"uris":["http://www.mendeley.com/documents/?uuid=8d1166b0-5267-42ad-ac71-0dfd0a95d006"]},{"id":"ITEM-2","itemData":{"DOI":"10.1016/j.cageo.2014.10.004","ISSN":"00983004","abstract":"Machine learning methods that have been used in data-driven predictive modeling of mineral prospectivity (e.g., artificial neural networks) invariably require large number of training prospect/locations and are unable to handle missing values in certain evidential data. The Random Forests (RF) algorithm, which is a machine learning method, has recently been applied to data-driven predictive mapping of mineral prospectivity, and so it is instructive to further study its efficacy in this particular field. This case study, carried out using data from Abra (Philippines), examines (a) if RF modeling can be used for data-driven modeling of mineral prospectivity in areas with a few (i.e., &lt;20) mineral occurrences and (b) if RF modeling can handle evidential data with missing values. We found that RF modeling outperforms weights-of-evidence (WofE) modeling of porphyry-Cu prospectivity in the Abra area, where 12 porphyry-Cu prospects are known to exist. Moreover, just like WofE modeling, RF modeling allows analysis of the spatial associations of known prospects with individual layers of evidential data. Furthermore, RF modeling can handle missing values in evidential data through an RF-based imputation technique whereas in WofE modeling values are simply represented by zero weights. Therefore, the RF algorithm is potentially more useful than existing methods that are currently used for data-driven predictive mapping of mineral prospectivity. In particular, it is not a purely black-box method like artificial neural networks in the context of data-driven predictive modeling of mineral prospectivity. However, further testing of the method in other areas with a few mineral occurrences is needed to fully investigate its usefulness in data-driven predictive modeling of mineral prospectivity.","author":[{"dropping-particle":"","family":"Carranza","given":"Emmanuel John M.","non-dropping-particle":"","parse-names":false,"suffix":""},{"dropping-particle":"","family":"Laborte","given":"Alice G.","non-dropping-particle":"","parse-names":false,"suffix":""}],"container-title":"Computers and Geosciences","id":"ITEM-2","issued":{"date-parts":[["2015"]]},"page":"60-70","publisher":"Elsevier","title":"Random forest predictive modeling of mineral prospectivity with small number of prospects and data with missing values in Abra (Philippines)","type":"article-journal","volume":"74"},"uris":["http://www.mendeley.com/documents/?uuid=9cdc1b7a-87c6-49cc-9195-718ce5568c1e"]},{"id":"ITEM-3","itemData":{"DOI":"10.1186/1471-2105-7-3","ISSN":"14712105","abstract":"BACKGROUND Selection of relevant genes for sample classification is a common task in most gene expression studies, where researchers try to identify the smallest possible set of genes that can still achieve good predictive performance (for instance, for future use with diagnostic purposes in clinical practice). Many gene selection approaches use univariate (gene-by-gene) rankings of gene relevance and arbitrary thresholds to select the number of genes, can only be applied to two-class problems, and use gene selection ranking criteria unrelated to the classification algorithm. In contrast, random forest is a classification algorithm well suited for microarray data: it shows excellent performance even when most predictive variables are noise, can be used when the number of variables is much larger than the number of observations and in problems involving more than two classes, and returns measures of variable importance. Thus, it is important to understand the performance of random forest with microarray data and its possible use for gene selection. RESULTS We investigate the use of random forest for classification of microarray data (including multi-class problems) and propose a new method of gene selection in classification problems based on random forest. Using simulated and nine microarray data sets we show that random forest has comparable performance to other classification methods, including DLDA, KNN, and SVM, and that the new gene selection procedure yields very small sets of genes (often smaller than alternative methods) while preserving predictive accuracy. CONCLUSION Because of its performance and features, random forest and gene selection using random forest should probably become part of the \"standard tool-box\" of methods for class prediction and gene selection with microarray data.","author":[{"dropping-particle":"","family":"Díaz-Uriarte","given":"Ramón","non-dropping-particle":"","parse-names":false,"suffix":""},{"dropping-particle":"","family":"Alvarez de Andrés","given":"Sara","non-dropping-particle":"","parse-names":false,"suffix":""}],"container-title":"BMC Bioinformatics","id":"ITEM-3","issued":{"date-parts":[["2006"]]},"page":"1-13","title":"Gene selection and classification of microarray data using random forest","type":"article-journal","volume":"7"},"uris":["http://www.mendeley.com/documents/?uuid=d9e198cb-a451-446a-a31e-ba7f290f8c61"]},{"id":"ITEM-4","itemData":{"DOI":"doi:10.1186/1471-2105-15-276","abstract":"Background: Time series models can play an important role in disease prediction. Incidence data can be used to predict the future occurrence of disease events. Developments in modeling approaches provide an opportunity to compare different time series models for predictive power. Results: We applied ARIMA and Random Forest time series models to incidence data of outbreaks of highly pathogenic avian influenza (H5N1) in Egypt, available through the online EMPRES-I system. We found that the Random Forest model outperformed the ARIMA model in predictive ability. Furthermore, we found that the Random Forest model is effective for predicting outbreaks of H5N1 in Egypt. Conclusions: Random Forest time series modeling provides enhanced predictive ability over existing time series models for the prediction of infectious disease outbreaks. This result, along with those showing the concordance between bird and human outbreaks (Rabinowitz et al. 2012), provides a new approach to predicting these dangerous outbreaks in bird populations based on existing, freely available data. Our analysis uncovers the time-series structure of outbreak severity for highly pathogenic avain influenza (H5N1) in Egypt. Background","author":[{"dropping-particle":"","family":"Kane","given":"Michael J","non-dropping-particle":"","parse-names":false,"suffix":""},{"dropping-particle":"","family":"Price","given":"Natalie","non-dropping-particle":"","parse-names":false,"suffix":""},{"dropping-particle":"","family":"Scotch","given":"Matthew","non-dropping-particle":"","parse-names":false,"suffix":""},{"dropping-particle":"","family":"Rabinowitz","given":"Peter","non-dropping-particle":"","parse-names":false,"suffix":""}],"container-title":"BMC Bioinformatics","id":"ITEM-4","issued":{"date-parts":[["2014"]]},"number-of-pages":"276","title":"Comparison of ARIMA and Random Forest time series models for prediction of avian influenza H5N1 outbreaks","type":"report","volume":"15"},"uris":["http://www.mendeley.com/documents/?uuid=e9069310-a424-3911-87e6-ba0519dfadcb"]},{"id":"ITEM-5","itemData":{"DOI":"10.3390/s150820480","abstract":"This article presents a study of the relationship between electromyographic (EMG) signals from vastus lateralis, rectus femoris, biceps femoris and semitendinosus muscles, collected during fatiguing cycling exercises, and other physiological measurements, such as blood lactate concentration and oxygen consumption. In contrast to the usual practice of picking one particular characteristic of the signal, e.g., the median or mean frequency, multiple variables were used to obtain a thorough characterization of EMG signals in the spectral domain. Based on these variables, linear and non-linear (random forest) models were built to predict blood lactate concentration and oxygen consumption. The results showed that mean and median frequencies are sub-optimal choices for predicting these physiological quantities in dynamic exercises, as they did not exhibit significant changes over the course of our protocol and only weakly correlated with blood lactate concentration or oxygen uptake. Instead, the root mean square of the original signal and backward difference, as well as parameters describing the tails of the EMG power distribution were the most important variables for these models. Coefficients of determination ranging from R2=0.77 to R2=0.98 (for blood lactate) and from R2=0.81 to R2=0.97 (for oxygen uptake) were obtained when using random forest regressors.","author":[{"dropping-particle":"","family":"Ražanskas","given":"Petras","non-dropping-particle":"","parse-names":false,"suffix":""},{"dropping-particle":"","family":"Verikas","given":"Antanas","non-dropping-particle":"","parse-names":false,"suffix":""},{"dropping-particle":"","family":"Olsson","given":"Charlotte","non-dropping-particle":"","parse-names":false,"suffix":""},{"dropping-particle":"","family":"Viberg","given":"Per-arne","non-dropping-particle":"","parse-names":false,"suffix":""}],"container-title":"Sensors","id":"ITEM-5","issued":{"date-parts":[["2015"]]},"page":"20480-20500","title":"Predicting Blood Lactate Concentration and Oxygen Uptake from sEMG Data during Fatiguing Cycling Exercise","type":"article-journal","volume":"98"},"uris":["http://www.mendeley.com/documents/?uuid=92cd89b7-ad47-4589-8547-ff2aa58b6fd3"]}],"mendeley":{"formattedCitation":"(Baca-Garcia et al., 2007; Carranza and Laborte, 2015; Díaz-Uriarte and Alvarez de Andrés, 2006; Kane et al., 2014; Ražanskas et al., 2015)","plainTextFormattedCitation":"(Baca-Garcia et al., 2007; Carranza and Laborte, 2015; Díaz-Uriarte and Alvarez de Andrés, 2006; Kane et al., 2014; Ražanskas et al., 2015)","previouslyFormattedCitation":"(Baca-Garcia et al., 2007; Carranza and Laborte, 2015; Díaz-Uriarte and Alvarez de Andrés, 2006; Kane et al., 2014; Ražanskas et al., 2015)"},"properties":{"noteIndex":0},"schema":"https://github.com/citation-style-language/schema/raw/master/csl-citation.json"}</w:instrText>
      </w:r>
      <w:r w:rsidR="00E95B67" w:rsidRPr="00581288">
        <w:fldChar w:fldCharType="separate"/>
      </w:r>
      <w:r w:rsidR="00E95B67" w:rsidRPr="00581288">
        <w:rPr>
          <w:noProof/>
        </w:rPr>
        <w:t>(Baca-Garcia et al., 2007; Carranza and Laborte, 2015; Díaz-Uriarte and Alvarez de Andrés, 2006; Kane et al., 2014; Ražanskas et al., 2015)</w:t>
      </w:r>
      <w:r w:rsidR="00E95B67" w:rsidRPr="00581288">
        <w:fldChar w:fldCharType="end"/>
      </w:r>
      <w:r w:rsidRPr="00581288">
        <w:t xml:space="preserve">, including to the identification of high-risk herds with regards to their probability of having a bTB incident </w:t>
      </w:r>
      <w:r w:rsidR="00E95B67" w:rsidRPr="00581288">
        <w:fldChar w:fldCharType="begin" w:fldLock="1"/>
      </w:r>
      <w:r w:rsidR="009F4086">
        <w:instrText>ADDIN CSL_CITATION {"citationItems":[{"id":"ITEM-1","itemData":{"DOI":"10.1016/j.prevetmed.2021.105264","ISSN":"01675877","abstract":"Nearly a decade into Defra's current eradication strategy, bovine tuberculosis (bTB) remains a serious animal health problem in England, with c.30,000 cattle slaughtered annually in the fight against this insidious disease. There is an urgent need to improve our understanding of bTB risk in order to enhance the current disease control policy. Machine learning approaches applied to big datasets offer a potential way to do this. Regularized regression and random forest machine learning methodologies were implemented using 2016 herd-level data to generate the best possible predictive models for a bTB incident in England and its three surveillance risk areas (High-risk area [HRA], Edge area [EA] and Low-risk area [LRA]). Their predictive performance was compared and the best models in each area were used to characterize herds according to risk. While all models provided excellent discrimination, random forest models achieved the highest balanced accuracy (i.e. average of sensitivity and specificity) in England, HRA and LRA, whereas the regularized regression LASSO model did so in the EA. The time since the last confirmed incident was resolved was the only variable in the top-ten ranking in all areas according to both types of models, which highlights the importance of bTB history as a predictor of a new incident. Risk categorisation based on Receiver Operating Characteristic (ROC) analysis was carried out using the best predictive models in each area setting a 99 % threshold value for sensitivity and specificity (97 % in the LRA). Thirteen percent of herds in the whole of England as well as in its HRA, 14 % in its EA and 31 % in its LRA were classified as high-risk. These could be selected for the deployment of additional disease control measures at national or area level. In this way, low-risk herds within the area considered would not be penalised unnecessarily by blanket control measures and limited resources be used more efficiently. The methodology presented in this paper demonstrates a way to accurately identify high-risk farms to inform a targeted disease control and prevention strategy in England that supplements existing population strategies.","author":[{"dropping-particle":"","family":"Romero","given":"M. Pilar","non-dropping-particle":"","parse-names":false,"suffix":""},{"dropping-particle":"","family":"Chang","given":"Yu Mei","non-dropping-particle":"","parse-names":false,"suffix":""},{"dropping-particle":"","family":"Brunton","given":"Lucy A.","non-dropping-particle":"","parse-names":false,"suffix":""},{"dropping-particle":"","family":"Parry","given":"Jessica","non-dropping-particle":"","parse-names":false,"suffix":""},{"dropping-particle":"","family":"Prosser","given":"Alison","non-dropping-particle":"","parse-names":false,"suffix":""},{"dropping-particle":"","family":"Upton","given":"Paul","non-dropping-particle":"","parse-names":false,"suffix":""},{"dropping-particle":"","family":"Rees","given":"Eleanor","non-dropping-particle":"","parse-names":false,"suffix":""},{"dropping-particle":"","family":"Tearne","given":"Oliver","non-dropping-particle":"","parse-names":false,"suffix":""},{"dropping-particle":"","family":"Arnold","given":"Mark","non-dropping-particle":"","parse-names":false,"suffix":""},{"dropping-particle":"","family":"Stevens","given":"Kim","non-dropping-particle":"","parse-names":false,"suffix":""},{"dropping-particle":"","family":"Drewe","given":"Julian A.","non-dropping-particle":"","parse-names":false,"suffix":""}],"container-title":"Preventive Veterinary Medicine","id":"ITEM-1","issue":"July 2020","issued":{"date-parts":[["2021"]]},"page":"105264","publisher":"Elsevier B.V.","title":"A comparison of the value of two machine learning predictive models to support bovine tuberculosis disease control in England","type":"article-journal","volume":"188"},"uris":["http://www.mendeley.com/documents/?uuid=76f043c9-dfab-4f80-b311-f4322fd3ecb8"]}],"mendeley":{"formattedCitation":"(Romero et al., 2021)","plainTextFormattedCitation":"(Romero et al., 2021)","previouslyFormattedCitation":"(Romero et al., 2021)"},"properties":{"noteIndex":0},"schema":"https://github.com/citation-style-language/schema/raw/master/csl-citation.json"}</w:instrText>
      </w:r>
      <w:r w:rsidR="00E95B67" w:rsidRPr="00581288">
        <w:fldChar w:fldCharType="separate"/>
      </w:r>
      <w:r w:rsidR="00E95B67" w:rsidRPr="00581288">
        <w:rPr>
          <w:noProof/>
        </w:rPr>
        <w:t>(Romero et al., 2021)</w:t>
      </w:r>
      <w:r w:rsidR="00E95B67" w:rsidRPr="00581288">
        <w:fldChar w:fldCharType="end"/>
      </w:r>
      <w:r w:rsidRPr="00581288">
        <w:t>. Both</w:t>
      </w:r>
      <w:r w:rsidR="003713F4" w:rsidRPr="00581288">
        <w:t>,</w:t>
      </w:r>
      <w:r w:rsidRPr="00581288">
        <w:t xml:space="preserve"> classification tree analysis and random forest</w:t>
      </w:r>
      <w:r w:rsidR="003713F4" w:rsidRPr="00581288">
        <w:t>,</w:t>
      </w:r>
      <w:r w:rsidRPr="00581288">
        <w:t xml:space="preserve"> have </w:t>
      </w:r>
      <w:r w:rsidR="003713F4" w:rsidRPr="00581288">
        <w:t xml:space="preserve">also </w:t>
      </w:r>
      <w:r w:rsidRPr="00581288">
        <w:t xml:space="preserve">been compared to solve different health problems </w:t>
      </w:r>
      <w:r w:rsidR="00E95B67" w:rsidRPr="00581288">
        <w:fldChar w:fldCharType="begin" w:fldLock="1"/>
      </w:r>
      <w:r w:rsidR="00E95B67" w:rsidRPr="00581288">
        <w:instrText>ADDIN CSL_CITATION {"citationItems":[{"id":"ITEM-1","itemData":{"DOI":"https://doi.org/10.1016/j.bspc.2017.01.012","author":[{"dropping-particle":"","family":"Shaikhina","given":"T","non-dropping-particle":"","parse-names":false,"suffix":""},{"dropping-particle":"","family":"Lowe","given":"D","non-dropping-particle":"","parse-names":false,"suffix":""},{"dropping-particle":"","family":"Daga","given":"S","non-dropping-particle":"","parse-names":false,"suffix":""},{"dropping-particle":"","family":"Briggs","given":"D","non-dropping-particle":"","parse-names":false,"suffix":""},{"dropping-particle":"","family":"Higgins","given":"R","non-dropping-particle":"","parse-names":false,"suffix":""},{"dropping-particle":"","family":"Khovanova","given":"N","non-dropping-particle":"","parse-names":false,"suffix":""}],"container-title":"Biomedical Signal Processing and Control","edition":"9 February","id":"ITEM-1","issued":{"date-parts":[["2019"]]},"page":"456-462","title":"Decision tree and random forest models for outcome prediction in antibody incompatible kidney transplantation","type":"article-journal","volume":"52"},"uris":["http://www.mendeley.com/documents/?uuid=0018c6d9-6f1f-4fe1-a864-7ce2650c8fe0"]},{"id":"ITEM-2","itemData":{"DOI":"10.1016/j.cmpb.2019.04.012","ISSN":"18727565","abstract":"Background/objective: Assessing prognosis for acetaminophen-induced acute liver failure (APAP-ALF) patients during the first week of hospitalization often presents significant challenges. Current models such as the King's College Criteria (KCC) and the Acute Liver Failure Study Group (ALFSG) Prognostic Index are developed to predict outcome using only a single time point on hospital admission. Models using longitudinal data are not currently available for APAP-ALF patients. We aim to develop and compare performance of prediction models for outcomes during the first week of hospitalization for APAP-ALF patients. Methods: Models are developed for the ALFSG registry data to predict longitudinal outcomes for 1042 APAP-ALF patients enrolled 01/1998–02/2016. The primary outcome is defined as daily low versus high coma grade. Accuracy in prediction of outcome (AC), sensitivity (SN), specificity (SP) and area under the receiver operating curve (AUC) are compared between the following models: classification and regression tree, random forest, frequentist generalized linear mixed model (GLMM), Bayesian GLMM, BiMM tree, and BiMM forest using original and imputed datasets. Results: BiMM tree offers predictive (test set) 63% AC, 72% SP and 53% SN for the original dataset, whereas BiMM forest offers predictive (test set) 69% AC, 63% SP and 74% SN for the imputed dataset. BiMM tree has the highest AUC for the original testing dataset (0.697), whereas BiMM forest and standard random forest have the highest AUC for the imputed testing dataset (0.749). The three most important predictors of daily outcome for the BiMM tree are pressor use, bilirubin and creatinine. The BiMM forest model identifies lactate, ammonia and ALT as the three most important predictors of outcome. Conclusions: BiMM tree offers a prognostic tool for APAP-ALF patients, which has good accuracy and simple interpretation of predictors which are consistent with clinical observations. BiMM tree and forest models are developed using the first week of in-patient data and are appropriate for predicting outcome over time. While the BiMM forest has slightly higher predictive AC, the BiMM tree model is simpler to use at the bedside.","author":[{"dropping-particle":"","family":"Speiser","given":"Jaime Lynn","non-dropping-particle":"","parse-names":false,"suffix":""},{"dropping-particle":"","family":"Karvellas","given":"Constantine J.","non-dropping-particle":"","parse-names":false,"suffix":""},{"dropping-particle":"","family":"Wolf","given":"Bethany J.","non-dropping-particle":"","parse-names":false,"suffix":""},{"dropping-particle":"","family":"Chung","given":"Dongjun","non-dropping-particle":"","parse-names":false,"suffix":""},{"dropping-particle":"","family":"Koch","given":"David G.","non-dropping-particle":"","parse-names":false,"suffix":""},{"dropping-particle":"","family":"Durkalski","given":"Valerie L.","non-dropping-particle":"","parse-names":false,"suffix":""}],"container-title":"Computer Methods and Programs in Biomedicine","id":"ITEM-2","issued":{"date-parts":[["2019"]]},"page":"111-120","publisher":"Elsevier B.V.","title":"Predicting daily outcomes in acetaminophen-induced acute liver failure patients with machine learning techniques","type":"article-journal","volume":"175"},"uris":["http://www.mendeley.com/documents/?uuid=375c2cb9-b834-45f1-beac-aeea2ab4c3f2"]}],"mendeley":{"formattedCitation":"(Shaikhina et al., 2019; Speiser et al., 2019)","plainTextFormattedCitation":"(Shaikhina et al., 2019; Speiser et al., 2019)","previouslyFormattedCitation":"(Shaikhina et al., 2019; Speiser et al., 2019)"},"properties":{"noteIndex":0},"schema":"https://github.com/citation-style-language/schema/raw/master/csl-citation.json"}</w:instrText>
      </w:r>
      <w:r w:rsidR="00E95B67" w:rsidRPr="00581288">
        <w:fldChar w:fldCharType="separate"/>
      </w:r>
      <w:r w:rsidR="00E95B67" w:rsidRPr="00581288">
        <w:rPr>
          <w:noProof/>
        </w:rPr>
        <w:t>(Shaikhina et al., 2019; Speiser et al., 2019)</w:t>
      </w:r>
      <w:r w:rsidR="00E95B67" w:rsidRPr="00581288">
        <w:fldChar w:fldCharType="end"/>
      </w:r>
      <w:r w:rsidRPr="00581288">
        <w:t>. Here, we demonstrate their application to the identification of IR-only bTB surveillance tests that are associated with the detection of an incident at the 60-day IR retest.</w:t>
      </w:r>
    </w:p>
    <w:p w14:paraId="5995FA81" w14:textId="4F97FDBA" w:rsidR="00E64D6C" w:rsidRPr="00581288" w:rsidRDefault="00C24401" w:rsidP="00C24401">
      <w:r w:rsidRPr="00581288">
        <w:t xml:space="preserve">Epidemiological analysis of data must be incorporated into control and eradication programmes </w:t>
      </w:r>
      <w:r w:rsidR="00E95B67" w:rsidRPr="00581288">
        <w:fldChar w:fldCharType="begin" w:fldLock="1"/>
      </w:r>
      <w:r w:rsidR="00105C29" w:rsidRPr="00581288">
        <w:instrText>ADDIN CSL_CITATION {"citationItems":[{"id":"ITEM-1","itemData":{"DOI":"10.4061/2011/410470","ISSN":"20420048","abstract":"Tuberculosis remains a significant disease of animals and humans worldwide. Bovine tuberculosis is caused by Mycobacteria with an extremely wide host range and serious, although currently probably underdiagnosed, zoonotic potential. Where bovine tuberculosis controls are effective, human zoonotic TB, due to Mycobacterium bovis or M. caprae, is uncommon and clinical cases are infrequent in cattle. Therefore, the control and ultimate eradication of bovine tuberculosis is desirable. Tuberculin tests are the primary screening tool used in bovine eradication. The choice of tuberculin test is dependent on the environment in which it is to be used. Tuberculin potency is critical to test performance, and the accurate determination of potency is therefore particularly important. The design of a control or eradication programme should take into consideration the fundamental scientific knowledge, the epidemiological profile of disease, the experience of other eradication programmes, and the presence, in the same ecosystem, of maintenance hosts, in which infection is self-sustaining and which are capable of transmitting infection. A control or eradication programme will necessarily require modification as it progresses and must be under constant review to identify the optimal desirable goals, the efficacy of policy, and constraints to progress. © 2011 Margaret Good and Anthony Duignan.","author":[{"dropping-particle":"","family":"Good","given":"Margaret","non-dropping-particle":"","parse-names":false,"suffix":""},{"dropping-particle":"","family":"Duignan","given":"Anthony","non-dropping-particle":"","parse-names":false,"suffix":""}],"container-title":"Veterinary Medicine International","id":"ITEM-1","issued":{"date-parts":[["2011"]]},"title":"Perspectives on the history of bovine TB and the role of tuberculin in bovine TB eradication","type":"article-journal","volume":"2011"},"uris":["http://www.mendeley.com/documents/?uuid=f1e5f0bc-7305-44b4-a4c4-c0a81468b600"]},{"id":"ITEM-2","itemData":{"DOI":"10.1016/j.tim.2008.06.005","ISSN":"0966842X","abstract":"Bovine tuberculosis (bTB; Mycobacterium bovis) is a bacterial infection of cattle that also affects certain wildlife species. Culling badgers (Meles meles), the principal wildlife host, results in perturbation of the badger population and an increased level of disease in cattle. Therefore, the priority for future management must be to minimize the risk of disease transmission by finding new ways to reduce the contact rate among the host community. At the farm level, targeting those individuals that represent an elevated risk of transmission might prove to be effective. At the landscape level, risk mapping can provide the basis for targeted surveillance of the host community. Here, we review the current evidence for bTB persistence in Britain and make recommendations for future management and research. © 2008 Elsevier Ltd. All rights reserved.","author":[{"dropping-particle":"","family":"White","given":"Piran C.L.","non-dropping-particle":"","parse-names":false,"suffix":""},{"dropping-particle":"","family":"Böhm","given":"Monika","non-dropping-particle":"","parse-names":false,"suffix":""},{"dropping-particle":"","family":"Marion","given":"Glenn","non-dropping-particle":"","parse-names":false,"suffix":""},{"dropping-particle":"","family":"Hutchings","given":"Michael R.","non-dropping-particle":"","parse-names":false,"suffix":""}],"container-title":"Trends in Microbiology","id":"ITEM-2","issue":"9","issued":{"date-parts":[["2008"]]},"page":"420-427","title":"Control of bovine tuberculosis in British livestock: there is no 'silver bullet'","type":"article-journal","volume":"16"},"uris":["http://www.mendeley.com/documents/?uuid=2c2e1aaf-26ff-4493-bbf3-fe049740cba1"]}],"mendeley":{"formattedCitation":"(Good and Duignan, 2011; White et al., 2008)","plainTextFormattedCitation":"(Good and Duignan, 2011; White et al., 2008)","previouslyFormattedCitation":"(Good and Duignan, 2011; White et al., 2008)"},"properties":{"noteIndex":0},"schema":"https://github.com/citation-style-language/schema/raw/master/csl-citation.json"}</w:instrText>
      </w:r>
      <w:r w:rsidR="00E95B67" w:rsidRPr="00581288">
        <w:fldChar w:fldCharType="separate"/>
      </w:r>
      <w:r w:rsidR="00E95B67" w:rsidRPr="00581288">
        <w:rPr>
          <w:noProof/>
        </w:rPr>
        <w:t>(Good and Duignan, 2011; White et al., 2008)</w:t>
      </w:r>
      <w:r w:rsidR="00E95B67" w:rsidRPr="00581288">
        <w:fldChar w:fldCharType="end"/>
      </w:r>
      <w:r w:rsidRPr="00581288">
        <w:t xml:space="preserve">. The aim of this study was to use </w:t>
      </w:r>
      <w:r w:rsidR="0092380A" w:rsidRPr="00581288">
        <w:t xml:space="preserve">herd-level </w:t>
      </w:r>
      <w:r w:rsidRPr="00581288">
        <w:t xml:space="preserve">data from 2012 to </w:t>
      </w:r>
      <w:r w:rsidR="003713F4" w:rsidRPr="00581288">
        <w:t xml:space="preserve">2019 </w:t>
      </w:r>
      <w:r w:rsidRPr="00581288">
        <w:t xml:space="preserve">to build classification tree and random forest </w:t>
      </w:r>
      <w:r w:rsidR="003713F4" w:rsidRPr="00581288">
        <w:t xml:space="preserve">models </w:t>
      </w:r>
      <w:r w:rsidRPr="00581288">
        <w:t>that</w:t>
      </w:r>
      <w:r w:rsidR="006959F9" w:rsidRPr="00581288">
        <w:t>,</w:t>
      </w:r>
      <w:r w:rsidRPr="00581288">
        <w:t xml:space="preserve"> </w:t>
      </w:r>
      <w:r w:rsidR="0092380A" w:rsidRPr="00581288">
        <w:lastRenderedPageBreak/>
        <w:t>after a herd-level assessment, would</w:t>
      </w:r>
      <w:r w:rsidRPr="00581288">
        <w:t xml:space="preserve"> classify herds with IR-only surveillance tests as high- or low-risk, depending on the likelihood of those IRs failing to clear the 60-day retest. This may allow for the targeted introduction of additional disease control measures to mitigate the risk posed by IRs. Here, we will evaluate the application of th</w:t>
      </w:r>
      <w:r w:rsidR="003713F4" w:rsidRPr="00581288">
        <w:t>e best</w:t>
      </w:r>
      <w:r w:rsidRPr="00581288">
        <w:t xml:space="preserve"> model to the dataset of IR-only surveillance tests in England in 2020, assessing how many extra IRs would be reclassified as reactors through severe reinterpretation of the disclosing test results in high-risk herds</w:t>
      </w:r>
      <w:r w:rsidR="0002245A" w:rsidRPr="00581288">
        <w:t>,</w:t>
      </w:r>
      <w:r w:rsidRPr="00581288">
        <w:t xml:space="preserve"> thus triggering new bTB incidents before the 60-day IR retest. This information could contribute to inform policy changes in the way IR-only herds are managed in England</w:t>
      </w:r>
      <w:r w:rsidR="00E64D6C" w:rsidRPr="00581288">
        <w:t>.</w:t>
      </w:r>
    </w:p>
    <w:p w14:paraId="41F3CBC5" w14:textId="2EE6039C" w:rsidR="009B117B" w:rsidRPr="00581288" w:rsidRDefault="00430217" w:rsidP="00E36289">
      <w:pPr>
        <w:pStyle w:val="Title1"/>
      </w:pPr>
      <w:r w:rsidRPr="00581288">
        <w:t>M</w:t>
      </w:r>
      <w:r w:rsidR="0081376D" w:rsidRPr="00581288">
        <w:t>ethods</w:t>
      </w:r>
    </w:p>
    <w:p w14:paraId="4EB0BC46" w14:textId="65DDCCB9" w:rsidR="006B2889" w:rsidRPr="00581288" w:rsidRDefault="00587776" w:rsidP="00F4774A">
      <w:pPr>
        <w:pStyle w:val="Title2"/>
        <w:numPr>
          <w:ilvl w:val="0"/>
          <w:numId w:val="0"/>
        </w:numPr>
      </w:pPr>
      <w:r w:rsidRPr="00581288">
        <w:t xml:space="preserve">2.1 </w:t>
      </w:r>
      <w:r w:rsidR="006B2889" w:rsidRPr="00581288">
        <w:t>Source datasets</w:t>
      </w:r>
    </w:p>
    <w:p w14:paraId="791DC1F6" w14:textId="1428F2CA" w:rsidR="006B2889" w:rsidRPr="00581288" w:rsidRDefault="00C24401" w:rsidP="000075CC">
      <w:pPr>
        <w:spacing w:after="0"/>
      </w:pPr>
      <w:bookmarkStart w:id="6" w:name="_Hlk88027039"/>
      <w:r w:rsidRPr="00581288">
        <w:t xml:space="preserve">Cattle bTB-testing data held by the Animal and Plant Health Agency (APHA) were used, along with other data on potential herd-level predictors for </w:t>
      </w:r>
      <w:r w:rsidR="003713F4" w:rsidRPr="00581288">
        <w:t xml:space="preserve">active </w:t>
      </w:r>
      <w:r w:rsidRPr="00581288">
        <w:t>herds in England from 2012 to 2020, ranging from demographic herd characteristics and bTB-related variables (e.g. past bTB history from as early as January 2000) from the bTB management system</w:t>
      </w:r>
      <w:r w:rsidR="00ED4EC1" w:rsidRPr="00581288">
        <w:t xml:space="preserve"> (Sam)</w:t>
      </w:r>
      <w:r w:rsidR="003713F4" w:rsidRPr="00581288">
        <w:t>,</w:t>
      </w:r>
      <w:r w:rsidRPr="00581288">
        <w:t xml:space="preserve"> to cattle movements from the Cattle Tracing System (from as early as January 2012). An additional purpose-designed dataset comprising IR-only surveillance tests from 2012 to 2020 was populated by the APHA’s Data Systems Group. The outcome variable was </w:t>
      </w:r>
      <w:r w:rsidRPr="00581288">
        <w:rPr>
          <w:i/>
        </w:rPr>
        <w:t>Any reactor or IR (yes/no)</w:t>
      </w:r>
      <w:r w:rsidRPr="00581288">
        <w:t xml:space="preserve"> at the 60-day retest of IRs</w:t>
      </w:r>
      <w:bookmarkEnd w:id="6"/>
      <w:r w:rsidR="002B14D9" w:rsidRPr="00581288">
        <w:t>.</w:t>
      </w:r>
    </w:p>
    <w:p w14:paraId="5D7B42D8" w14:textId="7820E06F" w:rsidR="002B14D9" w:rsidRPr="00581288" w:rsidRDefault="002B14D9" w:rsidP="002F396C">
      <w:pPr>
        <w:pStyle w:val="Title2"/>
        <w:numPr>
          <w:ilvl w:val="0"/>
          <w:numId w:val="0"/>
        </w:numPr>
      </w:pPr>
      <w:r w:rsidRPr="00581288">
        <w:t xml:space="preserve">2.2 Data </w:t>
      </w:r>
      <w:r w:rsidR="00C24401" w:rsidRPr="00581288">
        <w:t>eligibility</w:t>
      </w:r>
    </w:p>
    <w:p w14:paraId="1533B02E" w14:textId="77777777" w:rsidR="00C24401" w:rsidRPr="00581288" w:rsidRDefault="00C24401" w:rsidP="00C24401">
      <w:bookmarkStart w:id="7" w:name="_Hlk88027040"/>
      <w:r w:rsidRPr="00581288">
        <w:t xml:space="preserve">Non-eligible tests in England were excluded. These were: </w:t>
      </w:r>
    </w:p>
    <w:p w14:paraId="7AFA8DF4" w14:textId="097E9309" w:rsidR="00C24401" w:rsidRPr="00581288" w:rsidRDefault="00C24401" w:rsidP="00C24401">
      <w:pPr>
        <w:pStyle w:val="ListParagraph"/>
        <w:numPr>
          <w:ilvl w:val="0"/>
          <w:numId w:val="1"/>
        </w:numPr>
        <w:spacing w:after="120"/>
      </w:pPr>
      <w:r w:rsidRPr="00581288">
        <w:lastRenderedPageBreak/>
        <w:t>Tests where the number of IRs with all possible outcomes at the 60-day retest (i.e. IR, reactor, clear, dangerous contact, negative, slaughterhouse case, dead,</w:t>
      </w:r>
      <w:r w:rsidR="003713F4" w:rsidRPr="00581288">
        <w:t xml:space="preserve"> and</w:t>
      </w:r>
      <w:r w:rsidRPr="00581288">
        <w:t xml:space="preserve"> slaughter) did not match the number of IRs </w:t>
      </w:r>
      <w:r w:rsidR="006959F9" w:rsidRPr="00581288">
        <w:t>detected at the surveillance test</w:t>
      </w:r>
      <w:r w:rsidRPr="00581288">
        <w:t>;</w:t>
      </w:r>
    </w:p>
    <w:p w14:paraId="7924C126" w14:textId="77777777" w:rsidR="00C24401" w:rsidRPr="00581288" w:rsidRDefault="00C24401" w:rsidP="00C24401">
      <w:pPr>
        <w:numPr>
          <w:ilvl w:val="0"/>
          <w:numId w:val="1"/>
        </w:numPr>
        <w:spacing w:after="120"/>
      </w:pPr>
      <w:r w:rsidRPr="00581288">
        <w:t xml:space="preserve">Tests where there was not a 60-day retest (i.e. retest variable is “No”), and </w:t>
      </w:r>
    </w:p>
    <w:p w14:paraId="1212C438" w14:textId="4621DF0A" w:rsidR="00C24401" w:rsidRPr="00581288" w:rsidRDefault="00C24401" w:rsidP="00C24401">
      <w:pPr>
        <w:numPr>
          <w:ilvl w:val="0"/>
          <w:numId w:val="1"/>
        </w:numPr>
        <w:spacing w:after="120"/>
      </w:pPr>
      <w:r w:rsidRPr="00581288">
        <w:t>Tests where the number of IRs with outcomes of interest at the 60-day retest (i.e.</w:t>
      </w:r>
      <w:r w:rsidR="004C0D29">
        <w:t xml:space="preserve"> the possible results to the skin test:</w:t>
      </w:r>
      <w:r w:rsidRPr="00581288">
        <w:t xml:space="preserve"> IR, reactor</w:t>
      </w:r>
      <w:r w:rsidR="003713F4" w:rsidRPr="00581288">
        <w:t>,</w:t>
      </w:r>
      <w:r w:rsidRPr="00581288">
        <w:t xml:space="preserve"> and clear) did not match the number of IRs d</w:t>
      </w:r>
      <w:r w:rsidR="006959F9" w:rsidRPr="00581288">
        <w:t>etected</w:t>
      </w:r>
      <w:r w:rsidR="004C0D29">
        <w:t xml:space="preserve"> in the disclosing test</w:t>
      </w:r>
      <w:r w:rsidR="008006C0">
        <w:t xml:space="preserve"> (i.e. there were other outcomes apart from the ones of interest)</w:t>
      </w:r>
      <w:r w:rsidRPr="00581288">
        <w:t>.</w:t>
      </w:r>
    </w:p>
    <w:p w14:paraId="67158260" w14:textId="57A32505" w:rsidR="009575B7" w:rsidRPr="00581288" w:rsidRDefault="00C24401" w:rsidP="00C24401">
      <w:pPr>
        <w:numPr>
          <w:ilvl w:val="0"/>
          <w:numId w:val="1"/>
        </w:numPr>
        <w:spacing w:after="0"/>
      </w:pPr>
      <w:r w:rsidRPr="00581288">
        <w:t>IR-only tests in herds that were not present in the demographic</w:t>
      </w:r>
      <w:r w:rsidR="00EF4083" w:rsidRPr="00581288">
        <w:t>, movements</w:t>
      </w:r>
      <w:r w:rsidR="005E4C2A">
        <w:t>,</w:t>
      </w:r>
      <w:r w:rsidRPr="00581288">
        <w:t xml:space="preserve"> and bTB history variables dataset</w:t>
      </w:r>
      <w:r w:rsidR="00EF4083" w:rsidRPr="00581288">
        <w:t>s</w:t>
      </w:r>
      <w:r w:rsidRPr="00581288">
        <w:t xml:space="preserve"> were also excluded from the analysis. </w:t>
      </w:r>
      <w:r w:rsidR="008F6826" w:rsidRPr="00581288">
        <w:t>Any t</w:t>
      </w:r>
      <w:r w:rsidRPr="00581288">
        <w:t xml:space="preserve">ests in herds that were part of multi-herd holdings were </w:t>
      </w:r>
      <w:r w:rsidR="008F6826" w:rsidRPr="00581288">
        <w:t>also</w:t>
      </w:r>
      <w:r w:rsidRPr="00581288">
        <w:t xml:space="preserve"> removed, since the movement data is extracted at holding level</w:t>
      </w:r>
      <w:bookmarkEnd w:id="7"/>
      <w:r w:rsidRPr="00581288">
        <w:t xml:space="preserve">. </w:t>
      </w:r>
    </w:p>
    <w:p w14:paraId="6337252F" w14:textId="662DECCE" w:rsidR="006B2889" w:rsidRPr="00581288" w:rsidRDefault="007352B8" w:rsidP="000075CC">
      <w:pPr>
        <w:pStyle w:val="Title2"/>
        <w:numPr>
          <w:ilvl w:val="0"/>
          <w:numId w:val="0"/>
        </w:numPr>
        <w:spacing w:after="0" w:line="480" w:lineRule="auto"/>
      </w:pPr>
      <w:r w:rsidRPr="00581288">
        <w:t>2.</w:t>
      </w:r>
      <w:r w:rsidR="00C24401" w:rsidRPr="00581288">
        <w:t>3</w:t>
      </w:r>
      <w:r w:rsidRPr="00581288">
        <w:t xml:space="preserve"> </w:t>
      </w:r>
      <w:r w:rsidR="006B2889" w:rsidRPr="00581288">
        <w:t>Data analysis</w:t>
      </w:r>
    </w:p>
    <w:p w14:paraId="36194124" w14:textId="6BE646E9" w:rsidR="00D761F4" w:rsidRPr="00581288" w:rsidRDefault="001D6972" w:rsidP="000075CC">
      <w:pPr>
        <w:pStyle w:val="Title3"/>
        <w:numPr>
          <w:ilvl w:val="0"/>
          <w:numId w:val="0"/>
        </w:numPr>
        <w:spacing w:after="0" w:line="480" w:lineRule="auto"/>
        <w:rPr>
          <w:i/>
        </w:rPr>
      </w:pPr>
      <w:r w:rsidRPr="00581288">
        <w:rPr>
          <w:i/>
        </w:rPr>
        <w:t>2.</w:t>
      </w:r>
      <w:r w:rsidR="00C24401" w:rsidRPr="00581288">
        <w:rPr>
          <w:i/>
        </w:rPr>
        <w:t>3</w:t>
      </w:r>
      <w:r w:rsidRPr="00581288">
        <w:rPr>
          <w:i/>
        </w:rPr>
        <w:t xml:space="preserve">.1 </w:t>
      </w:r>
      <w:r w:rsidR="00975F12" w:rsidRPr="00581288">
        <w:rPr>
          <w:i/>
        </w:rPr>
        <w:t xml:space="preserve">Descriptive </w:t>
      </w:r>
      <w:r w:rsidR="00D761F4" w:rsidRPr="00581288">
        <w:rPr>
          <w:i/>
        </w:rPr>
        <w:t>data analysis</w:t>
      </w:r>
    </w:p>
    <w:p w14:paraId="3E6E10CB" w14:textId="75FCD404" w:rsidR="00D761F4" w:rsidRDefault="00C24401" w:rsidP="000075CC">
      <w:pPr>
        <w:spacing w:after="0"/>
      </w:pPr>
      <w:bookmarkStart w:id="8" w:name="_Hlk88027268"/>
      <w:r w:rsidRPr="00581288">
        <w:t xml:space="preserve">The initial dataset used for analysis was made up of the outcome variable (i.e. </w:t>
      </w:r>
      <w:r w:rsidRPr="00581288">
        <w:rPr>
          <w:i/>
        </w:rPr>
        <w:t>Any reactor or IR at the retest [yes/no]</w:t>
      </w:r>
      <w:r w:rsidRPr="00581288">
        <w:t xml:space="preserve">) and </w:t>
      </w:r>
      <w:r w:rsidR="00EF4083" w:rsidRPr="00581288">
        <w:t>9</w:t>
      </w:r>
      <w:r w:rsidR="00604117">
        <w:t>3</w:t>
      </w:r>
      <w:r w:rsidRPr="00581288">
        <w:t xml:space="preserve"> predictors (supplementary materials S2). </w:t>
      </w:r>
      <w:r w:rsidR="0084279D" w:rsidRPr="00581288">
        <w:t>Numerical variables were not categorized. Tests in multipl</w:t>
      </w:r>
      <w:r w:rsidR="004C0D29">
        <w:t>e</w:t>
      </w:r>
      <w:r w:rsidR="0084279D" w:rsidRPr="00581288">
        <w:t xml:space="preserve">-occurring herds in a given year or across the 2012-2020 study period </w:t>
      </w:r>
      <w:r w:rsidR="00B404E1" w:rsidRPr="00581288">
        <w:t>(supplementary materials S3)</w:t>
      </w:r>
      <w:r w:rsidR="00B404E1">
        <w:t xml:space="preserve"> </w:t>
      </w:r>
      <w:r w:rsidR="0084279D" w:rsidRPr="00581288">
        <w:t xml:space="preserve">were not excluded, since the machine learning algorithms used don’t assume independence of observations </w:t>
      </w:r>
      <w:r w:rsidR="0084279D" w:rsidRPr="00581288">
        <w:fldChar w:fldCharType="begin" w:fldLock="1"/>
      </w:r>
      <w:r w:rsidR="0084279D" w:rsidRPr="00581288">
        <w:instrText>ADDIN CSL_CITATION {"citationItems":[{"id":"ITEM-1","itemData":{"DOI":"10.1016/j.peva.2007.06.006","ISBN":"9780387781884","ISSN":"01665316","PMID":"10911016","author":[{"dropping-particle":"","family":"James","given":"G.","non-dropping-particle":"","parse-names":false,"suffix":""},{"dropping-particle":"","family":"Witten","given":"D.","non-dropping-particle":"","parse-names":false,"suffix":""},{"dropping-particle":"","family":"Hastie","given":"T.","non-dropping-particle":"","parse-names":false,"suffix":""},{"dropping-particle":"","family":"Tibshirani","given":"R.","non-dropping-particle":"","parse-names":false,"suffix":""}],"editor":[{"dropping-particle":"","family":"Casella","given":"G.","non-dropping-particle":"","parse-names":false,"suffix":""},{"dropping-particle":"","family":"Fienberg","given":"S.","non-dropping-particle":"","parse-names":false,"suffix":""},{"dropping-particle":"","family":"Olkin","given":"I.","non-dropping-particle":"","parse-names":false,"suffix":""}],"id":"ITEM-1","issued":{"date-parts":[["2014"]]},"publisher":"Springer US","title":"An Introduction to Statistical Learning with Applications in R","type":"book"},"uris":["http://www.mendeley.com/documents/?uuid=00199a1c-8798-4d37-bcf1-d70bbaddcb74"]},{"id":"ITEM-2","itemData":{"abstract":"Selecting a learning algorithm to implement for a particular application on the basis of performance still remains an ad-hoc process using fundamental benchmarks such as evaluating a classifier's overall loss function and misclassification metrics. In this paper we address the difficulty of model selection by evaluating the overall classification performance between random forest and logistic regression for datasets comprised of various underlying structures: (1) increasing the variance in the explanatory and noise variables, (2) increasing the number of noise variables, (3) increasing the number of explanatory variables, (4) increasing the number of observations. We developed a model evaluation tool capable of simulating classifier models for these dataset characteristics and performance metrics such as true positive rate, false positive rate, and accuracy under specific conditions. We found that when increasing the variance in the explanatory and noise variables, logistic regression consistently performed with a higher overall accuracy as compared to random forest. However, the true positive rate for random forest was higher than logistic regression and yielded a higher false positive rate for dataset with increasing noise variables. Each case study consisted of 1000 simulations and the model performances consistently showed the false positive rate for random forest with 100 trees to be statistically different than logistic regression. In all four cases, logistic regression and random forest achieved varying relative classification scores under various simulated dataset conditions.","author":[{"dropping-particle":"","family":"Kirasich","given":"K.;","non-dropping-particle":"","parse-names":false,"suffix":""},{"dropping-particle":"","family":"Smith","given":"T. ;","non-dropping-particle":"","parse-names":false,"suffix":""},{"dropping-particle":"","family":"Sadler","given":"Bi.","non-dropping-particle":"","parse-names":false,"suffix":""}],"container-title":"SMU Data Science Review","id":"ITEM-2","issue":"3","issued":{"date-parts":[["2018"]]},"number-of-pages":"9","title":"Random Forest vs Logistic Regression: Binary Classification for Heterogeneous Datasets","type":"report","volume":"1"},"uris":["http://www.mendeley.com/documents/?uuid=c8ad60d7-b40e-33b9-8208-a6cb90a6d555"]}],"mendeley":{"formattedCitation":"(James et al., 2014; Kirasich et al., 2018)","plainTextFormattedCitation":"(James et al., 2014; Kirasich et al., 2018)","previouslyFormattedCitation":"(James et al., 2014; Kirasich et al., 2018)"},"properties":{"noteIndex":0},"schema":"https://github.com/citation-style-language/schema/raw/master/csl-citation.json"}</w:instrText>
      </w:r>
      <w:r w:rsidR="0084279D" w:rsidRPr="00581288">
        <w:fldChar w:fldCharType="separate"/>
      </w:r>
      <w:r w:rsidR="0084279D" w:rsidRPr="00581288">
        <w:rPr>
          <w:noProof/>
        </w:rPr>
        <w:t>(James et al., 2014; Kirasich et al., 2018)</w:t>
      </w:r>
      <w:r w:rsidR="0084279D" w:rsidRPr="00581288">
        <w:fldChar w:fldCharType="end"/>
      </w:r>
      <w:r w:rsidR="0084279D" w:rsidRPr="00581288">
        <w:t xml:space="preserve">. </w:t>
      </w:r>
      <w:r w:rsidRPr="00581288">
        <w:t xml:space="preserve">The presence of missing values was assessed and dealt with by </w:t>
      </w:r>
      <w:r w:rsidRPr="00581288">
        <w:lastRenderedPageBreak/>
        <w:t xml:space="preserve">removing tests with any missing observations (i.e. complete-case analysis) </w:t>
      </w:r>
      <w:r w:rsidR="000E389F" w:rsidRPr="00581288">
        <w:fldChar w:fldCharType="begin" w:fldLock="1"/>
      </w:r>
      <w:r w:rsidR="000E389F" w:rsidRPr="00581288">
        <w:instrText>ADDIN CSL_CITATION {"citationItems":[{"id":"ITEM-1","itemData":{"DOI":"10.1037/pag0000046","author":[{"dropping-particle":"","family":"Hayes","given":"Timothy","non-dropping-particle":"","parse-names":false,"suffix":""},{"dropping-particle":"","family":"Usami","given":"Satoshi","non-dropping-particle":"","parse-names":false,"suffix":""},{"dropping-particle":"","family":"Jacobucci","given":"Ross","non-dropping-particle":"","parse-names":false,"suffix":""},{"dropping-particle":"","family":"McArdle","given":"John J","non-dropping-particle":"","parse-names":false,"suffix":""}],"container-title":"Psychology and Aging","id":"ITEM-1","issue":"4","issued":{"date-parts":[["2015"]]},"note":"1939-1498\n0882-7974\n26389526[pmid]\nPMC4743660[pmcid]\n2015-43586-001[PII]\nPsychol Aging","page":"911-929","title":"Using classification and regression trees (CART) and random forests to analyze attrition: results from two simulations","type":"article-journal","volume":"30"},"uris":["http://www.mendeley.com/documents/?uuid=69199262-d2eb-4caa-b675-306f4f43a525"]},{"id":"ITEM-2","itemData":{"DOI":"10.1007/978-0-387-09823-4","author":[{"dropping-particle":"","family":"Maimon","given":"O","non-dropping-particle":"","parse-names":false,"suffix":""},{"dropping-particle":"","family":"Rokach","given":"L","non-dropping-particle":"","parse-names":false,"suffix":""}],"edition":"2nd","id":"ITEM-2","issued":{"date-parts":[["2010"]]},"publisher":"Springer","title":"Data Mining and Knowledge Discovery Handbook","type":"book"},"uris":["http://www.mendeley.com/documents/?uuid=1ee9d61e-97ee-487a-9b8a-f6f81c6a67c3"]},{"id":"ITEM-3","itemData":{"author":[{"dropping-particle":"","family":"Pedersen","given":"A B","non-dropping-particle":"","parse-names":false,"suffix":""},{"dropping-particle":"","family":"Mikkelsen","given":"E M","non-dropping-particle":"","parse-names":false,"suffix":""},{"dropping-particle":"","family":"Cronin-Fenton","given":"D","non-dropping-particle":"","parse-names":false,"suffix":""},{"dropping-particle":"","family":"Kristensen","given":"N R","non-dropping-particle":"","parse-names":false,"suffix":""},{"dropping-particle":"","family":"Pham","given":"T M","non-dropping-particle":"","parse-names":false,"suffix":""},{"dropping-particle":"","family":"Pedersen","given":"L","non-dropping-particle":"","parse-names":false,"suffix":""},{"dropping-particle":"","family":"Petersen","given":"I","non-dropping-particle":"","parse-names":false,"suffix":""}],"container-title":"Clinical Epidemiology","id":"ITEM-3","issued":{"date-parts":[["2017"]]},"page":"157-166","publisher-place":"Department of Clinical Epidemiology, Aarhus University Hospital, Aarhus N, Denmark. FAU - Mikkelsen, Ellen M Department of Clinical Epidemiology, Aarhus University Hospital, Aarhus N, Denmark. FAU - Cronin-Fenton, Deirdre Department of Clinical Epidemiolo","title":"Missing data and multiple imputation in clinical epidemiological research","type":"article-journal","volume":"9"},"uris":["http://www.mendeley.com/documents/?uuid=6ee22d5c-d54e-451d-a4da-3aae7b463d86"]}],"mendeley":{"formattedCitation":"(Hayes et al., 2015; Maimon and Rokach, 2010; Pedersen et al., 2017)","plainTextFormattedCitation":"(Hayes et al., 2015; Maimon and Rokach, 2010; Pedersen et al., 2017)","previouslyFormattedCitation":"(Hayes et al., 2015; Maimon and Rokach, 2010; Pedersen et al., 2017)"},"properties":{"noteIndex":0},"schema":"https://github.com/citation-style-language/schema/raw/master/csl-citation.json"}</w:instrText>
      </w:r>
      <w:r w:rsidR="000E389F" w:rsidRPr="00581288">
        <w:fldChar w:fldCharType="separate"/>
      </w:r>
      <w:r w:rsidR="000E389F" w:rsidRPr="00581288">
        <w:rPr>
          <w:noProof/>
        </w:rPr>
        <w:t>(Hayes et al., 2015; Maimon and Rokach, 2010; Pedersen et al., 2017)</w:t>
      </w:r>
      <w:r w:rsidR="000E389F" w:rsidRPr="00581288">
        <w:fldChar w:fldCharType="end"/>
      </w:r>
      <w:r w:rsidRPr="00581288">
        <w:t xml:space="preserve">. </w:t>
      </w:r>
    </w:p>
    <w:p w14:paraId="5F3B29A9" w14:textId="5C893F8B" w:rsidR="008D5E71" w:rsidRPr="002048EA" w:rsidRDefault="008D5E71" w:rsidP="008D5E71">
      <w:pPr>
        <w:pStyle w:val="Title3"/>
        <w:numPr>
          <w:ilvl w:val="0"/>
          <w:numId w:val="0"/>
        </w:numPr>
        <w:spacing w:after="0" w:line="480" w:lineRule="auto"/>
        <w:rPr>
          <w:i/>
        </w:rPr>
      </w:pPr>
      <w:r w:rsidRPr="002048EA">
        <w:rPr>
          <w:i/>
        </w:rPr>
        <w:t>2.3.2 Feature selection</w:t>
      </w:r>
    </w:p>
    <w:p w14:paraId="185791CA" w14:textId="2CA310DA" w:rsidR="008D5E71" w:rsidRDefault="008D5E71" w:rsidP="002048EA">
      <w:pPr>
        <w:pStyle w:val="Title3"/>
        <w:numPr>
          <w:ilvl w:val="0"/>
          <w:numId w:val="0"/>
        </w:numPr>
        <w:spacing w:after="0" w:line="480" w:lineRule="auto"/>
      </w:pPr>
      <w:r>
        <w:t xml:space="preserve">To aid the practical management of IR-only surveillance tests in England we purposefully selected only the top 20 </w:t>
      </w:r>
      <w:r w:rsidR="005E4C2A">
        <w:t>variable</w:t>
      </w:r>
      <w:r>
        <w:t>s to be included in the classification tree or random forest analysis. This feature selection process was carried out separately for each algorithm prior to the development of the classification models.</w:t>
      </w:r>
    </w:p>
    <w:bookmarkEnd w:id="8"/>
    <w:p w14:paraId="0DB29855" w14:textId="69B3D739" w:rsidR="00AC4947" w:rsidRPr="00581288" w:rsidRDefault="001D6972" w:rsidP="000075CC">
      <w:pPr>
        <w:pStyle w:val="Title3"/>
        <w:numPr>
          <w:ilvl w:val="0"/>
          <w:numId w:val="0"/>
        </w:numPr>
        <w:spacing w:after="0" w:line="480" w:lineRule="auto"/>
        <w:rPr>
          <w:i/>
        </w:rPr>
      </w:pPr>
      <w:r w:rsidRPr="00581288">
        <w:rPr>
          <w:i/>
        </w:rPr>
        <w:t>2.</w:t>
      </w:r>
      <w:r w:rsidR="00C24401" w:rsidRPr="00581288">
        <w:rPr>
          <w:i/>
        </w:rPr>
        <w:t>3</w:t>
      </w:r>
      <w:r w:rsidRPr="00581288">
        <w:rPr>
          <w:i/>
        </w:rPr>
        <w:t>.</w:t>
      </w:r>
      <w:r w:rsidR="00E12412">
        <w:rPr>
          <w:i/>
        </w:rPr>
        <w:t>3</w:t>
      </w:r>
      <w:r w:rsidR="00E12412" w:rsidRPr="00581288">
        <w:rPr>
          <w:i/>
        </w:rPr>
        <w:t xml:space="preserve"> </w:t>
      </w:r>
      <w:r w:rsidR="00C24401" w:rsidRPr="00581288">
        <w:rPr>
          <w:i/>
        </w:rPr>
        <w:t>Classification tree analysis</w:t>
      </w:r>
    </w:p>
    <w:p w14:paraId="429417C7" w14:textId="335488B0" w:rsidR="00074A4E" w:rsidRPr="00581288" w:rsidRDefault="00C24401" w:rsidP="00074A4E">
      <w:pPr>
        <w:spacing w:after="0"/>
      </w:pPr>
      <w:bookmarkStart w:id="9" w:name="_Hlk88027363"/>
      <w:r w:rsidRPr="00581288">
        <w:t xml:space="preserve">Classification tree analysis was carried out using the CART algorithm </w:t>
      </w:r>
      <w:r w:rsidRPr="00581288">
        <w:fldChar w:fldCharType="begin" w:fldLock="1"/>
      </w:r>
      <w:r w:rsidRPr="00581288">
        <w:instrText>ADDIN CSL_CITATION {"citationItems":[{"id":"ITEM-1","itemData":{"author":[{"dropping-particle":"","family":"Breiman","given":"L.","non-dropping-particle":"","parse-names":false,"suffix":""},{"dropping-particle":"","family":"Friedman","given":"J.H.","non-dropping-particle":"","parse-names":false,"suffix":""},{"dropping-particle":"","family":"Olsen","given":"R.A.","non-dropping-particle":"","parse-names":false,"suffix":""},{"dropping-particle":"","family":"Stone","given":"C.J.","non-dropping-particle":"","parse-names":false,"suffix":""}],"id":"ITEM-1","issued":{"date-parts":[["1984"]]},"publisher":"Wadsworth Inc","title":"Classification and Regression Trees","type":"book"},"uris":["http://www.mendeley.com/documents/?uuid=bfd274b2-2587-4666-a994-780916cd9dd2"]},{"id":"ITEM-2","itemData":{"author":[{"dropping-particle":"","family":"Therneau","given":"Terry M.","non-dropping-particle":"","parse-names":false,"suffix":""},{"dropping-particle":"","family":"Atkinson","given":"Elizabeth J.","non-dropping-particle":"","parse-names":false,"suffix":""}],"id":"ITEM-2","issued":{"date-parts":[["2018"]]},"number":"4.1-15","title":"An introduction to recursive partitioning using the rpart routines. R package version 4.1-15.","type":"article"},"uris":["http://www.mendeley.com/documents/?uuid=004ee1fb-8747-4a3f-999c-c67213447dac"]}],"mendeley":{"formattedCitation":"(Breiman et al., 1984; Therneau and Atkinson, 2018)","plainTextFormattedCitation":"(Breiman et al., 1984; Therneau and Atkinson, 2018)","previouslyFormattedCitation":"(Breiman et al., 1984; Therneau and Atkinson, 2018)"},"properties":{"noteIndex":0},"schema":"https://github.com/citation-style-language/schema/raw/master/csl-citation.json"}</w:instrText>
      </w:r>
      <w:r w:rsidRPr="00581288">
        <w:fldChar w:fldCharType="separate"/>
      </w:r>
      <w:r w:rsidRPr="00581288">
        <w:rPr>
          <w:noProof/>
        </w:rPr>
        <w:t>(Breiman et al., 1984; Therneau and Atkinson, 2018)</w:t>
      </w:r>
      <w:r w:rsidRPr="00581288">
        <w:fldChar w:fldCharType="end"/>
      </w:r>
      <w:r w:rsidRPr="00581288">
        <w:t xml:space="preserve"> on the training dataset, resulting from the split of the resulting IR-only surveillance tests dataset from 2012 to 2019 into training and testing sets, using an 80:20 (training: testing) random split </w:t>
      </w:r>
      <w:r w:rsidRPr="00581288">
        <w:fldChar w:fldCharType="begin" w:fldLock="1"/>
      </w:r>
      <w:r w:rsidRPr="00581288">
        <w:instrText>ADDIN CSL_CITATION {"citationItems":[{"id":"ITEM-1","itemData":{"DOI":"http://dx.doi.org/10.1016/j.jcrc.2017.02.019","author":[{"dropping-particle":"","family":"Fei","given":"Yang","non-dropping-particle":"","parse-names":false,"suffix":""},{"dropping-particle":"","family":"Gao","given":"Kun","non-dropping-particle":"","parse-names":false,"suffix":""},{"dropping-particle":"","family":"Hu","given":"Jian","non-dropping-particle":"","parse-names":false,"suffix":""},{"dropping-particle":"","family":"Tu","given":"Jianfeng","non-dropping-particle":"","parse-names":false,"suffix":""},{"dropping-particle":"","family":"Li","given":"Wei-qin","non-dropping-particle":"","parse-names":false,"suffix":""},{"dropping-particle":"","family":"Wang","given":"Wei","non-dropping-particle":"","parse-names":false,"suffix":""},{"dropping-particle":"","family":"Zong","given":"Guang-quan","non-dropping-particle":"","parse-names":false,"suffix":""}],"container-title":"Journal of Critical Care","id":"ITEM-1","issued":{"date-parts":[["2017"]]},"note":"0883-9441","page":"124-130","title":"Predicting the incidence of portosplenomesenteric vein thrombosis in patients with acute pancreatitis using classification and regression tree algorithm","type":"article-journal","volume":"39"},"uris":["http://www.mendeley.com/documents/?uuid=7ee83d42-c53c-4936-9ae5-cdb66b4bbdda"]},{"id":"ITEM-2","itemData":{"ISBN":"9781986406857","author":[{"dropping-particle":"","family":"Kassambara","given":"A","non-dropping-particle":"","parse-names":false,"suffix":""}],"id":"ITEM-2","issued":{"date-parts":[["2018"]]},"publisher":"CreateSpace Independent Publishing Platform","title":"Machine Learning Essentials: Practical Guide in R","type":"book"},"uris":["http://www.mendeley.com/documents/?uuid=ea070e62-d4b2-4f33-9022-17b230a7a152"]},{"id":"ITEM-3","itemData":{"DOI":"http://dx.doi.org/10.1016/j.fob.2012.04.007","author":[{"dropping-particle":"","family":"Kawamura","given":"Yoshihiro","non-dropping-particle":"","parse-names":false,"suffix":""},{"dropping-particle":"","family":"Takasaki","given":"Shigeru","non-dropping-particle":"","parse-names":false,"suffix":""},{"dropping-particle":"","family":"Mizokami","given":"Masashi","non-dropping-particle":"","parse-names":false,"suffix":""}],"container-title":"FEBS Open Bio","id":"ITEM-3","issued":{"date-parts":[["2012"]]},"note":"2211-5463","page":"98-102","title":"Using decision tree learning to predict the responsiveness of hepatitis C patients to drug treatment","type":"article-journal","volume":"2"},"uris":["http://www.mendeley.com/documents/?uuid=820dce86-c6e6-405c-8fcd-ba3bfc292076"]},{"id":"ITEM-4","itemData":{"DOI":"doi:10.1002/ 2015WR017394","abstract":"Abstract The controlled outflows from a reservoir or dam are highly dependent on the decisions made by the reservoir operators, instead of a natural hydrological process. Difference exists between the natural upstream inflows to reservoirs and the controlled outflows from reservoirs that supply the downstream users. With the decision maker's awareness of changing climate, reservoir management requires adaptable means to incorporate more information into decision making, such as water delivery requirement, environmental constraints, dry/wet conditions, etc. In this paper, a robust reservoir outflow simulation model is presented, which incorporates one of the well-developed data-mining models (Classification and Regression Tree) to predict the complicated human-controlled reservoir outflows and extract the reservoir operation patterns. A shuffled cross-validation approach is further implemented to improve CART's predictive performance. An application study of nine major reservoirs in California is carried out. Results produced by the enhanced CART, original CART, and random forest are compared with observation. The statistical measurements show that the enhanced CART and random forest overperform the CART control run in general, and the enhanced CART algorithm gives a better predictive performance over random forest in simulating the peak flows. The results also show that the proposed model is able to consistently and reasonably predict the expert release decisions. Experiments indicate that the release operation in the Oroville Lake is significantly dominated by SWP allocation amount and reservoirs with low elevation are more sensitive to inflow amount than others.","author":[{"dropping-particle":"","family":"Yang","given":"Tiantian","non-dropping-particle":"","parse-names":false,"suffix":""},{"dropping-particle":"","family":"Gao","given":"Xiaogang","non-dropping-particle":"","parse-names":false,"suffix":""},{"dropping-particle":"","family":"Sorooshian","given":"Soroosh","non-dropping-particle":"","parse-names":false,"suffix":""},{"dropping-particle":"","family":"Li","given":"Xin","non-dropping-particle":"","parse-names":false,"suffix":""}],"container-title":"Water Resources Research","id":"ITEM-4","issue":"3","issued":{"date-parts":[["2016"]]},"note":"doi: 10.1002/2015WR017394\n0043-1397","page":"1626-1651","title":"Simulating California reservoir operation using the classification and regression-tree algorithm combined with a shuffled cross-validation scheme","type":"article-journal","volume":"52"},"uris":["http://www.mendeley.com/documents/?uuid=5e486d0b-004a-4491-b9a6-8da5b45d359e"]}],"mendeley":{"formattedCitation":"(Fei et al., 2017; Kassambara, 2018; Kawamura et al., 2012; Yang et al., 2016)","plainTextFormattedCitation":"(Fei et al., 2017; Kassambara, 2018; Kawamura et al., 2012; Yang et al., 2016)","previouslyFormattedCitation":"(Fei et al., 2017; Kassambara, 2018; Kawamura et al., 2012; Yang et al., 2016)"},"properties":{"noteIndex":0},"schema":"https://github.com/citation-style-language/schema/raw/master/csl-citation.json"}</w:instrText>
      </w:r>
      <w:r w:rsidRPr="00581288">
        <w:fldChar w:fldCharType="separate"/>
      </w:r>
      <w:r w:rsidRPr="00581288">
        <w:rPr>
          <w:noProof/>
        </w:rPr>
        <w:t>(Fei et al., 2017; Kassambara, 2018; Kawamura et al., 2012; Yang et al., 2016)</w:t>
      </w:r>
      <w:r w:rsidRPr="00581288">
        <w:fldChar w:fldCharType="end"/>
      </w:r>
      <w:r w:rsidRPr="00581288">
        <w:t xml:space="preserve"> that maintained the proportion of cases and non-cases </w:t>
      </w:r>
      <w:r w:rsidRPr="00581288">
        <w:rPr>
          <w:lang w:val="es-ES"/>
        </w:rPr>
        <w:fldChar w:fldCharType="begin" w:fldLock="1"/>
      </w:r>
      <w:r w:rsidRPr="00581288">
        <w:instrText>ADDIN CSL_CITATION {"citationItems":[{"id":"ITEM-1","itemData":{"DOI":"10.18637/jss.v028.i05","author":[{"dropping-particle":"","family":"Kuhn","given":"M","non-dropping-particle":"","parse-names":false,"suffix":""}],"container-title":"Journal of statistical software","id":"ITEM-1","issue":"5","issued":{"date-parts":[["2008"]]},"note":"Near-zero variance reference, multivariable analysis","title":"Building predictive models in R using the caret package","type":"article-journal","volume":"28"},"uris":["http://www.mendeley.com/documents/?uuid=75701329-8d40-4f72-b134-a7747dbb8132"]}],"mendeley":{"formattedCitation":"(Kuhn, 2008)","plainTextFormattedCitation":"(Kuhn, 2008)","previouslyFormattedCitation":"(Kuhn, 2008)"},"properties":{"noteIndex":0},"schema":"https://github.com/citation-style-language/schema/raw/master/csl-citation.json"}</w:instrText>
      </w:r>
      <w:r w:rsidRPr="00581288">
        <w:rPr>
          <w:lang w:val="es-ES"/>
        </w:rPr>
        <w:fldChar w:fldCharType="separate"/>
      </w:r>
      <w:r w:rsidRPr="00581288">
        <w:rPr>
          <w:noProof/>
        </w:rPr>
        <w:t>(Kuhn, 2008)</w:t>
      </w:r>
      <w:r w:rsidRPr="00581288">
        <w:rPr>
          <w:lang w:val="es-ES"/>
        </w:rPr>
        <w:fldChar w:fldCharType="end"/>
      </w:r>
      <w:r w:rsidR="00A20238" w:rsidRPr="00581288">
        <w:t xml:space="preserve">. The algorithm repeatedly allocates herds into the most homogeneous groups by outcome class, choosing the best combination of predictor and cut-off point each time </w:t>
      </w:r>
      <w:r w:rsidR="00A20238" w:rsidRPr="00581288">
        <w:fldChar w:fldCharType="begin" w:fldLock="1"/>
      </w:r>
      <w:r w:rsidR="001849AF" w:rsidRPr="00581288">
        <w:instrText>ADDIN CSL_CITATION {"citationItems":[{"id":"ITEM-1","itemData":{"DOI":"10.1016/j.peva.2007.06.006","ISBN":"9780387781884","ISSN":"01665316","PMID":"10911016","author":[{"dropping-particle":"","family":"James","given":"G.","non-dropping-particle":"","parse-names":false,"suffix":""},{"dropping-particle":"","family":"Witten","given":"D.","non-dropping-particle":"","parse-names":false,"suffix":""},{"dropping-particle":"","family":"Hastie","given":"T.","non-dropping-particle":"","parse-names":false,"suffix":""},{"dropping-particle":"","family":"Tibshirani","given":"R.","non-dropping-particle":"","parse-names":false,"suffix":""}],"editor":[{"dropping-particle":"","family":"Casella","given":"G.","non-dropping-particle":"","parse-names":false,"suffix":""},{"dropping-particle":"","family":"Fienberg","given":"S.","non-dropping-particle":"","parse-names":false,"suffix":""},{"dropping-particle":"","family":"Olkin","given":"I.","non-dropping-particle":"","parse-names":false,"suffix":""}],"id":"ITEM-1","issued":{"date-parts":[["2014"]]},"publisher":"Springer US","title":"An Introduction to Statistical Learning with Applications in R","type":"book"},"uris":["http://www.mendeley.com/documents/?uuid=00199a1c-8798-4d37-bcf1-d70bbaddcb74"]},{"id":"ITEM-2","itemData":{"ISBN":"978-1-491-95296-2","author":[{"dropping-particle":"","family":"Bruce, P; Bruce","given":"A","non-dropping-particle":"","parse-names":false,"suffix":""}],"edition":"First Edit","id":"ITEM-2","issued":{"date-parts":[["2017"]]},"number-of-pages":"320","publisher":"O'Reilly Media, Inc.","title":"Practical Statistics for Data Scientists","type":"book"},"uris":["http://www.mendeley.com/documents/?uuid=026c8e89-dd55-4e67-8add-d8a4616be2c0"]}],"mendeley":{"formattedCitation":"(Bruce, P; Bruce, 2017; James et al., 2014)","plainTextFormattedCitation":"(Bruce, P; Bruce, 2017; James et al., 2014)","previouslyFormattedCitation":"(Bruce, P; Bruce, 2017; James et al., 2014)"},"properties":{"noteIndex":0},"schema":"https://github.com/citation-style-language/schema/raw/master/csl-citation.json"}</w:instrText>
      </w:r>
      <w:r w:rsidR="00A20238" w:rsidRPr="00581288">
        <w:fldChar w:fldCharType="separate"/>
      </w:r>
      <w:r w:rsidR="00A20238" w:rsidRPr="00581288">
        <w:rPr>
          <w:noProof/>
        </w:rPr>
        <w:t>(Bruce, P; Bruce, 2017; James et al., 2014)</w:t>
      </w:r>
      <w:r w:rsidR="00A20238" w:rsidRPr="00581288">
        <w:fldChar w:fldCharType="end"/>
      </w:r>
      <w:r w:rsidR="00A20238" w:rsidRPr="00581288">
        <w:t xml:space="preserve">. </w:t>
      </w:r>
      <w:r w:rsidR="00074A4E" w:rsidRPr="00581288">
        <w:t xml:space="preserve">The </w:t>
      </w:r>
      <w:proofErr w:type="spellStart"/>
      <w:r w:rsidR="00074A4E" w:rsidRPr="00581288">
        <w:t>gini</w:t>
      </w:r>
      <w:proofErr w:type="spellEnd"/>
      <w:r w:rsidR="00074A4E" w:rsidRPr="00581288">
        <w:t xml:space="preserve"> or purity index (G)</w:t>
      </w:r>
      <w:r w:rsidR="00476234">
        <w:t>,</w:t>
      </w:r>
      <w:r w:rsidR="00074A4E" w:rsidRPr="00581288">
        <w:t xml:space="preserve"> used as the splitting criteria</w:t>
      </w:r>
      <w:r w:rsidR="00476234">
        <w:t>,</w:t>
      </w:r>
      <w:r w:rsidR="00074A4E" w:rsidRPr="00581288">
        <w:t xml:space="preserve"> is defined as:</w:t>
      </w:r>
    </w:p>
    <w:p w14:paraId="466113CB" w14:textId="77777777" w:rsidR="00074A4E" w:rsidRPr="00581288" w:rsidRDefault="00074A4E" w:rsidP="00074A4E">
      <w:pPr>
        <w:spacing w:after="0"/>
        <w:jc w:val="center"/>
      </w:pPr>
      <m:oMath>
        <m:r>
          <w:rPr>
            <w:rFonts w:ascii="Cambria Math" w:hAnsi="Cambria Math"/>
          </w:rPr>
          <m:t>G=</m:t>
        </m:r>
        <m:nary>
          <m:naryPr>
            <m:chr m:val="∑"/>
            <m:grow m:val="1"/>
            <m:ctrlPr>
              <w:rPr>
                <w:rFonts w:ascii="Cambria Math" w:hAnsi="Cambria Math"/>
              </w:rPr>
            </m:ctrlPr>
          </m:naryPr>
          <m:sub>
            <m:r>
              <w:rPr>
                <w:rFonts w:ascii="Cambria Math" w:eastAsia="Cambria Math" w:hAnsi="Cambria Math" w:cs="Cambria Math"/>
              </w:rPr>
              <m:t>k=1</m:t>
            </m:r>
          </m:sub>
          <m:sup>
            <m:r>
              <w:rPr>
                <w:rFonts w:ascii="Cambria Math" w:eastAsia="Cambria Math" w:hAnsi="Cambria Math" w:cs="Cambria Math"/>
              </w:rPr>
              <m:t>K</m:t>
            </m:r>
          </m:sup>
          <m:e>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mk</m:t>
                </m:r>
              </m:sub>
            </m:sSub>
            <m:r>
              <w:rPr>
                <w:rFonts w:ascii="Cambria Math" w:hAnsi="Cambria Math"/>
              </w:rPr>
              <m:t>(1-</m:t>
            </m:r>
          </m:e>
        </m:nary>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mk</m:t>
            </m:r>
          </m:sub>
        </m:sSub>
        <m:r>
          <w:rPr>
            <w:rFonts w:ascii="Cambria Math" w:hAnsi="Cambria Math"/>
          </w:rPr>
          <m:t>)</m:t>
        </m:r>
      </m:oMath>
      <w:r w:rsidRPr="00581288">
        <w:t>,</w:t>
      </w:r>
    </w:p>
    <w:p w14:paraId="2194BC18" w14:textId="60445618" w:rsidR="009030F1" w:rsidRPr="00581288" w:rsidRDefault="00074A4E" w:rsidP="00074A4E">
      <w:pPr>
        <w:spacing w:after="0"/>
      </w:pPr>
      <w:r w:rsidRPr="00581288">
        <w:t xml:space="preserve">were </w:t>
      </w:r>
      <m:oMath>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mk</m:t>
            </m:r>
          </m:sub>
        </m:sSub>
      </m:oMath>
      <w:r w:rsidRPr="00581288">
        <w:t xml:space="preserve"> represents the proportion of observations in the </w:t>
      </w:r>
      <w:proofErr w:type="spellStart"/>
      <w:r w:rsidRPr="00581288">
        <w:rPr>
          <w:i/>
          <w:iCs/>
        </w:rPr>
        <w:t>m</w:t>
      </w:r>
      <w:r w:rsidRPr="00581288">
        <w:rPr>
          <w:vertAlign w:val="superscript"/>
        </w:rPr>
        <w:t>th</w:t>
      </w:r>
      <w:proofErr w:type="spellEnd"/>
      <w:r w:rsidRPr="00581288">
        <w:t xml:space="preserve"> region that are in a particular outcome class (</w:t>
      </w:r>
      <w:r w:rsidRPr="00581288">
        <w:rPr>
          <w:i/>
          <w:iCs/>
        </w:rPr>
        <w:t>k</w:t>
      </w:r>
      <w:r w:rsidRPr="00581288">
        <w:rPr>
          <w:vertAlign w:val="superscript"/>
        </w:rPr>
        <w:t>th</w:t>
      </w:r>
      <w:r w:rsidRPr="00581288">
        <w:t xml:space="preserve">) </w:t>
      </w:r>
      <w:r w:rsidRPr="00581288">
        <w:fldChar w:fldCharType="begin" w:fldLock="1"/>
      </w:r>
      <w:r w:rsidR="001849AF" w:rsidRPr="00581288">
        <w:instrText>ADDIN CSL_CITATION {"citationItems":[{"id":"ITEM-1","itemData":{"DOI":"10.1016/j.peva.2007.06.006","ISBN":"9780387781884","ISSN":"01665316","PMID":"10911016","author":[{"dropping-particle":"","family":"James","given":"G.","non-dropping-particle":"","parse-names":false,"suffix":""},{"dropping-particle":"","family":"Witten","given":"D.","non-dropping-particle":"","parse-names":false,"suffix":""},{"dropping-particle":"","family":"Hastie","given":"T.","non-dropping-particle":"","parse-names":false,"suffix":""},{"dropping-particle":"","family":"Tibshirani","given":"R.","non-dropping-particle":"","parse-names":false,"suffix":""}],"editor":[{"dropping-particle":"","family":"Casella","given":"G.","non-dropping-particle":"","parse-names":false,"suffix":""},{"dropping-particle":"","family":"Fienberg","given":"S.","non-dropping-particle":"","parse-names":false,"suffix":""},{"dropping-particle":"","family":"Olkin","given":"I.","non-dropping-particle":"","parse-names":false,"suffix":""}],"id":"ITEM-1","issued":{"date-parts":[["2014"]]},"publisher":"Springer US","title":"An Introduction to Statistical Learning with Applications in R","type":"book"},"uris":["http://www.mendeley.com/documents/?uuid=00199a1c-8798-4d37-bcf1-d70bbaddcb74"]}],"mendeley":{"formattedCitation":"(James et al., 2014)","plainTextFormattedCitation":"(James et al., 2014)","previouslyFormattedCitation":"(James et al., 2014)"},"properties":{"noteIndex":0},"schema":"https://github.com/citation-style-language/schema/raw/master/csl-citation.json"}</w:instrText>
      </w:r>
      <w:r w:rsidRPr="00581288">
        <w:fldChar w:fldCharType="separate"/>
      </w:r>
      <w:r w:rsidRPr="00581288">
        <w:rPr>
          <w:noProof/>
        </w:rPr>
        <w:t>(James et al., 2014)</w:t>
      </w:r>
      <w:r w:rsidRPr="00581288">
        <w:fldChar w:fldCharType="end"/>
      </w:r>
      <w:r w:rsidRPr="00581288">
        <w:t xml:space="preserve">. </w:t>
      </w:r>
      <w:r w:rsidR="00A20238" w:rsidRPr="00581288">
        <w:t>The terminal node</w:t>
      </w:r>
      <w:r w:rsidR="008D5E71">
        <w:t>s</w:t>
      </w:r>
      <w:r w:rsidR="00A20238" w:rsidRPr="00581288">
        <w:t xml:space="preserve"> after the last split </w:t>
      </w:r>
      <w:r w:rsidR="009937F9">
        <w:t>show</w:t>
      </w:r>
      <w:r w:rsidR="00A20238" w:rsidRPr="00581288">
        <w:t xml:space="preserve"> the </w:t>
      </w:r>
      <w:r w:rsidR="00A20238" w:rsidRPr="00581288">
        <w:lastRenderedPageBreak/>
        <w:t xml:space="preserve">majority incident class from the relative frequencies of </w:t>
      </w:r>
      <w:r w:rsidRPr="00581288">
        <w:t>test</w:t>
      </w:r>
      <w:r w:rsidR="00A20238" w:rsidRPr="00581288">
        <w:t xml:space="preserve">s </w:t>
      </w:r>
      <w:r w:rsidR="00A20238" w:rsidRPr="00581288">
        <w:fldChar w:fldCharType="begin" w:fldLock="1"/>
      </w:r>
      <w:r w:rsidR="0037603C">
        <w:instrText>ADDIN CSL_CITATION {"citationItems":[{"id":"ITEM-1","itemData":{"DOI":"10.1037/a0016973","author":[{"dropping-particle":"","family":"Strobl","given":"Carolin","non-dropping-particle":"","parse-names":false,"suffix":""}],"container-title":"Psychol Methods","id":"ITEM-1","issue":"4","issued":{"date-parts":[["2010"]]},"page":"323-348","title":"An introduction to recursive partitioning: rationale, application and characteristics of classification","type":"article-journal","volume":"14"},"uris":["http://www.mendeley.com/documents/?uuid=ec0763b9-733d-42b6-a860-a520f4366c91"]},{"id":"ITEM-2","itemData":{"author":[{"dropping-particle":"","family":"Song","given":"Yan-Yan","non-dropping-particle":"","parse-names":false,"suffix":""},{"dropping-particle":"","family":"Lu","given":"Ying","non-dropping-particle":"","parse-names":false,"suffix":""}],"container-title":"Shanghai archives of psychiatry","id":"ITEM-2","issue":"2","issued":{"date-parts":[["2015"]]},"note":"1002-0829\n26120265[pmid]\nPMC4466856[pmcid]\nsap-27-02-130[PII]\nShanghai Arch Psychiatry","page":"130-135","title":"Decision tree methods: applications for classification and prediction","type":"article-journal","volume":"27"},"uris":["http://www.mendeley.com/documents/?uuid=9832dea6-15e4-4273-9087-d2b077e3abe3"]}],"mendeley":{"formattedCitation":"(Song and Lu, 2015; Strobl, 2010)","plainTextFormattedCitation":"(Song and Lu, 2015; Strobl, 2010)","previouslyFormattedCitation":"(Strobl, 2010)"},"properties":{"noteIndex":0},"schema":"https://github.com/citation-style-language/schema/raw/master/csl-citation.json"}</w:instrText>
      </w:r>
      <w:r w:rsidR="00A20238" w:rsidRPr="00581288">
        <w:fldChar w:fldCharType="separate"/>
      </w:r>
      <w:r w:rsidR="0037603C" w:rsidRPr="0037603C">
        <w:rPr>
          <w:noProof/>
        </w:rPr>
        <w:t>(Song and Lu, 2015; Strobl, 2010)</w:t>
      </w:r>
      <w:r w:rsidR="00A20238" w:rsidRPr="00581288">
        <w:fldChar w:fldCharType="end"/>
      </w:r>
      <w:r w:rsidR="00A20238" w:rsidRPr="00581288">
        <w:t xml:space="preserve">, </w:t>
      </w:r>
      <w:r w:rsidR="00C24401" w:rsidRPr="00581288">
        <w:t xml:space="preserve">as described </w:t>
      </w:r>
      <w:r w:rsidR="00C24401" w:rsidRPr="00581288">
        <w:rPr>
          <w:lang w:val="es-ES"/>
        </w:rPr>
        <w:fldChar w:fldCharType="begin" w:fldLock="1"/>
      </w:r>
      <w:r w:rsidR="00C24401" w:rsidRPr="00581288">
        <w:instrText>ADDIN CSL_CITATION {"citationItems":[{"id":"ITEM-1","itemData":{"DOI":"10.1016/j.prevetmed.2019.104860","ISSN":"01675877","abstract":"Identifying and understanding the risk factors for endemic bovine tuberculosis (TB) in cattle herds is critical for the control of this disease. Exploratory machine learning techniques can uncover complex non-linear relationships and interactions within disease causation webs, and enhance our knowledge of TB risk factors and how they are interrelated. Classification tree analysis was used to reveal associations between predictors of TB in England and each of the three surveillance risk areas (High Risk, Edge, and Low Risk) in 20</w:instrText>
      </w:r>
      <w:r w:rsidR="00C24401" w:rsidRPr="00581288">
        <w:rPr>
          <w:lang w:val="es-ES"/>
        </w:rPr>
        <w:instrText>16, identifying the highest risk herds. The main classifying predictor for farms in England overall related to the TB prevalence in the 100 nearest cattle herds. In the High Risk and Edge areas it was the number of slaughterhouse destinations and in the Low Risk area it was the number of cattle tested in surveillance tests. How long ago the last confirmed incident was resolved was the most frequent classifier in trees; if within two years, leading to the highest risk group of herds in the High Risk and Low Risk areas. At least two different slaughterhouse destinations led to the highest risk group of herds in England, whereas in the Edge area it was a combination of no contiguous low-risk neighbours (i.e. in a 1 km radius) and a minimum proportion of 6–23 month-old cattle in November. A threshold value of prevalence in 100 nearest neighbours increased the risk in all areas, although the value was specific to each area. Having low-risk contiguous neighbours reduced the risk in the Edge and High Risk areas, whereas high-risk ones increased the risk in England overall and in the Edge area specifically. The best classification tree models informed multivariable binomial logistic regression models in each area, adding statistical inference outputs. These two approaches showed similar predictive performance although there were some disparities regarding what constituted high-risk predictors. Decision tree machine learning approaches can identify risk factors from webs of causation: information which may then be used to inform decision making for disease control purposes.","author":[{"dropping-particle":"","family":"Romero","given":"M. Pilar","non-dropping-particle":"","parse-names":false,"suffix":""},{"dropping-particle":"","family":"Chang","given":"Yu Mei","non-dropping-particle":"","parse-names":false,"suffix":""},{"dropping-particle":"","family":"Brunton","given":"Lucy A.","non-dropping-particle":"","parse-names":false,"suffix":""},{"dropping-particle":"","family":"Parry","given":"Jessica","non-dropping-particle":"","parse-names":false,"suffix":""},{"dropping-part</w:instrText>
      </w:r>
      <w:r w:rsidR="00C24401" w:rsidRPr="00581288">
        <w:instrText>icle":"","family":"Prosser","given":"Alison","non-dropping-particle":"","parse-names":false,"suffix":""},{"dropping-particle":"","family":"Upton","given":"Paul","non-dropping-particle":"","parse-names":false,"suffix":""},{"dropping-particle":"","family":"Rees","given":"Eleanor","non-dropping-particle":"","parse-names":false,"suffix":""},{"dropping-particle":"","family":"Tearne","given":"Oliver","non-dropping-particle":"","parse-names":false,"suffix":""},{"dropping-particle":"","family":"Arnold","given":"Mark","non-dropping-particle":"","parse-names":false,"suffix":""},{"dropping-particle":"","family":"Stevens","given":"Kim","non-dropping-particle":"","parse-names":false,"suffix":""},{"dropping-particle":"","family":"Drewe","given":"Julian A.","non-dropping-particle":"","parse-names":false,"suffix":""}],"container-title":"Preventive Veterinary Medicine","id":"ITEM-1","issue":"November 2019","issued":{"date-parts":[["2020"]]},"publisher":"Elsevier","title":"Decision tree machine learning applied to bovine tuberculosis risk factors to aid disease control decision making","type":"article-journal","volume":"175"},"uris":["http://www.mendeley.com/documents/?uuid=0986cdfc-0ac4-463f-a63d-30afb4d13841"]}],"mendeley":{"formattedCitation":"(Romero et al., 2020)","plainTextFormattedCitation":"(Romero et al., 2020)","previouslyFormattedCitation":"(Romero et al., 2020)"},"properties":{"noteIndex":0},"schema":"https://github.com/citation-style-language/schema/raw/master/csl-citation.json"}</w:instrText>
      </w:r>
      <w:r w:rsidR="00C24401" w:rsidRPr="00581288">
        <w:rPr>
          <w:lang w:val="es-ES"/>
        </w:rPr>
        <w:fldChar w:fldCharType="separate"/>
      </w:r>
      <w:r w:rsidR="00C24401" w:rsidRPr="00581288">
        <w:rPr>
          <w:noProof/>
        </w:rPr>
        <w:t>(Romero et al., 2020)</w:t>
      </w:r>
      <w:r w:rsidR="00C24401" w:rsidRPr="00581288">
        <w:rPr>
          <w:lang w:val="es-ES"/>
        </w:rPr>
        <w:fldChar w:fldCharType="end"/>
      </w:r>
      <w:r w:rsidR="00C24401" w:rsidRPr="00581288">
        <w:t xml:space="preserve">. </w:t>
      </w:r>
      <w:bookmarkStart w:id="10" w:name="_Hlk88027418"/>
      <w:r w:rsidR="008D5E71">
        <w:t>A</w:t>
      </w:r>
      <w:r w:rsidR="008F6826" w:rsidRPr="00581288">
        <w:t xml:space="preserve"> five-fold cross-validation </w:t>
      </w:r>
      <w:r w:rsidR="008D5E71">
        <w:t>strategy was adopted</w:t>
      </w:r>
      <w:r w:rsidR="00F04774" w:rsidRPr="00581288">
        <w:t xml:space="preserve"> </w:t>
      </w:r>
      <w:r w:rsidR="00F04774" w:rsidRPr="00581288">
        <w:fldChar w:fldCharType="begin" w:fldLock="1"/>
      </w:r>
      <w:r w:rsidR="00F04774" w:rsidRPr="00581288">
        <w:instrText>ADDIN CSL_CITATION {"citationItems":[{"id":"ITEM-1","itemData":{"DOI":"10.18637/jss.v028.i05","author":[{"dropping-particle":"","family":"Kuhn","given":"M","non-dropping-particle":"","parse-names":false,"suffix":""}],"container-title":"Journal of statistical software","id":"ITEM-1","issue":"5","issued":{"date-parts":[["2008"]]},"note":"Near-zero variance reference, multivariable analysis","title":"Building predictive models in R using the caret package","type":"article-journal","volume":"28"},"uris":["http://www.mendeley.com/documents/?uuid=75701329-8d40-4f72-b134-a7747dbb8132"]}],"mendeley":{"formattedCitation":"(Kuhn, 2008)","plainTextFormattedCitation":"(Kuhn, 2008)","previouslyFormattedCitation":"(Kuhn, 2008)"},"properties":{"noteIndex":0},"schema":"https://github.com/citation-style-language/schema/raw/master/csl-citation.json"}</w:instrText>
      </w:r>
      <w:r w:rsidR="00F04774" w:rsidRPr="00581288">
        <w:fldChar w:fldCharType="separate"/>
      </w:r>
      <w:r w:rsidR="00F04774" w:rsidRPr="00581288">
        <w:rPr>
          <w:noProof/>
        </w:rPr>
        <w:t>(Kuhn, 2008)</w:t>
      </w:r>
      <w:r w:rsidR="00F04774" w:rsidRPr="00581288">
        <w:fldChar w:fldCharType="end"/>
      </w:r>
      <w:r w:rsidR="00F04774" w:rsidRPr="00581288">
        <w:t xml:space="preserve">, pruning the fully-grown trees to prevent overfitting </w:t>
      </w:r>
      <w:r w:rsidR="00F04774" w:rsidRPr="00581288">
        <w:fldChar w:fldCharType="begin" w:fldLock="1"/>
      </w:r>
      <w:r w:rsidR="00F04774" w:rsidRPr="00581288">
        <w:instrText>ADDIN CSL_CITATION {"citationItems":[{"id":"ITEM-1","itemData":{"author":[{"dropping-particle":"","family":"Breiman","given":"L.","non-dropping-particle":"","parse-names":false,"suffix":""},{"dropping-particle":"","family":"Friedman","given":"J.H.","non-dropping-particle":"","parse-names":false,"suffix":""},{"dropping-particle":"","family":"Olsen","given":"R.A.","non-dropping-particle":"","parse-names":false,"suffix":""},{"dropping-particle":"","family":"Stone","given":"C.J.","non-dropping-particle":"","parse-names":false,"suffix":""}],"id":"ITEM-1","issued":{"date-parts":[["1984"]]},"publisher":"Wadsworth Inc","title":"Classification and Regression Trees","type":"book"},"uris":["http://www.mendeley.com/documents/?uuid=bfd274b2-2587-4666-a994-780916cd9dd2"]}],"mendeley":{"formattedCitation":"(Breiman et al., 1984)","plainTextFormattedCitation":"(Breiman et al., 1984)","previouslyFormattedCitation":"(Breiman et al., 1984)"},"properties":{"noteIndex":0},"schema":"https://github.com/citation-style-language/schema/raw/master/csl-citation.json"}</w:instrText>
      </w:r>
      <w:r w:rsidR="00F04774" w:rsidRPr="00581288">
        <w:fldChar w:fldCharType="separate"/>
      </w:r>
      <w:r w:rsidR="00F04774" w:rsidRPr="00581288">
        <w:rPr>
          <w:noProof/>
        </w:rPr>
        <w:t>(Breiman et al., 1984)</w:t>
      </w:r>
      <w:r w:rsidR="00F04774" w:rsidRPr="00581288">
        <w:fldChar w:fldCharType="end"/>
      </w:r>
      <w:r w:rsidR="00F04774" w:rsidRPr="00581288">
        <w:t xml:space="preserve">. </w:t>
      </w:r>
      <w:bookmarkEnd w:id="10"/>
      <w:r w:rsidR="008D5E71">
        <w:t>Initially, the mean decrease Gini index was used to select the top 20 most important variables and cut-off points, with the variables included in the list used subsequently to develop the final classification tree prediction algorithm</w:t>
      </w:r>
      <w:r w:rsidR="002E33B6" w:rsidRPr="00581288">
        <w:t>.</w:t>
      </w:r>
      <w:bookmarkEnd w:id="9"/>
      <w:r w:rsidR="004C57AA" w:rsidRPr="00581288">
        <w:rPr>
          <w:noProof/>
        </w:rPr>
        <w:t xml:space="preserve"> </w:t>
      </w:r>
    </w:p>
    <w:p w14:paraId="2E162496" w14:textId="00901F55" w:rsidR="0055564A" w:rsidRPr="00581288" w:rsidRDefault="0055564A" w:rsidP="0055564A">
      <w:pPr>
        <w:pStyle w:val="Title3"/>
        <w:numPr>
          <w:ilvl w:val="0"/>
          <w:numId w:val="0"/>
        </w:numPr>
        <w:rPr>
          <w:i/>
          <w:iCs/>
        </w:rPr>
      </w:pPr>
      <w:r w:rsidRPr="00581288">
        <w:rPr>
          <w:i/>
          <w:iCs/>
        </w:rPr>
        <w:t>2.</w:t>
      </w:r>
      <w:r w:rsidR="00C24401" w:rsidRPr="00581288">
        <w:rPr>
          <w:i/>
          <w:iCs/>
        </w:rPr>
        <w:t>3</w:t>
      </w:r>
      <w:r w:rsidRPr="00581288">
        <w:rPr>
          <w:i/>
          <w:iCs/>
        </w:rPr>
        <w:t>.</w:t>
      </w:r>
      <w:r w:rsidR="00E12412">
        <w:rPr>
          <w:i/>
          <w:iCs/>
        </w:rPr>
        <w:t>4</w:t>
      </w:r>
      <w:r w:rsidRPr="00581288">
        <w:rPr>
          <w:i/>
          <w:iCs/>
        </w:rPr>
        <w:t xml:space="preserve"> Random forest</w:t>
      </w:r>
    </w:p>
    <w:p w14:paraId="69DBFA28" w14:textId="0436F46E" w:rsidR="00CA67CA" w:rsidRPr="00581288" w:rsidRDefault="00C24401" w:rsidP="000075CC">
      <w:pPr>
        <w:spacing w:after="0"/>
      </w:pPr>
      <w:r w:rsidRPr="00581288">
        <w:t xml:space="preserve">The random forest model </w:t>
      </w:r>
      <w:r w:rsidRPr="00581288">
        <w:fldChar w:fldCharType="begin" w:fldLock="1"/>
      </w:r>
      <w:r w:rsidR="00DC1312" w:rsidRPr="00581288">
        <w:instrText>ADDIN CSL_CITATION {"citationItems":[{"id":"ITEM-1","itemData":{"DOI":"https://doi.org/10.1023/A:1010933404324","abstract":"Random forests are a combination of tree predictors such that each tree depends on the values of a random vector sampled independently and with the same distribution for all trees in the forest. The generalization error for forests converges a.s. to a limit as the number of trees in the forest becomes large. The generalization error of a forest of tree classifiers depends on the strength of the individual trees in the forest and the correlation between them. Using a random selection of features to split each node yields error rates that compare favorably to Adaboost (Y. Freund &amp; R. Schapire, Machine Learning: Proceedings of the Thirteenth International conference, * * *, 148-156), but are more robust with respect to noise. Internal estimates monitor error, strength, and correlation and these are used to show the response to increasing the number of features used in the splitting. Internal estimates are also used to measure variable importance. These ideas are also applicable to regression.","author":[{"dropping-particle":"","family":"Breiman","given":"L","non-dropping-particle":"","parse-names":false,"suffix":""}],"container-title":"Machine Learning","id":"ITEM-1","issued":{"date-parts":[["2001"]]},"page":"5-32","title":"Random forests","type":"article-journal","volume":"45"},"uris":["http://www.mendeley.com/documents/?uuid=965c894e-eb4b-42ca-ab2a-cad6ca539840"]}],"mendeley":{"formattedCitation":"(Breiman, 2001)","plainTextFormattedCitation":"(Breiman, 2001)","previouslyFormattedCitation":"(Breiman, 2001)"},"properties":{"noteIndex":0},"schema":"https://github.com/citation-style-language/schema/raw/master/csl-citation.json"}</w:instrText>
      </w:r>
      <w:r w:rsidRPr="00581288">
        <w:fldChar w:fldCharType="separate"/>
      </w:r>
      <w:r w:rsidRPr="00581288">
        <w:rPr>
          <w:noProof/>
        </w:rPr>
        <w:t>(Breiman, 2001)</w:t>
      </w:r>
      <w:r w:rsidRPr="00581288">
        <w:fldChar w:fldCharType="end"/>
      </w:r>
      <w:r w:rsidRPr="00581288">
        <w:t xml:space="preserve">, based on an ensemble of classification trees </w:t>
      </w:r>
      <w:r w:rsidRPr="00581288">
        <w:fldChar w:fldCharType="begin" w:fldLock="1"/>
      </w:r>
      <w:r w:rsidRPr="00581288">
        <w:instrText>ADDIN CSL_CITATION {"citationItems":[{"id":"ITEM-1","itemData":{"author":[{"dropping-particle":"","family":"Breiman","given":"L.","non-dropping-particle":"","parse-names":false,"suffix":""},{"dropping-particle":"","family":"Friedman","given":"J.H.","non-dropping-particle":"","parse-names":false,"suffix":""},{"dropping-particle":"","family":"Olsen","given":"R.A.","non-dropping-particle":"","parse-names":false,"suffix":""},{"dropping-particle":"","family":"Stone","given":"C.J.","non-dropping-particle":"","parse-names":false,"suffix":""}],"id":"ITEM-1","issued":{"date-parts":[["1984"]]},"publisher":"Wadsworth Inc","title":"Classification and Regression Trees","type":"book"},"uris":["http://www.mendeley.com/documents/?uuid=bfd274b2-2587-4666-a994-780916cd9dd2"]},{"id":"ITEM-2","itemData":{"author":[{"dropping-particle":"","family":"Therneau","given":"Terry M.","non-dropping-particle":"","parse-names":false,"suffix":""},{"dropping-particle":"","family":"Atkinson","given":"Elizabeth J.","non-dropping-particle":"","parse-names":false,"suffix":""}],"id":"ITEM-2","issued":{"date-parts":[["2018"]]},"number":"4.1-15","title":"An introduction to recursive partitioning using the rpart routines. R package version 4.1-15.","type":"article"},"uris":["http://www.mendeley.com/documents/?uuid=004ee1fb-8747-4a3f-999c-c67213447dac"]}],"mendeley":{"formattedCitation":"(Breiman et al., 1984; Therneau and Atkinson, 2018)","plainTextFormattedCitation":"(Breiman et al., 1984; Therneau and Atkinson, 2018)","previouslyFormattedCitation":"(Breiman et al., 1984; Therneau and Atkinson, 2018)"},"properties":{"noteIndex":0},"schema":"https://github.com/citation-style-language/schema/raw/master/csl-citation.json"}</w:instrText>
      </w:r>
      <w:r w:rsidRPr="00581288">
        <w:fldChar w:fldCharType="separate"/>
      </w:r>
      <w:r w:rsidRPr="00581288">
        <w:rPr>
          <w:noProof/>
        </w:rPr>
        <w:t>(Breiman et al., 1984; Therneau and Atkinson, 2018)</w:t>
      </w:r>
      <w:r w:rsidRPr="00581288">
        <w:fldChar w:fldCharType="end"/>
      </w:r>
      <w:r w:rsidRPr="00581288">
        <w:t xml:space="preserve">, was implemented </w:t>
      </w:r>
      <w:r w:rsidRPr="00581288">
        <w:fldChar w:fldCharType="begin" w:fldLock="1"/>
      </w:r>
      <w:r w:rsidRPr="00581288">
        <w:instrText>ADDIN CSL_CITATION {"citationItems":[{"id":"ITEM-1","itemData":{"DOI":"10.1177/154405910408300516","ISBN":"1609-3631","ISSN":"16093631","PMID":"21196786","abstract":"Background: Proteochemometrics is a new methodology that allows prediction of protein function directly from real interaction measurement data without the need of 3D structure information. Several reported proteochemometric models of ligand-receptor interactions have already yielded significant insights into various forms of bio-molecular interactions. The proteochemometric models are multivariate regression models that predict binding affinity for a particular combination of features of the ligand and protein. Although proteochemometric models have already offered interesting results in various studies, no detailed statistical evaluation of their average predictive power has been performed. In particular, variable subset selection performed to date has always relied on using all available examples, a situation also encountered in microarray gene expression data analysis. Results: A methodology for an unbiased evaluation of the predictive power of proteochemometric models was implemented and results from applying it to two of the largest proteochemometric data sets yet reported are presented. A double cross-validation loop procedure is used to estimate the expected performance of a given design method. The unbiased performance estimates (P 2) obtained for the data sets that we consider confirm that properly designed single proteochemometric models have useful predictive power, but that a standard design based on cross validation may yield models with quite limited performance. The results also show that different commercial software packages employed for the design of proteochemometric models may yield very different and therefore misleading performance estimates. In addition, the differences in the models obtained in the double CV loop indicate that detailed chemical interpretation of a single proteochemometric model is uncertain when data sets are small. Conclusion: The double CV loop employed offer unbiased performance estimates about a given proteochemometric modelling procedure, making it possible to identify cases where the proteochemometric design does not result in useful predictive models. Chemical interpretations of single proteochemometric models are uncertain and should instead be based on all the models selected in the double CV loop employed here.","author":[{"dropping-particle":"","family":"Liaw","given":"Andt","non-dropping-particle":"","parse-names":false,"suffix":""},{"dropping-particle":"","family":"Wiener","given":"Matthew","non-dropping-particle":"","parse-names":false,"suffix":""}],"container-title":"R News","id":"ITEM-1","issue":"3","issued":{"date-parts":[["2002"]]},"page":"18-22","title":"Classification and regression by randomForest","type":"article-journal","volume":"2"},"uris":["http://www.mendeley.com/documents/?uuid=b9fe0543-5b0d-4405-82d4-463c4647190e"]}],"mendeley":{"formattedCitation":"(Liaw and Wiener, 2002)","plainTextFormattedCitation":"(Liaw and Wiener, 2002)","previouslyFormattedCitation":"(Liaw and Wiener, 2002)"},"properties":{"noteIndex":0},"schema":"https://github.com/citation-style-language/schema/raw/master/csl-citation.json"}</w:instrText>
      </w:r>
      <w:r w:rsidRPr="00581288">
        <w:fldChar w:fldCharType="separate"/>
      </w:r>
      <w:r w:rsidRPr="00581288">
        <w:rPr>
          <w:noProof/>
        </w:rPr>
        <w:t>(Liaw and Wiener, 2002)</w:t>
      </w:r>
      <w:r w:rsidRPr="00581288">
        <w:fldChar w:fldCharType="end"/>
      </w:r>
      <w:r w:rsidRPr="00581288">
        <w:t xml:space="preserve"> using the same training and testing datasets as the classification tree analysis</w:t>
      </w:r>
      <w:r w:rsidR="008A23BD" w:rsidRPr="00581288">
        <w:t xml:space="preserve">. Bootstrapped samples drawn with replacement from the training dataset and a random sample of predictors were selected before each split to create the trees in the ensemble using the Gini index </w:t>
      </w:r>
      <w:r w:rsidR="008A23BD" w:rsidRPr="00581288">
        <w:fldChar w:fldCharType="begin" w:fldLock="1"/>
      </w:r>
      <w:r w:rsidR="008A23BD" w:rsidRPr="00581288">
        <w:instrText>ADDIN CSL_CITATION {"citationItems":[{"id":"ITEM-1","itemData":{"DOI":"10.1007/978-0-387-09823-4","author":[{"dropping-particle":"","family":"Maimon","given":"O","non-dropping-particle":"","parse-names":false,"suffix":""},{"dropping-particle":"","family":"Rokach","given":"L","non-dropping-particle":"","parse-names":false,"suffix":""}],"edition":"2nd","id":"ITEM-1","issued":{"date-parts":[["2010"]]},"publisher":"Springer","title":"Data Mining and Knowledge Discovery Handbook","type":"book"},"uris":["http://www.mendeley.com/documents/?uuid=1ee9d61e-97ee-487a-9b8a-f6f81c6a67c3"]},{"id":"ITEM-2","itemData":{"author":[{"dropping-particle":"","family":"Genuer","given":"R.","non-dropping-particle":"","parse-names":false,"suffix":""},{"dropping-particle":"","family":"Poggi","given":"J-M","non-dropping-particle":"","parse-names":false,"suffix":""},{"dropping-particle":"","family":"Tuleau-Malot","given":"C.","non-dropping-particle":"","parse-names":false,"suffix":""}],"container-title":"Pattern Recognition Letters","id":"ITEM-2","issued":{"date-parts":[["2010"]]},"page":"2225-2236","title":"Variable selection using random forests","type":"article-journal","volume":"31"},"uris":["http://www.mendeley.com/documents/?uuid=662f7374-889c-4878-8275-127443249a32"]},{"id":"ITEM-3","itemData":{"author":[{"dropping-particle":"","family":"Hastie","given":"T","non-dropping-particle":"","parse-names":false,"suffix":""},{"dropping-particle":"","family":"Tibshirani","given":"R","non-dropping-particle":"","parse-names":false,"suffix":""},{"dropping-particle":"","family":"Friedman","given":"J","non-dropping-particle":"","parse-names":false,"suffix":""}],"edition":"2nd","id":"ITEM-3","issued":{"date-parts":[["2017"]]},"number-of-pages":"745","publisher":"Springer","title":"The Elements of Statistical Learning","type":"book"},"uris":["http://www.mendeley.com/documents/?uuid=6b674898-bc56-447d-9a58-787e7bbebaec"]}],"mendeley":{"formattedCitation":"(Genuer et al., 2010; Hastie et al., 2017; Maimon and Rokach, 2010)","plainTextFormattedCitation":"(Genuer et al., 2010; Hastie et al., 2017; Maimon and Rokach, 2010)","previouslyFormattedCitation":"(Genuer et al., 2010; Hastie et al., 2017; Maimon and Rokach, 2010)"},"properties":{"noteIndex":0},"schema":"https://github.com/citation-style-language/schema/raw/master/csl-citation.json"}</w:instrText>
      </w:r>
      <w:r w:rsidR="008A23BD" w:rsidRPr="00581288">
        <w:fldChar w:fldCharType="separate"/>
      </w:r>
      <w:r w:rsidR="008A23BD" w:rsidRPr="00581288">
        <w:rPr>
          <w:noProof/>
        </w:rPr>
        <w:t>(Genuer et al., 2010; Hastie et al., 2017; Maimon and Rokach, 2010)</w:t>
      </w:r>
      <w:r w:rsidR="008A23BD" w:rsidRPr="00581288">
        <w:fldChar w:fldCharType="end"/>
      </w:r>
      <w:r w:rsidR="008A23BD" w:rsidRPr="00581288">
        <w:t xml:space="preserve">. The final trees were tuned for the number of trees in the forest (500 initially) and the fixed number of input variables chosen at random before each split (eight initially) </w:t>
      </w:r>
      <w:r w:rsidR="008A23BD" w:rsidRPr="00581288">
        <w:fldChar w:fldCharType="begin" w:fldLock="1"/>
      </w:r>
      <w:r w:rsidR="008A23BD" w:rsidRPr="00581288">
        <w:instrText>ADDIN CSL_CITATION {"citationItems":[{"id":"ITEM-1","itemData":{"author":[{"dropping-particle":"","family":"Hastie","given":"T","non-dropping-particle":"","parse-names":false,"suffix":""},{"dropping-particle":"","family":"Tibshirani","given":"R","non-dropping-particle":"","parse-names":false,"suffix":""},{"dropping-particle":"","family":"Friedman","given":"J","non-dropping-particle":"","parse-names":false,"suffix":""}],"edition":"2nd","id":"ITEM-1","issued":{"date-parts":[["2017"]]},"number-of-pages":"745","publisher":"Springer","title":"The Elements of Statistical Learning","type":"book"},"uris":["http://www.mendeley.com/documents/?uuid=6b674898-bc56-447d-9a58-787e7bbebaec"]},{"id":"ITEM-2","itemData":{"DOI":"10.1177/154405910408300516","ISBN":"1609-3631","ISSN":"16093631","PMID":"21196786","abstract":"Background: Proteochemometrics is a new methodology that allows prediction of protein function directly from real interaction measurement data without the need of 3D structure information. Several reported proteochemometric models of ligand-receptor interactions have already yielded significant insights into various forms of bio-molecular interactions. The proteochemometric models are multivariate regression models that predict binding affinity for a particular combination of features of the ligand and protein. Although proteochemometric models have already offered interesting results in various studies, no detailed statistical evaluation of their average predictive power has been performed. In particular, variable subset selection performed to date has always relied on using all available examples, a situation also encountered in microarray gene expression data analysis. Results: A methodology for an unbiased evaluation of the predictive power of proteochemometric models was implemented and results from applying it to two of the largest proteochemometric data sets yet reported are presented. A double cross-validation loop procedure is used to estimate the expected performance of a given design method. The unbiased performance estimates (P 2) obtained for the data sets that we consider confirm that properly designed single proteochemometric models have useful predictive power, but that a standard design based on cross validation may yield models with quite limited performance. The results also show that different commercial software packages employed for the design of proteochemometric models may yield very different and therefore misleading performance estimates. In addition, the differences in the models obtained in the double CV loop indicate that detailed chemical interpretation of a single proteochemometric model is uncertain when data sets are small. Conclusion: The double CV loop employed offer unbiased performance estimates about a given proteochemometric modelling procedure, making it possible to identify cases where the proteochemometric design does not result in useful predictive models. Chemical interpretations of single proteochemometric models are uncertain and should instead be based on all the models selected in the double CV loop employed here.","author":[{"dropping-particle":"","family":"Liaw","given":"Andt","non-dropping-particle":"","parse-names":false,"suffix":""},{"dropping-particle":"","family":"Wiener","given":"Matthew","non-dropping-particle":"","parse-names":false,"suffix":""}],"container-title":"R News","id":"ITEM-2","issue":"3","issued":{"date-parts":[["2002"]]},"page":"18-22","title":"Classification and regression by randomForest","type":"article-journal","volume":"2"},"uris":["http://www.mendeley.com/documents/?uuid=b9fe0543-5b0d-4405-82d4-463c4647190e"]}],"mendeley":{"formattedCitation":"(Hastie et al., 2017; Liaw and Wiener, 2002)","plainTextFormattedCitation":"(Hastie et al., 2017; Liaw and Wiener, 2002)","previouslyFormattedCitation":"(Hastie et al., 2017; Liaw and Wiener, 2002)"},"properties":{"noteIndex":0},"schema":"https://github.com/citation-style-language/schema/raw/master/csl-citation.json"}</w:instrText>
      </w:r>
      <w:r w:rsidR="008A23BD" w:rsidRPr="00581288">
        <w:fldChar w:fldCharType="separate"/>
      </w:r>
      <w:r w:rsidR="008A23BD" w:rsidRPr="00581288">
        <w:rPr>
          <w:noProof/>
        </w:rPr>
        <w:t>(Hastie et al., 2017; Liaw and Wiener, 2002)</w:t>
      </w:r>
      <w:r w:rsidR="008A23BD" w:rsidRPr="00581288">
        <w:fldChar w:fldCharType="end"/>
      </w:r>
      <w:r w:rsidR="004D516D">
        <w:t>.</w:t>
      </w:r>
      <w:r w:rsidR="004D516D" w:rsidRPr="004D516D">
        <w:t xml:space="preserve"> </w:t>
      </w:r>
      <w:r w:rsidR="004D516D">
        <w:t xml:space="preserve">First, the out-of-bag error matrix was accessed to get the number of trees in the forest that minimised the out-of-bag error rate. Then, the number of variables chosen before each split was determined using algorithm tools </w:t>
      </w:r>
      <w:r w:rsidR="004D516D">
        <w:fldChar w:fldCharType="begin" w:fldLock="1"/>
      </w:r>
      <w:r w:rsidR="009F4086">
        <w:instrText>ADDIN CSL_CITATION {"citationItems":[{"id":"ITEM-1","itemData":{"DOI":"10.1177/154405910408300516","ISBN":"1609-3631","ISSN":"16093631","PMID":"21196786","abstract":"Background: Proteochemometrics is a new methodology that allows prediction of protein function directly from real interaction measurement data without the need of 3D structure information. Several reported proteochemometric models of ligand-receptor interactions have already yielded significant insights into various forms of bio-molecular interactions. The proteochemometric models are multivariate regression models that predict binding affinity for a particular combination of features of the ligand and protein. Although proteochemometric models have already offered interesting results in various studies, no detailed statistical evaluation of their average predictive power has been performed. In particular, variable subset selection performed to date has always relied on using all available examples, a situation also encountered in microarray gene expression data analysis. Results: A methodology for an unbiased evaluation of the predictive power of proteochemometric models was implemented and results from applying it to two of the largest proteochemometric data sets yet reported are presented. A double cross-validation loop procedure is used to estimate the expected performance of a given design method. The unbiased performance estimates (P 2) obtained for the data sets that we consider confirm that properly designed single proteochemometric models have useful predictive power, but that a standard design based on cross validation may yield models with quite limited performance. The results also show that different commercial software packages employed for the design of proteochemometric models may yield very different and therefore misleading performance estimates. In addition, the differences in the models obtained in the double CV loop indicate that detailed chemical interpretation of a single proteochemometric model is uncertain when data sets are small. Conclusion: The double CV loop employed offer unbiased performance estimates about a given proteochemometric modelling procedure, making it possible to identify cases where the proteochemometric design does not result in useful predictive models. Chemical interpretations of single proteochemometric models are uncertain and should instead be based on all the models selected in the double CV loop employed here.","author":[{"dropping-particle":"","family":"Liaw","given":"Andt","non-dropping-particle":"","parse-names":false,"suffix":""},{"dropping-particle":"","family":"Wiener","given":"Matthew","non-dropping-particle":"","parse-names":false,"suffix":""}],"container-title":"R News","id":"ITEM-1","issue":"3","issued":{"date-parts":[["2002"]]},"page":"18-22","title":"Classification and regression by randomForest","type":"article-journal","volume":"2"},"uris":["http://www.mendeley.com/documents/?uuid=b9fe0543-5b0d-4405-82d4-463c4647190e"]}],"mendeley":{"formattedCitation":"(Liaw and Wiener, 2002)","plainTextFormattedCitation":"(Liaw and Wiener, 2002)","previouslyFormattedCitation":"(Liaw and Wiener, 2002)"},"properties":{"noteIndex":0},"schema":"https://github.com/citation-style-language/schema/raw/master/csl-citation.json"}</w:instrText>
      </w:r>
      <w:r w:rsidR="004D516D">
        <w:fldChar w:fldCharType="separate"/>
      </w:r>
      <w:r w:rsidR="004D516D" w:rsidRPr="0079421A">
        <w:rPr>
          <w:noProof/>
        </w:rPr>
        <w:t>(Liaw and Wiener, 2002)</w:t>
      </w:r>
      <w:r w:rsidR="004D516D">
        <w:fldChar w:fldCharType="end"/>
      </w:r>
      <w:r w:rsidR="004D516D" w:rsidRPr="00581288">
        <w:t xml:space="preserve">. </w:t>
      </w:r>
      <w:r w:rsidR="004D516D">
        <w:t>M</w:t>
      </w:r>
      <w:r w:rsidR="004D516D" w:rsidRPr="00563851">
        <w:t xml:space="preserve">ean decrease Gini index was </w:t>
      </w:r>
      <w:r w:rsidR="004D516D">
        <w:t xml:space="preserve">calculated to select </w:t>
      </w:r>
      <w:r w:rsidR="004D516D" w:rsidRPr="00563851">
        <w:t xml:space="preserve">the top 20 most important predictors, and these </w:t>
      </w:r>
      <w:r w:rsidR="004D516D">
        <w:t>we</w:t>
      </w:r>
      <w:r w:rsidR="004D516D" w:rsidRPr="00563851">
        <w:t xml:space="preserve">re used to develop the final </w:t>
      </w:r>
      <w:r w:rsidR="004D516D">
        <w:t xml:space="preserve">random forest </w:t>
      </w:r>
      <w:r w:rsidR="004D516D" w:rsidRPr="00563851">
        <w:t>prediction algorithm</w:t>
      </w:r>
      <w:r w:rsidR="00F15CCA" w:rsidRPr="00581288">
        <w:t>.</w:t>
      </w:r>
      <w:r w:rsidR="00CA67CA" w:rsidRPr="00581288">
        <w:t xml:space="preserve"> </w:t>
      </w:r>
      <w:r w:rsidR="00E12412">
        <w:t>The</w:t>
      </w:r>
      <w:r w:rsidR="008D5E71">
        <w:t xml:space="preserve"> mean decrease Gini </w:t>
      </w:r>
      <w:r w:rsidR="008D5E71">
        <w:lastRenderedPageBreak/>
        <w:t xml:space="preserve">index was </w:t>
      </w:r>
      <w:r w:rsidR="00E12412">
        <w:t>calculated</w:t>
      </w:r>
      <w:r w:rsidR="008D5E71">
        <w:t xml:space="preserve"> to select the top 20 most important variables, and these were used to develop</w:t>
      </w:r>
      <w:r w:rsidR="00E12412">
        <w:t xml:space="preserve"> the final random forest prediction algorithm.</w:t>
      </w:r>
    </w:p>
    <w:p w14:paraId="60F48C8B" w14:textId="04B45042" w:rsidR="002C6C89" w:rsidRPr="00581288" w:rsidRDefault="002C6C89" w:rsidP="002C6C89">
      <w:pPr>
        <w:pStyle w:val="Title3"/>
        <w:numPr>
          <w:ilvl w:val="0"/>
          <w:numId w:val="0"/>
        </w:numPr>
        <w:rPr>
          <w:i/>
          <w:iCs/>
        </w:rPr>
      </w:pPr>
      <w:r w:rsidRPr="00581288">
        <w:rPr>
          <w:i/>
          <w:iCs/>
        </w:rPr>
        <w:t>2.</w:t>
      </w:r>
      <w:r w:rsidR="00B07CD5" w:rsidRPr="00581288">
        <w:rPr>
          <w:i/>
          <w:iCs/>
        </w:rPr>
        <w:t>3</w:t>
      </w:r>
      <w:r w:rsidRPr="00581288">
        <w:rPr>
          <w:i/>
          <w:iCs/>
        </w:rPr>
        <w:t>.</w:t>
      </w:r>
      <w:r w:rsidR="00E12412">
        <w:rPr>
          <w:i/>
          <w:iCs/>
        </w:rPr>
        <w:t>5</w:t>
      </w:r>
      <w:r w:rsidRPr="00581288">
        <w:rPr>
          <w:i/>
          <w:iCs/>
        </w:rPr>
        <w:t xml:space="preserve"> </w:t>
      </w:r>
      <w:r w:rsidR="00B07CD5" w:rsidRPr="00581288">
        <w:rPr>
          <w:i/>
          <w:iCs/>
        </w:rPr>
        <w:t>Model selection and evaluation of outputs</w:t>
      </w:r>
    </w:p>
    <w:p w14:paraId="4EB608CD" w14:textId="1477A9EE" w:rsidR="001849AF" w:rsidRDefault="00B07CD5" w:rsidP="00B07CD5">
      <w:bookmarkStart w:id="11" w:name="_Hlk88027504"/>
      <w:r w:rsidRPr="00581288">
        <w:t>The models</w:t>
      </w:r>
      <w:r w:rsidR="00F43789" w:rsidRPr="00581288">
        <w:t>’</w:t>
      </w:r>
      <w:r w:rsidRPr="00581288">
        <w:t xml:space="preserve"> predictive performance was assessed on the original testing dataset or Test 1 (20% of the 2012-2019 dataset, data not seen by the developed models) </w:t>
      </w:r>
      <w:r w:rsidRPr="00581288">
        <w:fldChar w:fldCharType="begin" w:fldLock="1"/>
      </w:r>
      <w:r w:rsidRPr="00581288">
        <w:instrText>ADDIN CSL_CITATION {"citationItems":[{"id":"ITEM-1","itemData":{"DOI":"10.1111/jan.12288","author":[{"dropping-particle":"","family":"Khun","given":"L","non-dropping-particle":"","parse-names":false,"suffix":""},{"dropping-particle":"","family":"Page","given":"K","non-dropping-particle":"","parse-names":false,"suffix":""},{"dropping-particle":"","family":"Ward","given":"J","non-dropping-particle":"","parse-names":false,"suffix":""},{"dropping-particle":"","family":"Worrall-Carter","given":"L","non-dropping-particle":"","parse-names":false,"suffix":""}],"container-title":"Journal of Advanced Nursing","id":"ITEM-1","issue":"6","issued":{"date-parts":[["2014"]]},"page":"1276-1286","title":"The process and utility of classification and regression tree methodology in nursing research","type":"article-journal","volume":"70"},"uris":["http://www.mendeley.com/documents/?uuid=057022c8-d664-4518-9007-8aeaf5dfbe1d"]},{"id":"ITEM-2","itemData":{"DOI":"10.18637/jss.v028.i05","author":[{"dropping-particle":"","family":"Kuhn","given":"M","non-dropping-particle":"","parse-names":false,"suffix":""}],"container-title":"Journal of statistical software","id":"ITEM-2","issue":"5","issued":{"date-parts":[["2008"]]},"note":"Near-zero variance reference, multivariable analysis","title":"Building predictive models in R using the caret package","type":"article-journal","volume":"28"},"uris":["http://www.mendeley.com/documents/?uuid=75701329-8d40-4f72-b134-a7747dbb8132"]}],"mendeley":{"formattedCitation":"(Khun et al., 2014; Kuhn, 2008)","plainTextFormattedCitation":"(Khun et al., 2014; Kuhn, 2008)","previouslyFormattedCitation":"(Khun et al., 2014; Kuhn, 2008)"},"properties":{"noteIndex":0},"schema":"https://github.com/citation-style-language/schema/raw/master/csl-citation.json"}</w:instrText>
      </w:r>
      <w:r w:rsidRPr="00581288">
        <w:fldChar w:fldCharType="separate"/>
      </w:r>
      <w:r w:rsidRPr="00581288">
        <w:rPr>
          <w:noProof/>
        </w:rPr>
        <w:t>(Khun et al., 2014; Kuhn, 2008)</w:t>
      </w:r>
      <w:r w:rsidRPr="00581288">
        <w:fldChar w:fldCharType="end"/>
      </w:r>
      <w:r w:rsidRPr="00581288">
        <w:t xml:space="preserve"> using: accuracy (a property of classification models, based on the number of correctly classified observations in the confusion matrix), sensitivity, specificity, positive and negative predictive values, balanced accuracy (i.e. average between sensitivity and specificity), and area under the ROC (AUC) </w:t>
      </w:r>
      <w:r w:rsidRPr="00581288">
        <w:fldChar w:fldCharType="begin" w:fldLock="1"/>
      </w:r>
      <w:r w:rsidRPr="00581288">
        <w:instrText>ADDIN CSL_CITATION {"citationItems":[{"id":"ITEM-1","itemData":{"DOI":"http://dx.doi.org/10.1016/j.jcrc.2017.02.019","author":[{"dropping-particle":"","family":"Fei","given":"Yang","non-dropping-particle":"","parse-names":false,"suffix":""},{"dropping-particle":"","family":"Gao","given":"Kun","non-dropping-particle":"","parse-names":false,"suffix":""},{"dropping-particle":"","family":"Hu","given":"Jian","non-dropping-particle":"","parse-names":false,"suffix":""},{"dropping-particle":"","family":"Tu","given":"Jianfeng","non-dropping-particle":"","parse-names":false,"suffix":""},{"dropping-particle":"","family":"Li","given":"Wei-qin","non-dropping-particle":"","parse-names":false,"suffix":""},{"dropping-particle":"","family":"Wang","given":"Wei","non-dropping-particle":"","parse-names":false,"suffix":""},{"dropping-particle":"","family":"Zong","given":"Guang-quan","non-dropping-particle":"","parse-names":false,"suffix":""}],"container-title":"Journal of Critical Care","id":"ITEM-1","issued":{"date-parts":[["2017"]]},"note":"0883-9441","page":"124-130","title":"Predicting the incidence of portosplenomesenteric vein thrombosis in patients with acute pancreatitis using classification and regression tree algorithm","type":"article-journal","volume":"39"},"uris":["http://www.mendeley.com/documents/?uuid=7ee83d42-c53c-4936-9ae5-cdb66b4bbdda"]}],"mendeley":{"formattedCitation":"(Fei et al., 2017)","plainTextFormattedCitation":"(Fei et al., 2017)","previouslyFormattedCitation":"(Fei et al., 2017)"},"properties":{"noteIndex":0},"schema":"https://github.com/citation-style-language/schema/raw/master/csl-citation.json"}</w:instrText>
      </w:r>
      <w:r w:rsidRPr="00581288">
        <w:fldChar w:fldCharType="separate"/>
      </w:r>
      <w:r w:rsidRPr="00581288">
        <w:rPr>
          <w:noProof/>
        </w:rPr>
        <w:t>(Fei et al., 2017)</w:t>
      </w:r>
      <w:r w:rsidRPr="00581288">
        <w:fldChar w:fldCharType="end"/>
      </w:r>
      <w:r w:rsidRPr="00581288">
        <w:t xml:space="preserve">. </w:t>
      </w:r>
    </w:p>
    <w:p w14:paraId="2E6B51BC" w14:textId="3D9CC4EB" w:rsidR="005E4C2A" w:rsidRDefault="00E12412" w:rsidP="00901249">
      <w:r w:rsidRPr="00581288">
        <w:t xml:space="preserve">The final model was chosen based on its predictive performance and ease of implementation, having sought feedback from policy makers in meetings, during which model outputs were presented and the pros and cons of </w:t>
      </w:r>
      <w:r>
        <w:t xml:space="preserve">the different </w:t>
      </w:r>
      <w:r w:rsidRPr="00581288">
        <w:t>models</w:t>
      </w:r>
      <w:r>
        <w:t xml:space="preserve"> were</w:t>
      </w:r>
      <w:r w:rsidRPr="00581288">
        <w:t xml:space="preserve"> also explained.</w:t>
      </w:r>
      <w:r>
        <w:t xml:space="preserve"> </w:t>
      </w:r>
      <w:r w:rsidRPr="00581288">
        <w:t xml:space="preserve">To further verify the fitting of the chosen model and evaluate the proactive reinterpretation at severe </w:t>
      </w:r>
      <w:r w:rsidR="000C55BF">
        <w:t xml:space="preserve">level </w:t>
      </w:r>
      <w:r w:rsidRPr="00581288">
        <w:t xml:space="preserve">of </w:t>
      </w:r>
      <w:r w:rsidR="000C55BF">
        <w:t xml:space="preserve">the </w:t>
      </w:r>
      <w:r w:rsidRPr="00581288">
        <w:t>high-risk IR-only surveillance tests</w:t>
      </w:r>
      <w:r w:rsidR="000C55BF">
        <w:t xml:space="preserve"> identified</w:t>
      </w:r>
      <w:r w:rsidRPr="00581288">
        <w:t>, the 2020 dataset was used as a new testing dataset (Test 2), with its predictive performance assessed in the same way as before. The number of IRs taken as reactors at their disclosing test through the proactive reinterpretation at severe level of high-risk tests identified, and subsequent incidents created, was compared to the number of IRs that would have yielded a reactor or IR retest at the 60-day retest; also triggering an incident as a result</w:t>
      </w:r>
      <w:r>
        <w:t xml:space="preserve">. </w:t>
      </w:r>
    </w:p>
    <w:p w14:paraId="613F074B" w14:textId="2391747A" w:rsidR="00E12412" w:rsidRPr="005E4C2A" w:rsidRDefault="00E12412" w:rsidP="005E4C2A">
      <w:pPr>
        <w:pStyle w:val="Title3"/>
        <w:numPr>
          <w:ilvl w:val="0"/>
          <w:numId w:val="0"/>
        </w:numPr>
        <w:rPr>
          <w:iCs/>
        </w:rPr>
      </w:pPr>
      <w:r w:rsidRPr="005E4C2A">
        <w:rPr>
          <w:i/>
          <w:iCs/>
        </w:rPr>
        <w:lastRenderedPageBreak/>
        <w:t>2.3.6 Impact of imbalanced classes data</w:t>
      </w:r>
    </w:p>
    <w:p w14:paraId="46313EC2" w14:textId="4ECFBF81" w:rsidR="00BA1C42" w:rsidRDefault="00E12412" w:rsidP="001849AF">
      <w:r>
        <w:t xml:space="preserve">Imbalanced classes are a common problem in machine learning where the distribution of samples across the known classes are skewed. </w:t>
      </w:r>
      <w:r w:rsidR="006034FF">
        <w:t>This</w:t>
      </w:r>
      <w:r w:rsidR="001849AF" w:rsidRPr="00581288">
        <w:t xml:space="preserve"> could </w:t>
      </w:r>
      <w:r>
        <w:t>skew the models</w:t>
      </w:r>
      <w:r w:rsidR="001849AF" w:rsidRPr="00581288">
        <w:t xml:space="preserve"> towards predicting the majority class of the outcome variable </w:t>
      </w:r>
      <w:r w:rsidR="000C55BF" w:rsidRPr="00581288">
        <w:t>(“no”, with</w:t>
      </w:r>
      <w:r w:rsidR="000C55BF">
        <w:t xml:space="preserve"> 79</w:t>
      </w:r>
      <w:r w:rsidR="000C55BF" w:rsidRPr="00581288">
        <w:t>% of observations)</w:t>
      </w:r>
      <w:r w:rsidR="000C55BF">
        <w:t xml:space="preserve"> </w:t>
      </w:r>
      <w:r>
        <w:t>if the model performance was evaluated based on accuracy</w:t>
      </w:r>
      <w:r w:rsidR="001849AF" w:rsidRPr="00581288">
        <w:t xml:space="preserve">, as demonstrated previously </w:t>
      </w:r>
      <w:r w:rsidR="001849AF" w:rsidRPr="00581288">
        <w:fldChar w:fldCharType="begin" w:fldLock="1"/>
      </w:r>
      <w:r w:rsidR="009F4086">
        <w:instrText>ADDIN CSL_CITATION {"citationItems":[{"id":"ITEM-1","itemData":{"DOI":"10.1016/j.prevetmed.2019.104860","ISSN":"01675877","abstract":"Identifying and understanding the risk factors for endemic bovine tuberculosis (TB) in cattle herds is critical for the control of this disease. Exploratory machine learning techniques can uncover complex non-linear relationships and interactions within disease causation webs, and enhance our knowledge of TB risk factors and how they are interrelated. Classification tree analysis was used to reveal associations between predictors of TB in England and each of the three surveillance risk areas (High Risk, Edge, and Low Risk) in 2016, identifying the highest risk herds. The main classifying predictor for farms in England overall related to the TB prevalence in the 100 nearest cattle herds. In the High Risk and Edge areas it was the number of slaughterhouse destinations and in the Low Risk area it was the number of cattle tested in surveillance tests. How long ago the last confirmed incident was resolved was the most frequent classifier in trees; if within two years, leading to the highest risk group of herds in the High Risk and Low Risk areas. At least two different slaughterhouse destinations led to the highest risk group of herds in England, whereas in the Edge area it was a combination of no contiguous low-risk neighbours (i.e. in a 1 km radius) and a minimum proportion of 6–23 month-old cattle in November. A threshold value of prevalence in 100 nearest neighbours increased the risk in all areas, although the value was specific to each area. Having low-risk contiguous neighbours reduced the risk in the Edge and High Risk areas, whereas high-risk ones increased the risk in England overall and in the Edge area specifically. The best classification tree models informed multivariable binomial logistic regression models in each area, adding statistical inference outputs. These two approaches showed similar predictive performance although there were some disparities regarding what constituted high-risk predictors. Decision tree machine learning approaches can identify risk factors from webs of causation: information which may then be used to inform decision making for disease control purposes.","author":[{"dropping-particle":"","family":"Romero","given":"M. Pilar","non-dropping-particle":"","parse-names":false,"suffix":""},{"dropping-particle":"","family":"Chang","given":"Yu Mei","non-dropping-particle":"","parse-names":false,"suffix":""},{"dropping-particle":"","family":"Brunton","given":"Lucy A.","non-dropping-particle":"","parse-names":false,"suffix":""},{"dropping-particle":"","family":"Parry","given":"Jessica","non-dropping-particle":"","parse-names":false,"suffix":""},{"dropping-particle":"","family":"Prosser","given":"Alison","non-dropping-particle":"","parse-names":false,"suffix":""},{"dropping-particle":"","family":"Upton","given":"Paul","non-dropping-particle":"","parse-names":false,"suffix":""},{"dropping-particle":"","family":"Rees","given":"Eleanor","non-dropping-particle":"","parse-names":false,"suffix":""},{"dropping-particle":"","family":"Tearne","given":"Oliver","non-dropping-particle":"","parse-names":false,"suffix":""},{"dropping-particle":"","family":"Arnold","given":"Mark","non-dropping-particle":"","parse-names":false,"suffix":""},{"dropping-particle":"","family":"Stevens","given":"Kim","non-dropping-particle":"","parse-names":false,"suffix":""},{"dropping-particle":"","family":"Drewe","given":"Julian A.","non-dropping-particle":"","parse-names":false,"suffix":""}],"container-title":"Preventive Veterinary Medicine","id":"ITEM-1","issue":"November 2019","issued":{"date-parts":[["2020"]]},"publisher":"Elsevier","title":"Decision tree machine learning applied to bovine tuberculosis risk factors to aid disease control decision making","type":"article-journal","volume":"175"},"uris":["http://www.mendeley.com/documents/?uuid=0986cdfc-0ac4-463f-a63d-30afb4d13841"]},{"id":"ITEM-2","itemData":{"DOI":"10.1016/j.prevetmed.2021.105264","ISSN":"01675877","abstract":"Nearly a decade into Defra's current eradication strategy, bovine tuberculosis (bTB) remains a serious animal health problem in England, with c.30,000 cattle slaughtered annually in the fight against this insidious disease. There is an urgent need to improve our understanding of bTB risk in order to enhance the current disease control policy. Machine learning approaches applied to big datasets offer a potential way to do this. Regularized regression and random forest machine learning methodologies were implemented using 2016 herd-level data to generate the best possible predictive models for a bTB incident in England and its three surveillance risk areas (High-risk area [HRA], Edge area [EA] and Low-risk area [LRA]). Their predictive performance was compared and the best models in each area were used to characterize herds according to risk. While all models provided excellent discrimination, random forest models achieved the highest balanced accuracy (i.e. average of sensitivity and specificity) in England, HRA and LRA, whereas the regularized regression LASSO model did so in the EA. The time since the last confirmed incident was resolved was the only variable in the top-ten ranking in all areas according to both types of models, which highlights the importance of bTB history as a predictor of a new incident. Risk categorisation based on Receiver Operating Characteristic (ROC) analysis was carried out using the best predictive models in each area setting a 99 % threshold value for sensitivity and specificity (97 % in the LRA). Thirteen percent of herds in the whole of England as well as in its HRA, 14 % in its EA and 31 % in its LRA were classified as high-risk. These could be selected for the deployment of additional disease control measures at national or area level. In this way, low-risk herds within the area considered would not be penalised unnecessarily by blanket control measures and limited resources be used more efficiently. The methodology presented in this paper demonstrates a way to accurately identify high-risk farms to inform a targeted disease control and prevention strategy in England that supplements existing population strategies.","author":[{"dropping-particle":"","family":"Romero","given":"M. Pilar","non-dropping-particle":"","parse-names":false,"suffix":""},{"dropping-particle":"","family":"Chang","given":"Yu Mei","non-dropping-particle":"","parse-names":false,"suffix":""},{"dropping-particle":"","family":"Brunton","given":"Lucy A.","non-dropping-particle":"","parse-names":false,"suffix":""},{"dropping-particle":"","family":"Parry","given":"Jessica","non-dropping-particle":"","parse-names":false,"suffix":""},{"dropping-particle":"","family":"Prosser","given":"Alison","non-dropping-particle":"","parse-names":false,"suffix":""},{"dropping-particle":"","family":"Upton","given":"Paul","non-dropping-particle":"","parse-names":false,"suffix":""},{"dropping-particle":"","family":"Rees","given":"Eleanor","non-dropping-particle":"","parse-names":false,"suffix":""},{"dropping-particle":"","family":"Tearne","given":"Oliver","non-dropping-particle":"","parse-names":false,"suffix":""},{"dropping-particle":"","family":"Arnold","given":"Mark","non-dropping-particle":"","parse-names":false,"suffix":""},{"dropping-particle":"","family":"Stevens","given":"Kim","non-dropping-particle":"","parse-names":false,"suffix":""},{"dropping-particle":"","family":"Drewe","given":"Julian A.","non-dropping-particle":"","parse-names":false,"suffix":""}],"container-title":"Preventive Veterinary Medicine","id":"ITEM-2","issue":"July 2020","issued":{"date-parts":[["2021"]]},"page":"105264","publisher":"Elsevier B.V.","title":"A comparison of the value of two machine learning predictive models to support bovine tuberculosis disease control in England","type":"article-journal","volume":"188"},"uris":["http://www.mendeley.com/documents/?uuid=76f043c9-dfab-4f80-b311-f4322fd3ecb8"]}],"mendeley":{"formattedCitation":"(Romero et al., 2021, 2020)","plainTextFormattedCitation":"(Romero et al., 2021, 2020)","previouslyFormattedCitation":"(Romero et al., 2021, 2020)"},"properties":{"noteIndex":0},"schema":"https://github.com/citation-style-language/schema/raw/master/csl-citation.json"}</w:instrText>
      </w:r>
      <w:r w:rsidR="001849AF" w:rsidRPr="00581288">
        <w:fldChar w:fldCharType="separate"/>
      </w:r>
      <w:r w:rsidR="001849AF" w:rsidRPr="00581288">
        <w:rPr>
          <w:noProof/>
        </w:rPr>
        <w:t>(Romero et al., 2021, 2020)</w:t>
      </w:r>
      <w:r w:rsidR="001849AF" w:rsidRPr="00581288">
        <w:fldChar w:fldCharType="end"/>
      </w:r>
      <w:r w:rsidR="001849AF" w:rsidRPr="00581288">
        <w:t xml:space="preserve">. To assess the level of </w:t>
      </w:r>
      <w:r>
        <w:t>impact on the prediction</w:t>
      </w:r>
      <w:r w:rsidR="00BF5455" w:rsidRPr="00581288">
        <w:t xml:space="preserve"> introduced by this imbalance</w:t>
      </w:r>
      <w:r>
        <w:t xml:space="preserve"> in the data</w:t>
      </w:r>
      <w:r w:rsidR="001849AF" w:rsidRPr="00581288">
        <w:t>, the analy</w:t>
      </w:r>
      <w:r w:rsidR="00ED0075" w:rsidRPr="00581288">
        <w:t>s</w:t>
      </w:r>
      <w:r>
        <w:t>is</w:t>
      </w:r>
      <w:r w:rsidR="00ED0075" w:rsidRPr="00581288">
        <w:t xml:space="preserve"> w</w:t>
      </w:r>
      <w:r>
        <w:t>as</w:t>
      </w:r>
      <w:r w:rsidR="001849AF" w:rsidRPr="00581288">
        <w:t xml:space="preserve"> repeated using a down-sampling approach within the training datasets, independent of the cross-validation process. </w:t>
      </w:r>
      <w:r>
        <w:t>A d</w:t>
      </w:r>
      <w:r w:rsidR="001849AF" w:rsidRPr="00581288">
        <w:t>own-sampled dataset w</w:t>
      </w:r>
      <w:r>
        <w:t>as</w:t>
      </w:r>
      <w:r w:rsidR="001849AF" w:rsidRPr="00581288">
        <w:t xml:space="preserve"> created by selecting a random sample of non-incident herds matching the number of incident ones </w:t>
      </w:r>
      <w:r w:rsidR="001849AF" w:rsidRPr="00581288">
        <w:fldChar w:fldCharType="begin" w:fldLock="1"/>
      </w:r>
      <w:r w:rsidR="00A85296" w:rsidRPr="00581288">
        <w:instrText>ADDIN CSL_CITATION {"citationItems":[{"id":"ITEM-1","itemData":{"author":[{"dropping-particle":"","family":"Chawla","given":"N","non-dropping-particle":"","parse-names":false,"suffix":""},{"dropping-particle":"","family":"Bowyer","given":"K","non-dropping-particle":"","parse-names":false,"suffix":""},{"dropping-particle":"","family":"Hall","given":"L","non-dropping-particle":"","parse-names":false,"suffix":""},{"dropping-particle":"","family":"Kegelmeyer","given":"W","non-dropping-particle":"","parse-names":false,"suffix":""}],"container-title":"Journal of Artificial Intelligence Research","id":"ITEM-1","issued":{"date-parts":[["2002"]]},"page":"321-357","title":"SMOTE: synthetic minority over-sampling technique","type":"article-journal","volume":"16"},"uris":["http://www.mendeley.com/documents/?uuid=bd45c856-a989-48ac-bfd4-d9d3cdb7e3e2"]},{"id":"ITEM-2","itemData":{"DOI":"10.1007/978-3-642-02172-5","ISBN":"978-3-642-02171-8","abstract":"This paper introduces a new metric, named Index of Balanced Accuracy, for evaluating learning processes in two-class imbalanced domains. The method combines an unbiased index of its overall accuracy and a measure about how dominant is the class with the highest individual accuracy rate. Some theoretical examples are conducted to illustrate the benefits of the new metric over other well-known performance measures. Finally, a number of experiments demonstrate the consistency and validity of the evaluation method here proposed","author":[{"dropping-particle":"","family":"Garcia","given":"V.;","non-dropping-particle":"","parse-names":false,"suffix":""},{"dropping-particle":"","family":"Mollineda","given":"R.A.;","non-dropping-particle":"","parse-names":false,"suffix":""},{"dropping-particle":"","family":"Sanchez","given":"J.S.","non-dropping-particle":"","parse-names":false,"suffix":""}],"container-title":"Lecture Notes in Computer Science","id":"ITEM-2","issue":"June 2009","issued":{"date-parts":[["2009"]]},"title":"Index of balanced accuracy: a performance measure of skewed class distributions","type":"article-journal","volume":"5524"},"uris":["http://www.mendeley.com/documents/?uuid=f55ecb6a-3c30-496d-bed3-2df3efdb099e"]},{"id":"ITEM-3","itemData":{"DOI":"10.7763/IJMLC.2013.V3.307","author":[{"dropping-particle":"","family":"Mostafizur Rahman","given":"M","non-dropping-particle":"","parse-names":false,"suffix":""},{"dropping-particle":"","family":"Davies","given":"D N","non-dropping-particle":"","parse-names":false,"suffix":""}],"container-title":"International Journal of Machine Learning and Computing","id":"ITEM-3","issue":"2","issued":{"date-parts":[["2013"]]},"page":"224-228","title":"Addressing the class imbalance problem in medical datasets","type":"article-journal","volume":"3"},"uris":["http://www.mendeley.com/documents/?uuid=b2717f6d-d441-42e0-87a1-0aa2c61bad92"]},{"id":"ITEM-4","itemData":{"DOI":"10.18637/jss.v028.i05","author":[{"dropping-particle":"","family":"Kuhn","given":"M","non-dropping-particle":"","parse-names":false,"suffix":""}],"container-title":"Journal of statistical software","id":"ITEM-4","issue":"5","issued":{"date-parts":[["2008"]]},"note":"Near-zero variance reference, multivariable analysis","title":"Building predictive models in R using the caret package","type":"article-journal","volume":"28"},"uris":["http://www.mendeley.com/documents/?uuid=75701329-8d40-4f72-b134-a7747dbb8132"]}],"mendeley":{"formattedCitation":"(Chawla et al., 2002; Garcia et al., 2009; Kuhn, 2008; Mostafizur Rahman and Davies, 2013)","plainTextFormattedCitation":"(Chawla et al., 2002; Garcia et al., 2009; Kuhn, 2008; Mostafizur Rahman and Davies, 2013)","previouslyFormattedCitation":"(Chawla et al., 2002; Garcia et al., 2009; Kuhn, 2008; Mostafizur Rahman and Davies, 2013)"},"properties":{"noteIndex":0},"schema":"https://github.com/citation-style-language/schema/raw/master/csl-citation.json"}</w:instrText>
      </w:r>
      <w:r w:rsidR="001849AF" w:rsidRPr="00581288">
        <w:fldChar w:fldCharType="separate"/>
      </w:r>
      <w:r w:rsidR="001849AF" w:rsidRPr="00581288">
        <w:rPr>
          <w:noProof/>
        </w:rPr>
        <w:t>(Chawla et al., 2002; Garcia et al., 2009; Kuhn, 2008; Mostafizur Rahman and Davies, 2013)</w:t>
      </w:r>
      <w:r w:rsidR="001849AF" w:rsidRPr="00581288">
        <w:fldChar w:fldCharType="end"/>
      </w:r>
      <w:r>
        <w:t>. Its predictive performance on the testing dataset was compared against the one from the algorithm developed using the entire training data to evaluate the impact of imbalanced classes data</w:t>
      </w:r>
      <w:r w:rsidR="005E4C2A">
        <w:t>.</w:t>
      </w:r>
    </w:p>
    <w:p w14:paraId="10630365" w14:textId="6866AE15" w:rsidR="00B07CD5" w:rsidRPr="00581288" w:rsidRDefault="00B07CD5" w:rsidP="001849AF">
      <w:r w:rsidRPr="00581288">
        <w:t>Statistical analyses</w:t>
      </w:r>
      <w:r w:rsidR="001F41C9" w:rsidRPr="00581288">
        <w:t xml:space="preserve"> and some reported outcomes</w:t>
      </w:r>
      <w:r w:rsidR="00241CB9" w:rsidRPr="00581288">
        <w:t>,</w:t>
      </w:r>
      <w:r w:rsidR="001F41C9" w:rsidRPr="00581288">
        <w:t xml:space="preserve"> like Sankey graphs </w:t>
      </w:r>
      <w:r w:rsidR="001F41C9" w:rsidRPr="00581288">
        <w:fldChar w:fldCharType="begin" w:fldLock="1"/>
      </w:r>
      <w:r w:rsidR="001F41C9" w:rsidRPr="00581288">
        <w:instrText>ADDIN CSL_CITATION {"citationItems":[{"id":"ITEM-1","itemData":{"author":[{"dropping-particle":"","family":"Gandrud","given":"A.;","non-dropping-particle":"","parse-names":false,"suffix":""},{"dropping-particle":"","family":"Gandrud","given":"C.;","non-dropping-particle":"","parse-names":false,"suffix":""},{"dropping-particle":"","family":"Russell","given":"K.;","non-dropping-particle":"","parse-names":false,"suffix":""},{"dropping-particle":"","family":"Yetma","given":"C.J.","non-dropping-particle":"","parse-names":false,"suffix":""}],"id":"ITEM-1","issued":{"date-parts":[["2017"]]},"number":"0.4","title":"networkD3: JavaScript Network Graphs from R","type":"article"},"uris":["http://www.mendeley.com/documents/?uuid=2c828acf-be61-4cc3-aa8b-43b94c42d2e4"]}],"mendeley":{"formattedCitation":"(Gandrud et al., 2017)","plainTextFormattedCitation":"(Gandrud et al., 2017)","previouslyFormattedCitation":"(Gandrud et al., 2017)"},"properties":{"noteIndex":0},"schema":"https://github.com/citation-style-language/schema/raw/master/csl-citation.json"}</w:instrText>
      </w:r>
      <w:r w:rsidR="001F41C9" w:rsidRPr="00581288">
        <w:fldChar w:fldCharType="separate"/>
      </w:r>
      <w:r w:rsidR="001F41C9" w:rsidRPr="00581288">
        <w:rPr>
          <w:noProof/>
        </w:rPr>
        <w:t>(Gandrud et al., 2017)</w:t>
      </w:r>
      <w:r w:rsidR="001F41C9" w:rsidRPr="00581288">
        <w:fldChar w:fldCharType="end"/>
      </w:r>
      <w:r w:rsidR="00241CB9" w:rsidRPr="00581288">
        <w:t>,</w:t>
      </w:r>
      <w:r w:rsidRPr="00581288">
        <w:t xml:space="preserve"> were </w:t>
      </w:r>
      <w:r w:rsidR="00241CB9" w:rsidRPr="00581288">
        <w:t>carried out</w:t>
      </w:r>
      <w:r w:rsidRPr="00581288">
        <w:t xml:space="preserve"> using the </w:t>
      </w:r>
      <w:r w:rsidR="007E6DC2" w:rsidRPr="00581288">
        <w:t xml:space="preserve">R statistical software </w:t>
      </w:r>
      <w:r w:rsidR="007E6DC2" w:rsidRPr="00581288">
        <w:fldChar w:fldCharType="begin" w:fldLock="1"/>
      </w:r>
      <w:r w:rsidR="00AE73B4" w:rsidRPr="00581288">
        <w:instrText>ADDIN CSL_CITATION {"citationItems":[{"id":"ITEM-1","itemData":{"author":[{"dropping-particle":"","family":"R Core Team","given":"","non-dropping-particle":"","parse-names":false,"suffix":""}],"id":"ITEM-1","issued":{"date-parts":[["2021"]]},"publisher":"R Foundation for Statistical Computing","publisher-place":"Vienna, Austria","title":"R: A language and environment for statistical computing","type":"article"},"uris":["http://www.mendeley.com/documents/?uuid=ec2f808a-77bd-4002-9f1c-38dda62ba1ef"]}],"mendeley":{"formattedCitation":"(R Core Team, 2021)","plainTextFormattedCitation":"(R Core Team, 2021)","previouslyFormattedCitation":"(R Core Team, 2021)"},"properties":{"noteIndex":0},"schema":"https://github.com/citation-style-language/schema/raw/master/csl-citation.json"}</w:instrText>
      </w:r>
      <w:r w:rsidR="007E6DC2" w:rsidRPr="00581288">
        <w:fldChar w:fldCharType="separate"/>
      </w:r>
      <w:r w:rsidR="007E6DC2" w:rsidRPr="00581288">
        <w:rPr>
          <w:noProof/>
        </w:rPr>
        <w:t>(R Core Team, 2021)</w:t>
      </w:r>
      <w:r w:rsidR="007E6DC2" w:rsidRPr="00581288">
        <w:fldChar w:fldCharType="end"/>
      </w:r>
      <w:r w:rsidR="007E6DC2" w:rsidRPr="00581288">
        <w:t xml:space="preserve"> version </w:t>
      </w:r>
      <w:r w:rsidR="00162ACF" w:rsidRPr="00581288">
        <w:t>4.1.1</w:t>
      </w:r>
      <w:bookmarkEnd w:id="11"/>
      <w:r w:rsidR="007E6DC2" w:rsidRPr="00581288">
        <w:t>.</w:t>
      </w:r>
    </w:p>
    <w:p w14:paraId="3EB3559C" w14:textId="78E15B5C" w:rsidR="0081376D" w:rsidRPr="00581288" w:rsidRDefault="0081376D" w:rsidP="00B07CD5">
      <w:pPr>
        <w:pStyle w:val="Title1"/>
      </w:pPr>
      <w:r w:rsidRPr="00581288">
        <w:t>Results</w:t>
      </w:r>
    </w:p>
    <w:p w14:paraId="5A27B14B" w14:textId="674F7A94" w:rsidR="001D60CA" w:rsidRPr="00581288" w:rsidRDefault="001D60CA" w:rsidP="001D60CA">
      <w:pPr>
        <w:pStyle w:val="Title2"/>
        <w:numPr>
          <w:ilvl w:val="0"/>
          <w:numId w:val="0"/>
        </w:numPr>
      </w:pPr>
      <w:r w:rsidRPr="00581288">
        <w:t xml:space="preserve">3.1 </w:t>
      </w:r>
      <w:r w:rsidR="003C004D" w:rsidRPr="00581288">
        <w:t>Summary of data</w:t>
      </w:r>
    </w:p>
    <w:p w14:paraId="41EDCE97" w14:textId="67D84867" w:rsidR="00B07CD5" w:rsidRPr="00581288" w:rsidRDefault="00B07CD5" w:rsidP="00B07CD5">
      <w:bookmarkStart w:id="12" w:name="_Hlk88027571"/>
      <w:r w:rsidRPr="00581288">
        <w:t xml:space="preserve">There were </w:t>
      </w:r>
      <w:r w:rsidR="009E2313">
        <w:t>25 098</w:t>
      </w:r>
      <w:r w:rsidRPr="00581288">
        <w:t xml:space="preserve"> IR-only surveillance tests in England in the</w:t>
      </w:r>
      <w:r w:rsidR="00B404E1">
        <w:t xml:space="preserve"> initial</w:t>
      </w:r>
      <w:r w:rsidRPr="00581288">
        <w:t xml:space="preserve"> dataset (2012-2020); 53 (0.2%) tests with non-matching retest outcomes compared to IRs d</w:t>
      </w:r>
      <w:r w:rsidR="006959F9" w:rsidRPr="00581288">
        <w:t>etected</w:t>
      </w:r>
      <w:r w:rsidRPr="00581288">
        <w:t xml:space="preserve">, 356 (1.4%) tests without a retest, and 801 (3.2%) tests with retest outcomes different from the sum of reactor, IR or clear results were removed (Figure 1). </w:t>
      </w:r>
      <w:r w:rsidR="00CC5DFD" w:rsidRPr="00581288">
        <w:t xml:space="preserve">No tests had to be removed due to having taken </w:t>
      </w:r>
      <w:r w:rsidR="00CC5DFD" w:rsidRPr="00581288">
        <w:lastRenderedPageBreak/>
        <w:t>place in</w:t>
      </w:r>
      <w:r w:rsidRPr="00581288">
        <w:t xml:space="preserve"> multiple-herd holdings</w:t>
      </w:r>
      <w:r w:rsidR="00CC5DFD" w:rsidRPr="00581288">
        <w:t xml:space="preserve">, these representing only </w:t>
      </w:r>
      <w:r w:rsidR="00FE7245">
        <w:t>2</w:t>
      </w:r>
      <w:r w:rsidR="00CC5DFD" w:rsidRPr="00581288">
        <w:t>% (</w:t>
      </w:r>
      <w:r w:rsidR="00383282">
        <w:t xml:space="preserve">11 396 </w:t>
      </w:r>
      <w:r w:rsidR="00CC5DFD" w:rsidRPr="00581288">
        <w:t xml:space="preserve">out of </w:t>
      </w:r>
      <w:r w:rsidR="00383282">
        <w:t>596 017</w:t>
      </w:r>
      <w:r w:rsidR="00CC5DFD" w:rsidRPr="00581288">
        <w:t>) of active herds in England</w:t>
      </w:r>
      <w:r w:rsidR="00FE7245">
        <w:t xml:space="preserve"> and Wales</w:t>
      </w:r>
      <w:r w:rsidR="00CC5DFD" w:rsidRPr="00581288">
        <w:t xml:space="preserve"> in this study period</w:t>
      </w:r>
      <w:r w:rsidR="006500DE" w:rsidRPr="00581288">
        <w:t>, nor because of a lack of match in the predictors’ datasets</w:t>
      </w:r>
      <w:r w:rsidR="00CC5DFD" w:rsidRPr="00581288">
        <w:t>. T</w:t>
      </w:r>
      <w:r w:rsidRPr="00581288">
        <w:t>ests with missing observations in at least one variable</w:t>
      </w:r>
      <w:r w:rsidR="00664420" w:rsidRPr="00581288">
        <w:t xml:space="preserve"> were excluded</w:t>
      </w:r>
      <w:r w:rsidR="00CC5DFD" w:rsidRPr="00581288">
        <w:t xml:space="preserve"> </w:t>
      </w:r>
      <w:r w:rsidR="000B1D8A" w:rsidRPr="00581288">
        <w:t>(</w:t>
      </w:r>
      <w:r w:rsidR="00864EAD">
        <w:t>942</w:t>
      </w:r>
      <w:r w:rsidR="00004D44" w:rsidRPr="00581288">
        <w:t xml:space="preserve"> out of 23 888 or </w:t>
      </w:r>
      <w:r w:rsidR="000C55BF">
        <w:t>3.9</w:t>
      </w:r>
      <w:r w:rsidR="00004D44" w:rsidRPr="00581288">
        <w:t>% of tests removed</w:t>
      </w:r>
      <w:r w:rsidR="00CC5DFD" w:rsidRPr="00581288">
        <w:t>)</w:t>
      </w:r>
      <w:r w:rsidR="008459F1" w:rsidRPr="00581288">
        <w:t xml:space="preserve">, totalling </w:t>
      </w:r>
      <w:r w:rsidR="00C73F06">
        <w:t>2 152</w:t>
      </w:r>
      <w:r w:rsidR="008459F1" w:rsidRPr="00581288">
        <w:t xml:space="preserve"> IR-only surveillance herd tests </w:t>
      </w:r>
      <w:r w:rsidR="000B1D8A" w:rsidRPr="00581288">
        <w:t>removed</w:t>
      </w:r>
      <w:r w:rsidR="008459F1" w:rsidRPr="00581288">
        <w:t xml:space="preserve">. </w:t>
      </w:r>
    </w:p>
    <w:p w14:paraId="3FD104C4" w14:textId="40653FEB" w:rsidR="001D60CA" w:rsidRPr="00581288" w:rsidRDefault="00B07CD5" w:rsidP="00B07CD5">
      <w:pPr>
        <w:spacing w:after="0"/>
      </w:pPr>
      <w:r w:rsidRPr="00581288">
        <w:t xml:space="preserve">In the majority of the </w:t>
      </w:r>
      <w:r w:rsidR="00004B4E">
        <w:t>22 946</w:t>
      </w:r>
      <w:r w:rsidRPr="00581288">
        <w:t xml:space="preserve"> remaining</w:t>
      </w:r>
      <w:r w:rsidR="008459F1" w:rsidRPr="00581288">
        <w:t xml:space="preserve"> herd</w:t>
      </w:r>
      <w:r w:rsidR="000B1D8A" w:rsidRPr="00581288">
        <w:t xml:space="preserve"> IR-only</w:t>
      </w:r>
      <w:r w:rsidR="008459F1" w:rsidRPr="00581288">
        <w:t xml:space="preserve"> tests</w:t>
      </w:r>
      <w:r w:rsidR="001B4DC5">
        <w:t xml:space="preserve"> </w:t>
      </w:r>
      <w:r w:rsidR="001B4DC5" w:rsidRPr="00581288">
        <w:t>(</w:t>
      </w:r>
      <w:r w:rsidR="001B4DC5">
        <w:t>14 107</w:t>
      </w:r>
      <w:r w:rsidR="001B4DC5" w:rsidRPr="00581288">
        <w:t xml:space="preserve"> or 6</w:t>
      </w:r>
      <w:r w:rsidR="001B4DC5">
        <w:t>1</w:t>
      </w:r>
      <w:r w:rsidR="001B4DC5" w:rsidRPr="00581288">
        <w:t>%)</w:t>
      </w:r>
      <w:r w:rsidR="002F4451" w:rsidRPr="00581288">
        <w:t>,</w:t>
      </w:r>
      <w:r w:rsidRPr="00581288">
        <w:t xml:space="preserve"> a single IR was d</w:t>
      </w:r>
      <w:r w:rsidR="006959F9" w:rsidRPr="00581288">
        <w:t>etected</w:t>
      </w:r>
      <w:r w:rsidR="003B6179" w:rsidRPr="00581288">
        <w:t xml:space="preserve"> and most IRs retested clear</w:t>
      </w:r>
      <w:r w:rsidRPr="00581288">
        <w:t xml:space="preserve"> </w:t>
      </w:r>
      <w:r w:rsidR="002F4451" w:rsidRPr="00581288">
        <w:t xml:space="preserve">in all areas </w:t>
      </w:r>
      <w:r w:rsidRPr="00581288">
        <w:t>(i.e. an outcome variable result of “</w:t>
      </w:r>
      <w:r w:rsidR="00361D3F" w:rsidRPr="00581288">
        <w:t>No</w:t>
      </w:r>
      <w:r w:rsidRPr="00581288">
        <w:t>”)</w:t>
      </w:r>
      <w:r w:rsidR="0079480C" w:rsidRPr="00581288">
        <w:t xml:space="preserve"> (Figure 2), with only </w:t>
      </w:r>
      <w:r w:rsidR="0026040F">
        <w:t>15</w:t>
      </w:r>
      <w:r w:rsidR="0079480C" w:rsidRPr="00581288">
        <w:t>% (</w:t>
      </w:r>
      <w:r w:rsidR="0026040F">
        <w:t>6 296</w:t>
      </w:r>
      <w:r w:rsidR="0079480C" w:rsidRPr="00581288">
        <w:t xml:space="preserve"> out of </w:t>
      </w:r>
      <w:r w:rsidR="00487007">
        <w:t>42</w:t>
      </w:r>
      <w:r w:rsidR="00BB5B3D">
        <w:t xml:space="preserve"> </w:t>
      </w:r>
      <w:r w:rsidR="00487007">
        <w:t>685</w:t>
      </w:r>
      <w:r w:rsidR="0079480C" w:rsidRPr="00581288">
        <w:t xml:space="preserve">) of IRs becoming reactors </w:t>
      </w:r>
      <w:r w:rsidR="0026040F">
        <w:t xml:space="preserve">(2 716) </w:t>
      </w:r>
      <w:r w:rsidR="0079480C" w:rsidRPr="00581288">
        <w:t>or IRs</w:t>
      </w:r>
      <w:r w:rsidR="0026040F">
        <w:t xml:space="preserve"> (3 580)</w:t>
      </w:r>
      <w:r w:rsidR="0079480C" w:rsidRPr="00581288">
        <w:t xml:space="preserve"> at the retest test</w:t>
      </w:r>
      <w:r w:rsidRPr="00581288">
        <w:t xml:space="preserve">. A further </w:t>
      </w:r>
      <w:r w:rsidR="008E626D" w:rsidRPr="00581288">
        <w:t>2 17</w:t>
      </w:r>
      <w:r w:rsidR="00487007">
        <w:t>7</w:t>
      </w:r>
      <w:r w:rsidRPr="00581288">
        <w:t xml:space="preserve"> tests were removed as they were carried out in 2020</w:t>
      </w:r>
      <w:r w:rsidR="008E626D" w:rsidRPr="00581288">
        <w:t xml:space="preserve">, 17% </w:t>
      </w:r>
      <w:r w:rsidR="008361AF">
        <w:t xml:space="preserve">or 373 </w:t>
      </w:r>
      <w:r w:rsidR="008E626D" w:rsidRPr="00581288">
        <w:t>of tests having an incident at retest in this group</w:t>
      </w:r>
      <w:r w:rsidRPr="00581288">
        <w:t>. The 2012-2019 eligible tests remaining were split into training (</w:t>
      </w:r>
      <w:r w:rsidR="008361AF">
        <w:t xml:space="preserve">16 </w:t>
      </w:r>
      <w:r w:rsidR="00487007">
        <w:t>616</w:t>
      </w:r>
      <w:r w:rsidRPr="00581288">
        <w:t xml:space="preserve"> tests or 80%) and testing (</w:t>
      </w:r>
      <w:r w:rsidR="008361AF">
        <w:t xml:space="preserve">4 </w:t>
      </w:r>
      <w:r w:rsidR="00487007">
        <w:t>153</w:t>
      </w:r>
      <w:r w:rsidRPr="00581288">
        <w:t xml:space="preserve"> tests or 20%)</w:t>
      </w:r>
      <w:r w:rsidR="008E626D" w:rsidRPr="00581288">
        <w:t xml:space="preserve"> datasets for classification tree and random forest analyses (Figure 1), </w:t>
      </w:r>
      <w:r w:rsidR="002F4451" w:rsidRPr="00581288">
        <w:t>21</w:t>
      </w:r>
      <w:r w:rsidR="008E626D" w:rsidRPr="00581288">
        <w:t xml:space="preserve">% of tests in </w:t>
      </w:r>
      <w:r w:rsidR="002A6860" w:rsidRPr="00581288">
        <w:t>these datasets</w:t>
      </w:r>
      <w:r w:rsidR="008E626D" w:rsidRPr="00581288">
        <w:t xml:space="preserve"> having an incident at retest</w:t>
      </w:r>
      <w:bookmarkEnd w:id="12"/>
      <w:r w:rsidR="00487007">
        <w:t xml:space="preserve"> (3 493 and 873, respectively)</w:t>
      </w:r>
      <w:r w:rsidR="001D60CA" w:rsidRPr="00581288">
        <w:t>.</w:t>
      </w:r>
    </w:p>
    <w:p w14:paraId="731C74C5" w14:textId="54C05105" w:rsidR="001D60CA" w:rsidRPr="00581288" w:rsidRDefault="001D6972" w:rsidP="001D60CA">
      <w:pPr>
        <w:pStyle w:val="Title2"/>
        <w:numPr>
          <w:ilvl w:val="0"/>
          <w:numId w:val="0"/>
        </w:numPr>
        <w:ind w:left="720" w:hanging="720"/>
      </w:pPr>
      <w:r w:rsidRPr="00581288">
        <w:t>3.</w:t>
      </w:r>
      <w:r w:rsidR="001D60CA" w:rsidRPr="00581288">
        <w:t>2</w:t>
      </w:r>
      <w:r w:rsidRPr="00581288">
        <w:t xml:space="preserve"> </w:t>
      </w:r>
      <w:r w:rsidR="00B07CD5" w:rsidRPr="00581288">
        <w:t>Data analysis</w:t>
      </w:r>
    </w:p>
    <w:p w14:paraId="6DB006BF" w14:textId="1E857D6A" w:rsidR="000C10AA" w:rsidRPr="00581288" w:rsidRDefault="000C10AA" w:rsidP="000C10AA">
      <w:pPr>
        <w:pStyle w:val="Title3"/>
        <w:numPr>
          <w:ilvl w:val="0"/>
          <w:numId w:val="0"/>
        </w:numPr>
        <w:spacing w:after="0" w:line="480" w:lineRule="auto"/>
        <w:rPr>
          <w:i/>
        </w:rPr>
      </w:pPr>
      <w:r w:rsidRPr="00581288">
        <w:rPr>
          <w:i/>
        </w:rPr>
        <w:t>3.</w:t>
      </w:r>
      <w:r w:rsidR="00B07CD5" w:rsidRPr="00581288">
        <w:rPr>
          <w:i/>
        </w:rPr>
        <w:t>2</w:t>
      </w:r>
      <w:r w:rsidRPr="00581288">
        <w:rPr>
          <w:i/>
        </w:rPr>
        <w:t xml:space="preserve">.1 </w:t>
      </w:r>
      <w:r w:rsidR="00B07CD5" w:rsidRPr="00581288">
        <w:rPr>
          <w:i/>
        </w:rPr>
        <w:t>Classification tree analysis</w:t>
      </w:r>
    </w:p>
    <w:p w14:paraId="2D6223D6" w14:textId="2DE7FF27" w:rsidR="00B07CD5" w:rsidRPr="00581288" w:rsidRDefault="00B07CD5" w:rsidP="00B07CD5">
      <w:bookmarkStart w:id="13" w:name="_Hlk88027611"/>
      <w:r w:rsidRPr="00581288">
        <w:t>The</w:t>
      </w:r>
      <w:r w:rsidR="00B26AA3" w:rsidRPr="00581288">
        <w:t xml:space="preserve"> </w:t>
      </w:r>
      <w:r w:rsidRPr="00581288">
        <w:t>classification tree using the</w:t>
      </w:r>
      <w:r w:rsidR="00C91151">
        <w:t xml:space="preserve"> training dataset (80% observations 2012-2019), with the</w:t>
      </w:r>
      <w:r w:rsidRPr="00581288">
        <w:t xml:space="preserve"> </w:t>
      </w:r>
      <w:r w:rsidR="00B26AA3" w:rsidRPr="00581288">
        <w:t>16 variables in the top</w:t>
      </w:r>
      <w:r w:rsidR="007A54B4">
        <w:t xml:space="preserve"> </w:t>
      </w:r>
      <w:r w:rsidR="00B26AA3" w:rsidRPr="00581288">
        <w:t>20 variables with cut-off points</w:t>
      </w:r>
      <w:r w:rsidR="00121C5F">
        <w:t xml:space="preserve"> </w:t>
      </w:r>
      <w:r w:rsidR="00C91151">
        <w:t xml:space="preserve">list </w:t>
      </w:r>
      <w:r w:rsidR="00121C5F">
        <w:t>of</w:t>
      </w:r>
      <w:r w:rsidR="00B26AA3" w:rsidRPr="00581288">
        <w:t xml:space="preserve"> the original model (Table S4_a supplementary materials S4)</w:t>
      </w:r>
      <w:r w:rsidR="007B4548" w:rsidRPr="00581288">
        <w:t>,</w:t>
      </w:r>
      <w:r w:rsidR="00B26AA3" w:rsidRPr="00581288">
        <w:t xml:space="preserve"> </w:t>
      </w:r>
      <w:r w:rsidRPr="00581288">
        <w:t xml:space="preserve">had </w:t>
      </w:r>
      <w:r w:rsidR="00121C5F">
        <w:t>2</w:t>
      </w:r>
      <w:r w:rsidR="003927F2">
        <w:t>5</w:t>
      </w:r>
      <w:r w:rsidRPr="00581288">
        <w:t xml:space="preserve"> nodes; </w:t>
      </w:r>
      <w:r w:rsidR="00121C5F">
        <w:t>1</w:t>
      </w:r>
      <w:r w:rsidR="003927F2">
        <w:t>3</w:t>
      </w:r>
      <w:r w:rsidRPr="00581288">
        <w:t xml:space="preserve"> of them terminal, and a depth of </w:t>
      </w:r>
      <w:r w:rsidR="00121C5F">
        <w:t>eight</w:t>
      </w:r>
      <w:r w:rsidR="00245CAE" w:rsidRPr="00581288">
        <w:t xml:space="preserve"> </w:t>
      </w:r>
      <w:r w:rsidR="002B0A50" w:rsidRPr="00581288">
        <w:t>(Figure 3)</w:t>
      </w:r>
      <w:r w:rsidRPr="00581288">
        <w:t xml:space="preserve">. The </w:t>
      </w:r>
      <w:r w:rsidR="000B1AF7" w:rsidRPr="00581288">
        <w:t>root node in the tree (</w:t>
      </w:r>
      <w:r w:rsidRPr="00581288">
        <w:t xml:space="preserve">best </w:t>
      </w:r>
      <w:r w:rsidR="000B1AF7" w:rsidRPr="00581288">
        <w:t>variable for classification purposes)</w:t>
      </w:r>
      <w:r w:rsidRPr="00581288">
        <w:t xml:space="preserve"> was </w:t>
      </w:r>
      <w:r w:rsidRPr="00581288">
        <w:rPr>
          <w:i/>
        </w:rPr>
        <w:t>Recurrent (yes/no)</w:t>
      </w:r>
      <w:r w:rsidRPr="00581288">
        <w:t xml:space="preserve">, meaning the herd tested had an incident in the reporting year and a previous one resolved within the previous three years. </w:t>
      </w:r>
    </w:p>
    <w:p w14:paraId="290595D9" w14:textId="7015B398" w:rsidR="00B07CD5" w:rsidRPr="00581288" w:rsidRDefault="00B07CD5" w:rsidP="00B07CD5">
      <w:r w:rsidRPr="00581288">
        <w:lastRenderedPageBreak/>
        <w:t xml:space="preserve">The </w:t>
      </w:r>
      <w:r w:rsidR="000B1AF7" w:rsidRPr="00581288">
        <w:t>terminal node at the bottom of the tree with the highest proportion of incidents at retest (</w:t>
      </w:r>
      <w:r w:rsidR="00B26AA3" w:rsidRPr="00581288">
        <w:t>8</w:t>
      </w:r>
      <w:r w:rsidR="003927F2">
        <w:t>7</w:t>
      </w:r>
      <w:r w:rsidRPr="00581288">
        <w:t xml:space="preserve">% of retests with at least one reactor or IR in </w:t>
      </w:r>
      <w:r w:rsidR="00121C5F">
        <w:t>1</w:t>
      </w:r>
      <w:r w:rsidR="003927F2">
        <w:t>76</w:t>
      </w:r>
      <w:r w:rsidRPr="00581288">
        <w:t xml:space="preserve"> tests)</w:t>
      </w:r>
      <w:r w:rsidR="00121C5F">
        <w:t>,</w:t>
      </w:r>
      <w:r w:rsidRPr="00581288">
        <w:t xml:space="preserve"> was made up of tests in herds without a </w:t>
      </w:r>
      <w:r w:rsidR="00B26AA3" w:rsidRPr="00581288">
        <w:rPr>
          <w:iCs/>
        </w:rPr>
        <w:t>r</w:t>
      </w:r>
      <w:r w:rsidRPr="00581288">
        <w:rPr>
          <w:iCs/>
        </w:rPr>
        <w:t>ecurrent incident</w:t>
      </w:r>
      <w:r w:rsidRPr="00581288">
        <w:rPr>
          <w:i/>
          <w:iCs/>
        </w:rPr>
        <w:t>,</w:t>
      </w:r>
      <w:r w:rsidR="00046BC0" w:rsidRPr="00581288">
        <w:rPr>
          <w:iCs/>
        </w:rPr>
        <w:t xml:space="preserve"> nor</w:t>
      </w:r>
      <w:r w:rsidRPr="00581288">
        <w:rPr>
          <w:i/>
          <w:iCs/>
        </w:rPr>
        <w:t xml:space="preserve"> </w:t>
      </w:r>
      <w:r w:rsidR="00046BC0" w:rsidRPr="00581288">
        <w:rPr>
          <w:iCs/>
        </w:rPr>
        <w:t>a</w:t>
      </w:r>
      <w:r w:rsidRPr="00581288">
        <w:rPr>
          <w:iCs/>
        </w:rPr>
        <w:t xml:space="preserve"> bTB incident resolved in the last</w:t>
      </w:r>
      <w:r w:rsidR="00121C5F">
        <w:rPr>
          <w:iCs/>
        </w:rPr>
        <w:t xml:space="preserve"> year</w:t>
      </w:r>
      <w:r w:rsidR="00046BC0" w:rsidRPr="00581288">
        <w:rPr>
          <w:iCs/>
        </w:rPr>
        <w:t>, with a risk score</w:t>
      </w:r>
      <w:r w:rsidR="00121C5F">
        <w:rPr>
          <w:iCs/>
        </w:rPr>
        <w:t xml:space="preserve"> not 5 but</w:t>
      </w:r>
      <w:r w:rsidR="000B7F52" w:rsidRPr="00581288">
        <w:rPr>
          <w:iCs/>
        </w:rPr>
        <w:t xml:space="preserve"> </w:t>
      </w:r>
      <w:r w:rsidR="00121C5F">
        <w:rPr>
          <w:iCs/>
        </w:rPr>
        <w:t xml:space="preserve">4 </w:t>
      </w:r>
      <w:r w:rsidR="000B7F52" w:rsidRPr="00581288">
        <w:rPr>
          <w:iCs/>
        </w:rPr>
        <w:t>(</w:t>
      </w:r>
      <w:r w:rsidR="000B7F52" w:rsidRPr="00581288">
        <w:t xml:space="preserve">adapted from </w:t>
      </w:r>
      <w:r w:rsidR="000B7F52" w:rsidRPr="00581288">
        <w:fldChar w:fldCharType="begin" w:fldLock="1"/>
      </w:r>
      <w:r w:rsidR="000B7F52" w:rsidRPr="00581288">
        <w:instrText>ADDIN CSL_CITATION {"citationItems":[{"id":"ITEM-1","itemData":{"DOI":"10.1016/j.prevetmed.2015.11.020","ISSN":"01675877","abstract":"Identifying and ranking cattle herds with a higher risk of being or becoming infected on known risk factors can help target farm biosecurity, surveillance schemes and reduce spread through animal trading. This paper describes a quantitative approach to develop risk scores, based on the probability of infection in a herd with bovine tuberculosis (bTB), to be used in a risk-based trading (RBT) scheme in England and Wales. To produce a practical scoring system the risk factors included need to be simple and quick to understand, sufficiently informative and derived from centralised national databases to enable verification and assess compliance. A logistic regression identified herd history of bTB, local bTB prevalence, herd size and movements of animals onto farms in batches from high risk areas as being significantly associated with the probability of bTB infection on farm. Risk factors were assigned points using the estimated odds ratios to weight them. The farm risk score was defined as the sum of these individual points yielding a range from 1 to 5 and was calculated for each cattle farm that was trading animals in England and Wales at the start of a year. Within 12 months, of those farms tested, 30.3% of score 5 farms had a breakdown (sensitivity). Of farms scoring 1-4 only 5.4% incurred a breakdown (1-specificity). The use of this risk scoring system within RBT has the potential to reduce infected cattle movements; however, there are cost implications in ensuring that the information underpinning any system is accurate and up to date.","author":[{"dropping-particle":"","family":"Adkin","given":"A.","non-dropping-particle":"","parse-names":false,"suffix":""},{"dropping-particle":"","family":"Brouwer","given":"A.","non-dropping-particle":"","parse-names":false,"suffix":""},{"dropping-particle":"","family":"Simons","given":"R. R.L.","non-dropping-particle":"","parse-names":false,"suffix":""},{"dropping-particle":"","family":"Smith","given":"R. P.","non-dropping-particle":"","parse-names":false,"suffix":""},{"dropping-particle":"","family":"Arnold","given":"M. E.","non-dropping-particle":"","parse-names":false,"suffix":""},{"dropping-particle":"","family":"Broughan","given":"J.","non-dropping-particle":"","parse-names":false,"suffix":""},{"dropping-particle":"","family":"Kosmider","given":"R.","non-dropping-particle":"","parse-names":false,"suffix":""},{"dropping-particle":"","family":"Downs","given":"S. H.","non-dropping-particle":"","parse-names":false,"suffix":""}],"container-title":"Preventive Veterinary Medicine","id":"ITEM-1","issued":{"date-parts":[["2016"]]},"page":"32-38","publisher":"Elsevier B.V.","title":"Development of risk-based trading farm scoring system to assist with the control of bovine tuberculosis in cattle in England and Wales","type":"article-journal","volume":"123"},"uris":["http://www.mendeley.com/documents/?uuid=cfa5a456-d81d-4f78-8404-9967954ab95e"]}],"mendeley":{"formattedCitation":"(Adkin et al., 2016)","plainTextFormattedCitation":"(Adkin et al., 2016)","previouslyFormattedCitation":"(Adkin et al., 2016)"},"properties":{"noteIndex":0},"schema":"https://github.com/citation-style-language/schema/raw/master/csl-citation.json"}</w:instrText>
      </w:r>
      <w:r w:rsidR="000B7F52" w:rsidRPr="00581288">
        <w:fldChar w:fldCharType="separate"/>
      </w:r>
      <w:r w:rsidR="000B7F52" w:rsidRPr="00581288">
        <w:rPr>
          <w:noProof/>
        </w:rPr>
        <w:t>(Adkin et al., 2016)</w:t>
      </w:r>
      <w:r w:rsidR="000B7F52" w:rsidRPr="00581288">
        <w:fldChar w:fldCharType="end"/>
      </w:r>
      <w:r w:rsidR="000B7F52" w:rsidRPr="00581288">
        <w:t>)</w:t>
      </w:r>
      <w:r w:rsidR="000B7F52" w:rsidRPr="00581288">
        <w:rPr>
          <w:iCs/>
        </w:rPr>
        <w:t>, with a previous incident</w:t>
      </w:r>
      <w:r w:rsidR="00121C5F">
        <w:rPr>
          <w:iCs/>
        </w:rPr>
        <w:t xml:space="preserve"> not resolved in the last 6-10 years</w:t>
      </w:r>
      <w:r w:rsidR="000B7F52" w:rsidRPr="00581288">
        <w:rPr>
          <w:iCs/>
        </w:rPr>
        <w:t xml:space="preserve">, </w:t>
      </w:r>
      <w:r w:rsidR="00121C5F">
        <w:rPr>
          <w:iCs/>
        </w:rPr>
        <w:t>a surveillance test type low risk (not a back-tracing or a post-incident test)</w:t>
      </w:r>
      <w:r w:rsidR="009367CA" w:rsidRPr="00581288">
        <w:rPr>
          <w:iCs/>
        </w:rPr>
        <w:t>,</w:t>
      </w:r>
      <w:r w:rsidR="00046BC0" w:rsidRPr="00581288">
        <w:rPr>
          <w:iCs/>
        </w:rPr>
        <w:t xml:space="preserve"> </w:t>
      </w:r>
      <w:r w:rsidR="00121C5F" w:rsidRPr="00581288">
        <w:rPr>
          <w:iCs/>
        </w:rPr>
        <w:t>with a previous incident</w:t>
      </w:r>
      <w:r w:rsidR="00121C5F">
        <w:rPr>
          <w:iCs/>
        </w:rPr>
        <w:t xml:space="preserve"> not resolved in the last 1-5 years</w:t>
      </w:r>
      <w:r w:rsidR="00BB3597">
        <w:rPr>
          <w:iCs/>
        </w:rPr>
        <w:t xml:space="preserve"> (either not a previous incident resolved or one resolved over 11 years ago)</w:t>
      </w:r>
      <w:r w:rsidR="00121C5F" w:rsidRPr="00581288">
        <w:rPr>
          <w:iCs/>
        </w:rPr>
        <w:t xml:space="preserve"> </w:t>
      </w:r>
      <w:r w:rsidRPr="00581288">
        <w:t xml:space="preserve">(Figure 3). </w:t>
      </w:r>
    </w:p>
    <w:p w14:paraId="14FFD143" w14:textId="2BA95CAE" w:rsidR="000C10AA" w:rsidRPr="00581288" w:rsidRDefault="003927F2" w:rsidP="00B07CD5">
      <w:r>
        <w:t>T</w:t>
      </w:r>
      <w:r w:rsidRPr="00581288">
        <w:t xml:space="preserve">he time (in years) since the last incident was resolved was the most important variable in the tree construction, followed by </w:t>
      </w:r>
      <w:r>
        <w:t>w</w:t>
      </w:r>
      <w:r w:rsidR="00B07CD5" w:rsidRPr="00581288">
        <w:t>hether the herd where the IR-only surveillance test took place is recurrent or not (Table S4</w:t>
      </w:r>
      <w:r w:rsidR="000C0D2C" w:rsidRPr="00581288">
        <w:t>_</w:t>
      </w:r>
      <w:r w:rsidR="005957D5" w:rsidRPr="00581288">
        <w:t>a</w:t>
      </w:r>
      <w:r w:rsidR="00B07CD5" w:rsidRPr="00581288">
        <w:t xml:space="preserve"> supplementary materials S4). The classification tree model demonstrated </w:t>
      </w:r>
      <w:r w:rsidR="00C0220F" w:rsidRPr="00581288">
        <w:t>an AUC of 8</w:t>
      </w:r>
      <w:r w:rsidR="00872140">
        <w:t>3</w:t>
      </w:r>
      <w:r w:rsidR="00C0220F" w:rsidRPr="00581288">
        <w:t xml:space="preserve">% </w:t>
      </w:r>
      <w:r w:rsidR="00B07CD5" w:rsidRPr="00581288">
        <w:t>on the Test 1 dataset, with a balanced accuracy of 8</w:t>
      </w:r>
      <w:r w:rsidR="00872140">
        <w:t>2</w:t>
      </w:r>
      <w:r w:rsidR="00B07CD5" w:rsidRPr="00581288">
        <w:t xml:space="preserve">%, </w:t>
      </w:r>
      <w:r w:rsidR="009367CA" w:rsidRPr="00581288">
        <w:t xml:space="preserve">and </w:t>
      </w:r>
      <w:r w:rsidR="00B07CD5" w:rsidRPr="00581288">
        <w:t>higher specificity (9</w:t>
      </w:r>
      <w:r w:rsidR="00D80499">
        <w:t>3</w:t>
      </w:r>
      <w:r w:rsidR="00B07CD5" w:rsidRPr="00581288">
        <w:t>%) compared to sensitivity (7</w:t>
      </w:r>
      <w:r>
        <w:t>0</w:t>
      </w:r>
      <w:r w:rsidR="00B07CD5" w:rsidRPr="00581288">
        <w:t xml:space="preserve">%) (Table 1). </w:t>
      </w:r>
      <w:bookmarkEnd w:id="13"/>
    </w:p>
    <w:p w14:paraId="350BC531" w14:textId="0405908E" w:rsidR="000C10AA" w:rsidRPr="00581288" w:rsidRDefault="000C10AA" w:rsidP="000C10AA">
      <w:pPr>
        <w:pStyle w:val="Title4"/>
        <w:numPr>
          <w:ilvl w:val="0"/>
          <w:numId w:val="0"/>
        </w:numPr>
        <w:spacing w:after="0" w:line="480" w:lineRule="auto"/>
        <w:outlineLvl w:val="2"/>
        <w:rPr>
          <w:iCs w:val="0"/>
        </w:rPr>
      </w:pPr>
      <w:r w:rsidRPr="00581288">
        <w:rPr>
          <w:iCs w:val="0"/>
        </w:rPr>
        <w:t>3.</w:t>
      </w:r>
      <w:r w:rsidR="00B07CD5" w:rsidRPr="00581288">
        <w:rPr>
          <w:iCs w:val="0"/>
        </w:rPr>
        <w:t>2</w:t>
      </w:r>
      <w:r w:rsidRPr="00581288">
        <w:rPr>
          <w:iCs w:val="0"/>
        </w:rPr>
        <w:t xml:space="preserve">.2. </w:t>
      </w:r>
      <w:r w:rsidR="00B07CD5" w:rsidRPr="00581288">
        <w:rPr>
          <w:iCs w:val="0"/>
        </w:rPr>
        <w:t>Random forest</w:t>
      </w:r>
    </w:p>
    <w:p w14:paraId="1F98B814" w14:textId="18A1AC5C" w:rsidR="000C10AA" w:rsidRPr="00581288" w:rsidRDefault="00B07CD5" w:rsidP="000C10AA">
      <w:r w:rsidRPr="00581288">
        <w:t xml:space="preserve">The </w:t>
      </w:r>
      <w:r w:rsidR="007B4548" w:rsidRPr="00581288">
        <w:t xml:space="preserve">final </w:t>
      </w:r>
      <w:r w:rsidRPr="00581288">
        <w:t>model</w:t>
      </w:r>
      <w:r w:rsidR="009367CA" w:rsidRPr="00581288">
        <w:t>,</w:t>
      </w:r>
      <w:r w:rsidR="007B4548" w:rsidRPr="00581288">
        <w:t xml:space="preserve"> </w:t>
      </w:r>
      <w:r w:rsidR="009367CA" w:rsidRPr="00581288">
        <w:t xml:space="preserve">using </w:t>
      </w:r>
      <w:r w:rsidR="007B4548" w:rsidRPr="00581288">
        <w:t>the top 20 variables from the original model (Table S4_b supplementary materials S4)</w:t>
      </w:r>
      <w:r w:rsidR="009367CA" w:rsidRPr="00581288">
        <w:t xml:space="preserve"> and</w:t>
      </w:r>
      <w:r w:rsidRPr="00581288">
        <w:t xml:space="preserve"> train</w:t>
      </w:r>
      <w:r w:rsidR="007B4548" w:rsidRPr="00581288">
        <w:t>ed</w:t>
      </w:r>
      <w:r w:rsidRPr="00581288">
        <w:t xml:space="preserve"> on the 80% observations of the 2012-2019 datase</w:t>
      </w:r>
      <w:r w:rsidR="007B4548" w:rsidRPr="00581288">
        <w:t>t</w:t>
      </w:r>
      <w:r w:rsidR="009367CA" w:rsidRPr="00581288">
        <w:t>,</w:t>
      </w:r>
      <w:r w:rsidR="007B4548" w:rsidRPr="00581288">
        <w:t xml:space="preserve"> was</w:t>
      </w:r>
      <w:r w:rsidRPr="00581288">
        <w:t xml:space="preserve"> tuned using </w:t>
      </w:r>
      <w:r w:rsidR="00D75F9F">
        <w:t>401</w:t>
      </w:r>
      <w:r w:rsidRPr="00581288">
        <w:t xml:space="preserve"> trees with </w:t>
      </w:r>
      <w:r w:rsidR="007B4548" w:rsidRPr="00581288">
        <w:t>eight</w:t>
      </w:r>
      <w:r w:rsidRPr="00581288">
        <w:t xml:space="preserve"> variables tried at each split, resulting in an estimated out-of-bag (OOB) error rate of 11%. The t</w:t>
      </w:r>
      <w:r w:rsidR="00775A6C">
        <w:t>wo</w:t>
      </w:r>
      <w:r w:rsidRPr="00581288">
        <w:t xml:space="preserve"> most important variables were the same as the classification tree model (Table S4</w:t>
      </w:r>
      <w:r w:rsidR="000C0D2C" w:rsidRPr="00581288">
        <w:t>_</w:t>
      </w:r>
      <w:r w:rsidR="005957D5" w:rsidRPr="00581288">
        <w:t>b</w:t>
      </w:r>
      <w:r w:rsidRPr="00581288">
        <w:t xml:space="preserve"> supplementary materials S4). The </w:t>
      </w:r>
      <w:r w:rsidR="00562E10" w:rsidRPr="00581288">
        <w:t xml:space="preserve">final </w:t>
      </w:r>
      <w:r w:rsidRPr="00581288">
        <w:t>model demonstrated</w:t>
      </w:r>
      <w:r w:rsidR="008A23BD" w:rsidRPr="00581288">
        <w:t xml:space="preserve"> </w:t>
      </w:r>
      <w:r w:rsidRPr="00581288">
        <w:t>an 8</w:t>
      </w:r>
      <w:r w:rsidR="00D75F9F">
        <w:t>6</w:t>
      </w:r>
      <w:r w:rsidRPr="00581288">
        <w:t>% AUC</w:t>
      </w:r>
      <w:r w:rsidR="008A23BD" w:rsidRPr="00581288">
        <w:t xml:space="preserve"> on the Test 1 dataset</w:t>
      </w:r>
      <w:r w:rsidRPr="00581288">
        <w:t>, a balanced accuracy of 8</w:t>
      </w:r>
      <w:r w:rsidR="00775A6C">
        <w:t>1</w:t>
      </w:r>
      <w:r w:rsidRPr="00581288">
        <w:t>%, and higher specificity (9</w:t>
      </w:r>
      <w:r w:rsidR="00D75F9F">
        <w:t>4</w:t>
      </w:r>
      <w:r w:rsidRPr="00581288">
        <w:t>%) compared to sensitivity (</w:t>
      </w:r>
      <w:r w:rsidR="007B4548" w:rsidRPr="00581288">
        <w:t>6</w:t>
      </w:r>
      <w:r w:rsidR="00775A6C">
        <w:t>7</w:t>
      </w:r>
      <w:r w:rsidRPr="00581288">
        <w:t xml:space="preserve">%) (Table 2). </w:t>
      </w:r>
    </w:p>
    <w:p w14:paraId="5DEF8E3C" w14:textId="0D5DF681" w:rsidR="001D60CA" w:rsidRPr="00581288" w:rsidRDefault="001D6972" w:rsidP="001D60CA">
      <w:pPr>
        <w:pStyle w:val="Title2"/>
        <w:numPr>
          <w:ilvl w:val="0"/>
          <w:numId w:val="0"/>
        </w:numPr>
        <w:ind w:left="720" w:hanging="720"/>
      </w:pPr>
      <w:r w:rsidRPr="00581288">
        <w:lastRenderedPageBreak/>
        <w:t>3.</w:t>
      </w:r>
      <w:r w:rsidR="00B07CD5" w:rsidRPr="00581288">
        <w:t>2</w:t>
      </w:r>
      <w:r w:rsidR="00932032" w:rsidRPr="00581288">
        <w:t>.3</w:t>
      </w:r>
      <w:r w:rsidR="00370C6A" w:rsidRPr="00581288">
        <w:t xml:space="preserve"> </w:t>
      </w:r>
      <w:r w:rsidR="00B07CD5" w:rsidRPr="00581288">
        <w:t xml:space="preserve">Model selection and </w:t>
      </w:r>
      <w:r w:rsidR="00C91151">
        <w:t>impact of imbalanced classes data</w:t>
      </w:r>
    </w:p>
    <w:p w14:paraId="2FDD58C9" w14:textId="68C6655D" w:rsidR="00C91151" w:rsidRDefault="00B07CD5" w:rsidP="00B07CD5">
      <w:r w:rsidRPr="00581288">
        <w:t xml:space="preserve">The classification tree model was chosen over the random forest model, given the similar predictive performance and </w:t>
      </w:r>
      <w:r w:rsidR="00A93252">
        <w:t>having the easy-to-interpret</w:t>
      </w:r>
      <w:r w:rsidRPr="00581288">
        <w:t xml:space="preserve"> tree, which allows for an easier roll out and adoption by operational staff as well as farmers.</w:t>
      </w:r>
      <w:r w:rsidR="0051084C" w:rsidRPr="00581288">
        <w:t xml:space="preserve"> </w:t>
      </w:r>
      <w:r w:rsidR="00C06969" w:rsidRPr="00581288">
        <w:t>A simplified version of the tree</w:t>
      </w:r>
      <w:r w:rsidR="00801B11" w:rsidRPr="00581288">
        <w:t xml:space="preserve">, </w:t>
      </w:r>
      <w:r w:rsidR="00C06969" w:rsidRPr="00581288">
        <w:t>showing the variables with cut-off points and whether the terminal node is predominantly “yes” or “no”</w:t>
      </w:r>
      <w:r w:rsidR="00801B11" w:rsidRPr="00581288">
        <w:t>,</w:t>
      </w:r>
      <w:r w:rsidR="00C06969" w:rsidRPr="00581288">
        <w:t xml:space="preserve"> could be used by farmers</w:t>
      </w:r>
      <w:r w:rsidR="00801B11" w:rsidRPr="00581288">
        <w:t xml:space="preserve"> with IR-only surveillance tests</w:t>
      </w:r>
      <w:r w:rsidR="009367CA" w:rsidRPr="00581288">
        <w:t xml:space="preserve"> to</w:t>
      </w:r>
      <w:r w:rsidR="00C06969" w:rsidRPr="00581288">
        <w:t xml:space="preserve"> see whether they </w:t>
      </w:r>
      <w:r w:rsidR="009367CA" w:rsidRPr="00581288">
        <w:t xml:space="preserve">would be </w:t>
      </w:r>
      <w:r w:rsidR="00C06969" w:rsidRPr="00581288">
        <w:t>more (“yes” terminal node)</w:t>
      </w:r>
      <w:r w:rsidR="00801B11" w:rsidRPr="00581288">
        <w:t xml:space="preserve"> or less (“no” terminal node)</w:t>
      </w:r>
      <w:r w:rsidR="00C06969" w:rsidRPr="00581288">
        <w:t xml:space="preserve"> likely</w:t>
      </w:r>
      <w:r w:rsidR="00801B11" w:rsidRPr="00581288">
        <w:t xml:space="preserve"> to </w:t>
      </w:r>
      <w:r w:rsidR="009367CA" w:rsidRPr="00581288">
        <w:t xml:space="preserve">have </w:t>
      </w:r>
      <w:r w:rsidR="00801B11" w:rsidRPr="00581288">
        <w:t>additional disease control measures (severe reinterpretation of the disclosing test)</w:t>
      </w:r>
      <w:r w:rsidR="009367CA" w:rsidRPr="00581288">
        <w:t xml:space="preserve"> applied</w:t>
      </w:r>
      <w:r w:rsidR="00801B11" w:rsidRPr="00581288">
        <w:t>.</w:t>
      </w:r>
      <w:r w:rsidR="00C06969" w:rsidRPr="00581288">
        <w:t xml:space="preserve"> </w:t>
      </w:r>
    </w:p>
    <w:p w14:paraId="6679F1C8" w14:textId="19B1DDC5" w:rsidR="00B07CD5" w:rsidRDefault="0051084C" w:rsidP="00B07CD5">
      <w:r w:rsidRPr="00581288">
        <w:t xml:space="preserve">The </w:t>
      </w:r>
      <w:r w:rsidR="00C91151">
        <w:t>classification tree</w:t>
      </w:r>
      <w:r w:rsidRPr="00581288">
        <w:t xml:space="preserve"> model</w:t>
      </w:r>
      <w:r w:rsidR="009367CA" w:rsidRPr="00581288">
        <w:t>,</w:t>
      </w:r>
      <w:r w:rsidRPr="00581288">
        <w:t xml:space="preserve"> trained on down-sampled data (</w:t>
      </w:r>
      <w:r w:rsidR="00DF0339">
        <w:t>3 493</w:t>
      </w:r>
      <w:r w:rsidRPr="00581288">
        <w:t xml:space="preserve"> incidents and non-incidents at retest tests)</w:t>
      </w:r>
      <w:r w:rsidR="00C91151">
        <w:t xml:space="preserve"> with the same 16 variables</w:t>
      </w:r>
      <w:r w:rsidR="009367CA" w:rsidRPr="00581288">
        <w:t>,</w:t>
      </w:r>
      <w:r w:rsidRPr="00581288">
        <w:t xml:space="preserve"> had </w:t>
      </w:r>
      <w:r w:rsidR="00D40C0E">
        <w:t>higher</w:t>
      </w:r>
      <w:r w:rsidRPr="00581288">
        <w:t xml:space="preserve"> sensitivity (7</w:t>
      </w:r>
      <w:r w:rsidR="00DF0339">
        <w:t>4</w:t>
      </w:r>
      <w:r w:rsidRPr="00581288">
        <w:t>% vs 7</w:t>
      </w:r>
      <w:r w:rsidR="00D40C0E">
        <w:t>0</w:t>
      </w:r>
      <w:r w:rsidRPr="00581288">
        <w:t>%)</w:t>
      </w:r>
      <w:r w:rsidR="00D40C0E">
        <w:t xml:space="preserve">, </w:t>
      </w:r>
      <w:r w:rsidRPr="00581288">
        <w:t>lower specificity (8</w:t>
      </w:r>
      <w:r w:rsidR="00DF0339">
        <w:t>9</w:t>
      </w:r>
      <w:r w:rsidRPr="00581288">
        <w:t>% vs 9</w:t>
      </w:r>
      <w:r w:rsidR="00B1099B">
        <w:t>3</w:t>
      </w:r>
      <w:r w:rsidRPr="00581288">
        <w:t>%)</w:t>
      </w:r>
      <w:r w:rsidR="00D40C0E">
        <w:t>,</w:t>
      </w:r>
      <w:r w:rsidRPr="00581288">
        <w:t xml:space="preserve"> </w:t>
      </w:r>
      <w:r w:rsidR="00D40C0E">
        <w:t>and the same AUC (83%) compared to</w:t>
      </w:r>
      <w:r w:rsidRPr="00581288">
        <w:t xml:space="preserve"> the </w:t>
      </w:r>
      <w:r w:rsidR="00C91151">
        <w:t>non-downsampled equivalent</w:t>
      </w:r>
      <w:r w:rsidRPr="00581288">
        <w:t xml:space="preserve"> in the </w:t>
      </w:r>
      <w:r w:rsidR="009367CA" w:rsidRPr="00581288">
        <w:t>T</w:t>
      </w:r>
      <w:r w:rsidRPr="00581288">
        <w:t>est 1 dataset</w:t>
      </w:r>
      <w:r w:rsidR="007C4CB4" w:rsidRPr="00581288">
        <w:t xml:space="preserve"> (supplementary materials S5)</w:t>
      </w:r>
      <w:r w:rsidRPr="00581288">
        <w:t>.</w:t>
      </w:r>
    </w:p>
    <w:p w14:paraId="772C3E17" w14:textId="00A716CF" w:rsidR="00C91151" w:rsidRDefault="00C91151" w:rsidP="002048EA">
      <w:pPr>
        <w:pStyle w:val="Title2"/>
        <w:numPr>
          <w:ilvl w:val="0"/>
          <w:numId w:val="0"/>
        </w:numPr>
        <w:ind w:left="720" w:hanging="720"/>
      </w:pPr>
      <w:r>
        <w:t>3.2.4 Evaluation of model outputs against empirical disease control data</w:t>
      </w:r>
    </w:p>
    <w:p w14:paraId="60643E35" w14:textId="4DA968F4" w:rsidR="00C91151" w:rsidRPr="00581288" w:rsidRDefault="00C91151" w:rsidP="00B07CD5">
      <w:r w:rsidRPr="00581288">
        <w:t>The predictive performance was very similar when the 2020 dataset was used as the testing dataset (i.e. Test 2 dataset), using the same training one, with slightly higher specificity (96%)</w:t>
      </w:r>
      <w:r>
        <w:t xml:space="preserve">, sensitivity (71%), and AUC (85%) </w:t>
      </w:r>
      <w:r w:rsidRPr="00581288">
        <w:t>(Table 1).</w:t>
      </w:r>
    </w:p>
    <w:p w14:paraId="0C8EF03B" w14:textId="7A2E59C6" w:rsidR="00C91151" w:rsidRDefault="00B07CD5" w:rsidP="00B07CD5">
      <w:r w:rsidRPr="00581288">
        <w:t>Around one fifth of tests were deemed to be high-risk by the model</w:t>
      </w:r>
      <w:r w:rsidR="008A23BD" w:rsidRPr="00581288">
        <w:t xml:space="preserve"> (incident at retest </w:t>
      </w:r>
      <w:r w:rsidR="00BB2DE9" w:rsidRPr="00581288">
        <w:t xml:space="preserve">status </w:t>
      </w:r>
      <w:r w:rsidR="00F960A8" w:rsidRPr="00581288">
        <w:t xml:space="preserve">or </w:t>
      </w:r>
      <w:r w:rsidR="00F960A8" w:rsidRPr="00581288">
        <w:rPr>
          <w:i/>
        </w:rPr>
        <w:t xml:space="preserve">Any reactor or IR at retest </w:t>
      </w:r>
      <w:r w:rsidR="008A23BD" w:rsidRPr="00581288">
        <w:t>predicted as “yes”</w:t>
      </w:r>
      <w:r w:rsidR="00981E01" w:rsidRPr="00581288">
        <w:t>, with predicted probability over 50%</w:t>
      </w:r>
      <w:r w:rsidR="008A23BD" w:rsidRPr="00581288">
        <w:t>)</w:t>
      </w:r>
      <w:r w:rsidRPr="00581288">
        <w:t xml:space="preserve"> and, therefore, selected for proactive reinterpretation at severe level of the disclosing test: </w:t>
      </w:r>
      <w:r w:rsidR="00E91CF5">
        <w:t>8</w:t>
      </w:r>
      <w:r w:rsidR="0037007B">
        <w:t>2</w:t>
      </w:r>
      <w:r w:rsidR="00E91CF5">
        <w:t>8</w:t>
      </w:r>
      <w:r w:rsidRPr="00581288">
        <w:t xml:space="preserve"> out of </w:t>
      </w:r>
      <w:r w:rsidR="00152CE5">
        <w:t xml:space="preserve">4 </w:t>
      </w:r>
      <w:r w:rsidR="0037007B">
        <w:t>153</w:t>
      </w:r>
      <w:r w:rsidRPr="00581288">
        <w:t xml:space="preserve"> (2</w:t>
      </w:r>
      <w:r w:rsidR="008977CC">
        <w:t>0</w:t>
      </w:r>
      <w:r w:rsidRPr="00581288">
        <w:t xml:space="preserve">%) tests in the Test 1 dataset and </w:t>
      </w:r>
      <w:r w:rsidR="00CC7774" w:rsidRPr="00581288">
        <w:t>34</w:t>
      </w:r>
      <w:r w:rsidR="008977CC">
        <w:t>1</w:t>
      </w:r>
      <w:r w:rsidRPr="00581288">
        <w:t xml:space="preserve"> out of </w:t>
      </w:r>
      <w:r w:rsidR="00CC7774" w:rsidRPr="00581288">
        <w:t>2</w:t>
      </w:r>
      <w:r w:rsidR="00152CE5">
        <w:t xml:space="preserve"> </w:t>
      </w:r>
      <w:r w:rsidR="00CC7774" w:rsidRPr="00581288">
        <w:t>17</w:t>
      </w:r>
      <w:r w:rsidR="008977CC">
        <w:t>7</w:t>
      </w:r>
      <w:r w:rsidRPr="00581288">
        <w:t xml:space="preserve"> (1</w:t>
      </w:r>
      <w:r w:rsidR="00CC7774" w:rsidRPr="00581288">
        <w:t>6</w:t>
      </w:r>
      <w:r w:rsidRPr="00581288">
        <w:t xml:space="preserve">%) in the Test 2 dataset </w:t>
      </w:r>
      <w:r w:rsidRPr="00581288">
        <w:lastRenderedPageBreak/>
        <w:t>(Table 1). High-risk tests d</w:t>
      </w:r>
      <w:r w:rsidR="006959F9" w:rsidRPr="00581288">
        <w:t>etected</w:t>
      </w:r>
      <w:r w:rsidRPr="00581288">
        <w:t xml:space="preserve"> </w:t>
      </w:r>
      <w:r w:rsidR="00D51E33" w:rsidRPr="00581288">
        <w:t xml:space="preserve">two </w:t>
      </w:r>
      <w:r w:rsidRPr="00581288">
        <w:t>IRs</w:t>
      </w:r>
      <w:r w:rsidR="00DB4FC0" w:rsidRPr="00581288">
        <w:t xml:space="preserve"> per test,</w:t>
      </w:r>
      <w:r w:rsidRPr="00581288">
        <w:t xml:space="preserve"> on average</w:t>
      </w:r>
      <w:r w:rsidR="00DB4FC0" w:rsidRPr="00581288">
        <w:t>,</w:t>
      </w:r>
      <w:r w:rsidRPr="00581288">
        <w:t xml:space="preserve"> in both the Test 1 </w:t>
      </w:r>
      <w:r w:rsidR="00DB4FC0" w:rsidRPr="00581288">
        <w:t>(Table 3)</w:t>
      </w:r>
      <w:r w:rsidR="00DB4FC0" w:rsidRPr="00581288" w:rsidDel="003A227A">
        <w:t xml:space="preserve"> </w:t>
      </w:r>
      <w:r w:rsidRPr="00581288">
        <w:t xml:space="preserve">and the Test 2 </w:t>
      </w:r>
      <w:r w:rsidR="00DB4FC0" w:rsidRPr="00581288">
        <w:t xml:space="preserve">(Table 4) </w:t>
      </w:r>
      <w:r w:rsidRPr="00581288">
        <w:t xml:space="preserve">datasets, with </w:t>
      </w:r>
      <w:r w:rsidR="006E3B83">
        <w:t>the majority</w:t>
      </w:r>
      <w:r w:rsidRPr="00581288">
        <w:t xml:space="preserve"> IR-only tests and IRs detected in the HRA (Table 4). Incidents were d</w:t>
      </w:r>
      <w:r w:rsidR="006959F9" w:rsidRPr="00581288">
        <w:t>eclared</w:t>
      </w:r>
      <w:r w:rsidRPr="00581288">
        <w:t xml:space="preserve"> at the 60-day retest (i.e. </w:t>
      </w:r>
      <w:r w:rsidRPr="00581288">
        <w:rPr>
          <w:i/>
        </w:rPr>
        <w:t>Any reactor or IR at retest = Yes</w:t>
      </w:r>
      <w:r w:rsidRPr="00581288">
        <w:t xml:space="preserve">) in </w:t>
      </w:r>
      <w:r w:rsidR="00724BF4">
        <w:t>around</w:t>
      </w:r>
      <w:r w:rsidRPr="00581288">
        <w:t xml:space="preserve"> three-quarters of these high-risk tests - through the detection of at least one reactor or IR -: </w:t>
      </w:r>
      <w:r w:rsidR="00724BF4">
        <w:t>6</w:t>
      </w:r>
      <w:r w:rsidR="004B6D6B">
        <w:t>14</w:t>
      </w:r>
      <w:r w:rsidRPr="00581288">
        <w:t xml:space="preserve"> out of </w:t>
      </w:r>
      <w:r w:rsidR="00724BF4">
        <w:t>8</w:t>
      </w:r>
      <w:r w:rsidR="004B6D6B">
        <w:t>2</w:t>
      </w:r>
      <w:r w:rsidR="00724BF4">
        <w:t>8</w:t>
      </w:r>
      <w:r w:rsidRPr="00581288">
        <w:t xml:space="preserve"> </w:t>
      </w:r>
      <w:r w:rsidR="004B6D6B">
        <w:t xml:space="preserve">(74%) </w:t>
      </w:r>
      <w:r w:rsidRPr="00581288">
        <w:t xml:space="preserve">in the Test 1 dataset (Table 1) and </w:t>
      </w:r>
      <w:r w:rsidR="00724BF4">
        <w:t>265</w:t>
      </w:r>
      <w:r w:rsidRPr="00581288">
        <w:t xml:space="preserve"> out of </w:t>
      </w:r>
      <w:r w:rsidR="009E6D5D" w:rsidRPr="00581288">
        <w:t>34</w:t>
      </w:r>
      <w:r w:rsidR="004B6D6B">
        <w:t>1</w:t>
      </w:r>
      <w:r w:rsidRPr="00581288">
        <w:t xml:space="preserve"> </w:t>
      </w:r>
      <w:r w:rsidR="004B6D6B">
        <w:t xml:space="preserve">(78%) </w:t>
      </w:r>
      <w:r w:rsidRPr="00581288">
        <w:t>in the Test 2 dataset (Table 1) and (Figure 4).</w:t>
      </w:r>
    </w:p>
    <w:p w14:paraId="6F3D7FC9" w14:textId="7F6695F6" w:rsidR="00B07CD5" w:rsidRPr="00581288" w:rsidRDefault="00B07CD5" w:rsidP="00B07CD5">
      <w:r w:rsidRPr="00581288">
        <w:t xml:space="preserve">However, only a minority of incidents would have been proactively detected at the disclosing test through </w:t>
      </w:r>
      <w:r w:rsidR="00DB4FC0" w:rsidRPr="00581288">
        <w:t xml:space="preserve">their </w:t>
      </w:r>
      <w:r w:rsidRPr="00581288">
        <w:t>reinterpretation at severe level: 1</w:t>
      </w:r>
      <w:r w:rsidR="005175E3">
        <w:t>2</w:t>
      </w:r>
      <w:r w:rsidRPr="00581288">
        <w:t>% (</w:t>
      </w:r>
      <w:r w:rsidR="00A14204">
        <w:t>7</w:t>
      </w:r>
      <w:r w:rsidR="00DE3063">
        <w:t>4</w:t>
      </w:r>
      <w:r w:rsidRPr="00581288">
        <w:t xml:space="preserve"> out of </w:t>
      </w:r>
      <w:r w:rsidR="00DE3063">
        <w:t>6</w:t>
      </w:r>
      <w:r w:rsidR="005175E3">
        <w:t>14</w:t>
      </w:r>
      <w:r w:rsidRPr="00581288">
        <w:t xml:space="preserve">) in the Test 1 dataset and </w:t>
      </w:r>
      <w:r w:rsidR="009E6D5D" w:rsidRPr="00581288">
        <w:t>7</w:t>
      </w:r>
      <w:r w:rsidRPr="00581288">
        <w:t>% (1</w:t>
      </w:r>
      <w:r w:rsidR="009E6D5D" w:rsidRPr="00581288">
        <w:t>9</w:t>
      </w:r>
      <w:r w:rsidRPr="00581288">
        <w:t xml:space="preserve"> out of 2</w:t>
      </w:r>
      <w:r w:rsidR="00DE3063">
        <w:t>65</w:t>
      </w:r>
      <w:r w:rsidRPr="00581288">
        <w:t xml:space="preserve">) in the Test 2 dataset (Figure 4). On the other hand, under 10% of </w:t>
      </w:r>
      <w:r w:rsidR="003D0CE8" w:rsidRPr="00581288">
        <w:t xml:space="preserve">high-risk </w:t>
      </w:r>
      <w:r w:rsidRPr="00581288">
        <w:t>tests that would not have had an incident declared at the 60-day retest would have had incidents declared on disclosure due to severe reinterpretation (1</w:t>
      </w:r>
      <w:r w:rsidR="005175E3">
        <w:t>7</w:t>
      </w:r>
      <w:r w:rsidRPr="00581288">
        <w:t xml:space="preserve"> out of </w:t>
      </w:r>
      <w:r w:rsidR="00A43D22">
        <w:t>2</w:t>
      </w:r>
      <w:r w:rsidR="005175E3">
        <w:t>14</w:t>
      </w:r>
      <w:r w:rsidRPr="00581288">
        <w:t xml:space="preserve"> or 8% in the Test 1 dataset and </w:t>
      </w:r>
      <w:r w:rsidR="00786B8B">
        <w:t>4</w:t>
      </w:r>
      <w:r w:rsidRPr="00581288">
        <w:t xml:space="preserve"> out of </w:t>
      </w:r>
      <w:r w:rsidR="005175E3">
        <w:t>76</w:t>
      </w:r>
      <w:r w:rsidRPr="00581288">
        <w:t xml:space="preserve"> or </w:t>
      </w:r>
      <w:r w:rsidR="005175E3">
        <w:t>5</w:t>
      </w:r>
      <w:r w:rsidRPr="00581288">
        <w:t>% in the Test 2 dataset, respectively) (Figure 4). In the low-risk group of tests</w:t>
      </w:r>
      <w:r w:rsidR="008A23BD" w:rsidRPr="00581288">
        <w:t xml:space="preserve"> (incident at retest</w:t>
      </w:r>
      <w:r w:rsidR="003609A1" w:rsidRPr="00581288">
        <w:t xml:space="preserve"> or </w:t>
      </w:r>
      <w:r w:rsidR="003609A1" w:rsidRPr="00581288">
        <w:rPr>
          <w:i/>
        </w:rPr>
        <w:t>Any reactor or IR at retest</w:t>
      </w:r>
      <w:r w:rsidR="008A23BD" w:rsidRPr="00581288">
        <w:t xml:space="preserve"> predicted as “no”)</w:t>
      </w:r>
      <w:r w:rsidRPr="00581288">
        <w:t xml:space="preserve">, </w:t>
      </w:r>
      <w:r w:rsidR="006B6CCF">
        <w:t>33</w:t>
      </w:r>
      <w:r w:rsidRPr="00581288">
        <w:t xml:space="preserve"> out of </w:t>
      </w:r>
      <w:r w:rsidR="00B6247A">
        <w:t>2</w:t>
      </w:r>
      <w:r w:rsidR="006B6CCF">
        <w:t>5</w:t>
      </w:r>
      <w:r w:rsidR="00B6247A">
        <w:t>9</w:t>
      </w:r>
      <w:r w:rsidRPr="00581288">
        <w:t xml:space="preserve"> (1</w:t>
      </w:r>
      <w:r w:rsidR="006B6CCF">
        <w:t>3</w:t>
      </w:r>
      <w:r w:rsidRPr="00581288">
        <w:t xml:space="preserve">%) incidents </w:t>
      </w:r>
      <w:r w:rsidR="00895A72" w:rsidRPr="00581288">
        <w:t xml:space="preserve">would have been proactively detected through reinterpretation at severe level </w:t>
      </w:r>
      <w:r w:rsidRPr="00581288">
        <w:t xml:space="preserve">in the Test 1 dataset and 3 out of </w:t>
      </w:r>
      <w:r w:rsidR="009E6D5D" w:rsidRPr="00581288">
        <w:t>10</w:t>
      </w:r>
      <w:r w:rsidR="00B6247A">
        <w:t>8</w:t>
      </w:r>
      <w:r w:rsidRPr="00581288">
        <w:t xml:space="preserve"> (3%) in the Test 2 dataset (Figure 4).</w:t>
      </w:r>
    </w:p>
    <w:p w14:paraId="255C4512" w14:textId="50DC7494" w:rsidR="00B07CD5" w:rsidRPr="00581288" w:rsidRDefault="00B07CD5" w:rsidP="00B07CD5">
      <w:bookmarkStart w:id="14" w:name="_Hlk90496634"/>
      <w:r w:rsidRPr="00581288">
        <w:t xml:space="preserve">At </w:t>
      </w:r>
      <w:r w:rsidR="003D0CE8" w:rsidRPr="00581288">
        <w:t>animal (</w:t>
      </w:r>
      <w:r w:rsidRPr="00581288">
        <w:t>IR</w:t>
      </w:r>
      <w:r w:rsidR="003D0CE8" w:rsidRPr="00581288">
        <w:t>)</w:t>
      </w:r>
      <w:r w:rsidRPr="00581288">
        <w:t xml:space="preserve"> level, only 2</w:t>
      </w:r>
      <w:r w:rsidR="00377D97">
        <w:t>2</w:t>
      </w:r>
      <w:r w:rsidRPr="00581288">
        <w:t>% (</w:t>
      </w:r>
      <w:r w:rsidR="009F3271">
        <w:t xml:space="preserve">1 </w:t>
      </w:r>
      <w:r w:rsidR="00377D97">
        <w:t>680</w:t>
      </w:r>
      <w:r w:rsidR="00E71DAD" w:rsidRPr="00581288">
        <w:t xml:space="preserve"> out of </w:t>
      </w:r>
      <w:r w:rsidR="009F3271">
        <w:t xml:space="preserve">7 </w:t>
      </w:r>
      <w:r w:rsidR="00377D97">
        <w:t>655</w:t>
      </w:r>
      <w:r w:rsidRPr="00581288">
        <w:t>) and 1</w:t>
      </w:r>
      <w:r w:rsidR="00377D97">
        <w:t>4</w:t>
      </w:r>
      <w:r w:rsidRPr="00581288">
        <w:t>% (</w:t>
      </w:r>
      <w:r w:rsidR="00377D97">
        <w:t>590</w:t>
      </w:r>
      <w:r w:rsidR="00E71DAD" w:rsidRPr="00581288">
        <w:t xml:space="preserve"> out of </w:t>
      </w:r>
      <w:r w:rsidR="009F3271">
        <w:t>4 07</w:t>
      </w:r>
      <w:r w:rsidR="00377D97">
        <w:t>1</w:t>
      </w:r>
      <w:r w:rsidRPr="00581288">
        <w:t>) of the IRs in the Test 1 and Test 2 datasets, respectively, were d</w:t>
      </w:r>
      <w:r w:rsidR="006959F9" w:rsidRPr="00581288">
        <w:t>etected</w:t>
      </w:r>
      <w:r w:rsidRPr="00581288">
        <w:t xml:space="preserve"> in high-risk tests (Figure 5). </w:t>
      </w:r>
      <w:r w:rsidR="00235019">
        <w:t>Around</w:t>
      </w:r>
      <w:r w:rsidR="000C5BAE" w:rsidRPr="00581288">
        <w:t xml:space="preserve"> </w:t>
      </w:r>
      <w:r w:rsidR="000C5BAE">
        <w:t>75</w:t>
      </w:r>
      <w:r w:rsidR="000C5BAE" w:rsidRPr="00581288">
        <w:t xml:space="preserve">% of </w:t>
      </w:r>
      <w:r w:rsidR="000C5BAE">
        <w:t>IRs in high-risk tests</w:t>
      </w:r>
      <w:r w:rsidR="000C5BAE" w:rsidRPr="00581288">
        <w:t xml:space="preserve"> were detected in tests </w:t>
      </w:r>
      <w:r w:rsidR="000C5BAE">
        <w:t>where</w:t>
      </w:r>
      <w:r w:rsidR="000C5BAE" w:rsidRPr="00581288">
        <w:t xml:space="preserve"> an incident </w:t>
      </w:r>
      <w:r w:rsidR="000C5BAE">
        <w:t xml:space="preserve">was </w:t>
      </w:r>
      <w:r w:rsidR="000C5BAE" w:rsidRPr="00581288">
        <w:t xml:space="preserve">declared at retest (1 </w:t>
      </w:r>
      <w:r w:rsidR="000C5BAE">
        <w:t>304</w:t>
      </w:r>
      <w:r w:rsidR="000C5BAE" w:rsidRPr="00581288">
        <w:t xml:space="preserve"> in the 2012-19 testing dataset and 4</w:t>
      </w:r>
      <w:r w:rsidR="000C5BAE">
        <w:t>63</w:t>
      </w:r>
      <w:r w:rsidR="000C5BAE" w:rsidRPr="00581288">
        <w:t xml:space="preserve"> in the 2020 test dataset).</w:t>
      </w:r>
      <w:r w:rsidR="00235019" w:rsidRPr="00235019">
        <w:t xml:space="preserve"> </w:t>
      </w:r>
      <w:r w:rsidR="00235019" w:rsidRPr="00581288">
        <w:t xml:space="preserve">However, only </w:t>
      </w:r>
      <w:r w:rsidR="00235019">
        <w:t>28</w:t>
      </w:r>
      <w:r w:rsidR="00235019" w:rsidRPr="00581288">
        <w:t>% (2</w:t>
      </w:r>
      <w:r w:rsidR="00235019">
        <w:t>23</w:t>
      </w:r>
      <w:r w:rsidR="00235019" w:rsidRPr="00581288">
        <w:t xml:space="preserve"> out of </w:t>
      </w:r>
      <w:r w:rsidR="00235019">
        <w:t>1 304</w:t>
      </w:r>
      <w:r w:rsidR="00235019" w:rsidRPr="00581288">
        <w:t>) in the Test 1 dataset and 1</w:t>
      </w:r>
      <w:r w:rsidR="00235019">
        <w:t>4</w:t>
      </w:r>
      <w:r w:rsidR="00235019" w:rsidRPr="00581288">
        <w:t>% (</w:t>
      </w:r>
      <w:r w:rsidR="00235019">
        <w:t>52</w:t>
      </w:r>
      <w:r w:rsidR="00235019" w:rsidRPr="00581288">
        <w:t xml:space="preserve"> out of </w:t>
      </w:r>
      <w:r w:rsidR="00235019">
        <w:t>463</w:t>
      </w:r>
      <w:r w:rsidR="00235019" w:rsidRPr="00581288">
        <w:t>) in the Test 2 dataset (Figure 5)</w:t>
      </w:r>
      <w:r w:rsidR="00235019">
        <w:t xml:space="preserve"> </w:t>
      </w:r>
      <w:bookmarkStart w:id="15" w:name="_Hlk90497462"/>
      <w:r w:rsidR="00235019">
        <w:t xml:space="preserve">of IRs disclosed in high-risk tests would have triggered incidents on disclosure, if </w:t>
      </w:r>
      <w:r w:rsidR="00235019">
        <w:lastRenderedPageBreak/>
        <w:t>they were re-interpreted at severe level</w:t>
      </w:r>
      <w:bookmarkEnd w:id="15"/>
      <w:r w:rsidR="00C05080">
        <w:t>.</w:t>
      </w:r>
      <w:r w:rsidRPr="00581288">
        <w:t xml:space="preserve"> </w:t>
      </w:r>
      <w:r w:rsidR="00235019" w:rsidRPr="00581288">
        <w:t>Around 15% of IRs disclosed in high-risk tests would have triggered incidents on disclosure</w:t>
      </w:r>
      <w:r w:rsidR="00235019">
        <w:t>, if they were re-interpreted at the severe level,</w:t>
      </w:r>
      <w:r w:rsidR="00235019" w:rsidRPr="00581288">
        <w:t xml:space="preserve"> in tests that would not have had incidents declared at retest (</w:t>
      </w:r>
      <w:r w:rsidR="00235019">
        <w:t>55</w:t>
      </w:r>
      <w:r w:rsidR="00235019" w:rsidRPr="00581288">
        <w:t xml:space="preserve"> out of </w:t>
      </w:r>
      <w:r w:rsidR="00235019">
        <w:t>376</w:t>
      </w:r>
      <w:r w:rsidR="00235019" w:rsidRPr="00581288">
        <w:t xml:space="preserve"> or 1</w:t>
      </w:r>
      <w:r w:rsidR="00235019">
        <w:t>5</w:t>
      </w:r>
      <w:r w:rsidR="00235019" w:rsidRPr="00581288">
        <w:t xml:space="preserve">% in the Test 1 dataset and </w:t>
      </w:r>
      <w:r w:rsidR="00235019">
        <w:t>16</w:t>
      </w:r>
      <w:r w:rsidR="00235019" w:rsidRPr="00581288">
        <w:t xml:space="preserve"> out of </w:t>
      </w:r>
      <w:r w:rsidR="00235019">
        <w:t>127</w:t>
      </w:r>
      <w:r w:rsidR="00235019" w:rsidRPr="00581288">
        <w:t xml:space="preserve"> or </w:t>
      </w:r>
      <w:r w:rsidR="00235019">
        <w:t>13</w:t>
      </w:r>
      <w:r w:rsidR="00235019" w:rsidRPr="00581288">
        <w:t xml:space="preserve">% in the Test 2 dataset) </w:t>
      </w:r>
      <w:r w:rsidR="00235019">
        <w:t xml:space="preserve">(Figure 5). </w:t>
      </w:r>
      <w:r w:rsidR="005801CE" w:rsidRPr="00581288">
        <w:t xml:space="preserve">A higher proportion of IRs would have been reactors at severe level in incident-at-retest tests in the </w:t>
      </w:r>
      <w:r w:rsidR="005160BD">
        <w:t>low</w:t>
      </w:r>
      <w:r w:rsidR="005801CE" w:rsidRPr="00581288">
        <w:t>-risk group of tests dataset</w:t>
      </w:r>
      <w:r w:rsidR="009F3271">
        <w:t>s</w:t>
      </w:r>
      <w:r w:rsidR="008C0518">
        <w:t xml:space="preserve"> than in the </w:t>
      </w:r>
      <w:r w:rsidR="005160BD">
        <w:t>high</w:t>
      </w:r>
      <w:r w:rsidR="008C0518">
        <w:t>-risk group</w:t>
      </w:r>
      <w:r w:rsidR="005160BD">
        <w:t xml:space="preserve"> in the Test 1 dataset</w:t>
      </w:r>
      <w:r w:rsidR="009F3271">
        <w:t>: 1</w:t>
      </w:r>
      <w:r w:rsidR="008C0518">
        <w:t>7</w:t>
      </w:r>
      <w:r w:rsidR="005801CE" w:rsidRPr="00581288">
        <w:t xml:space="preserve">% or </w:t>
      </w:r>
      <w:r w:rsidR="008C0518">
        <w:t>223</w:t>
      </w:r>
      <w:r w:rsidR="005801CE" w:rsidRPr="00581288">
        <w:t xml:space="preserve"> out of </w:t>
      </w:r>
      <w:r w:rsidR="008C0518">
        <w:t>1 304</w:t>
      </w:r>
      <w:r w:rsidR="005801CE" w:rsidRPr="00581288">
        <w:t xml:space="preserve"> in the </w:t>
      </w:r>
      <w:r w:rsidR="009F3271">
        <w:t>high</w:t>
      </w:r>
      <w:r w:rsidR="005801CE" w:rsidRPr="00581288">
        <w:t xml:space="preserve">-risk group vs </w:t>
      </w:r>
      <w:r w:rsidR="008C0518">
        <w:t>2</w:t>
      </w:r>
      <w:r w:rsidR="009F3271">
        <w:t>0</w:t>
      </w:r>
      <w:r w:rsidR="005801CE" w:rsidRPr="00581288">
        <w:t xml:space="preserve">% or </w:t>
      </w:r>
      <w:r w:rsidR="008C0518">
        <w:t>108</w:t>
      </w:r>
      <w:r w:rsidR="005801CE" w:rsidRPr="00581288">
        <w:t xml:space="preserve"> out of </w:t>
      </w:r>
      <w:r w:rsidR="008C0518">
        <w:t>542</w:t>
      </w:r>
      <w:r w:rsidR="005160BD">
        <w:t>, whereas the opposite is true in the Test 2 dataset: 11</w:t>
      </w:r>
      <w:r w:rsidR="009F3271">
        <w:t xml:space="preserve">% or </w:t>
      </w:r>
      <w:r w:rsidR="005160BD">
        <w:t>52</w:t>
      </w:r>
      <w:r w:rsidR="009F3271">
        <w:t xml:space="preserve"> out of </w:t>
      </w:r>
      <w:r w:rsidR="005160BD">
        <w:t>463</w:t>
      </w:r>
      <w:r w:rsidR="009F3271">
        <w:t xml:space="preserve"> </w:t>
      </w:r>
      <w:r w:rsidR="005160BD">
        <w:t xml:space="preserve">in the high-risk group </w:t>
      </w:r>
      <w:r w:rsidR="009F3271">
        <w:t xml:space="preserve">vs </w:t>
      </w:r>
      <w:r w:rsidR="005160BD">
        <w:t>8</w:t>
      </w:r>
      <w:r w:rsidR="009F3271">
        <w:t xml:space="preserve">% or </w:t>
      </w:r>
      <w:r w:rsidR="005160BD">
        <w:t>14</w:t>
      </w:r>
      <w:r w:rsidR="009F3271">
        <w:t xml:space="preserve"> out of 1</w:t>
      </w:r>
      <w:r w:rsidR="005160BD">
        <w:t>7</w:t>
      </w:r>
      <w:r w:rsidR="009F3271">
        <w:t xml:space="preserve">8 in the </w:t>
      </w:r>
      <w:r w:rsidR="005160BD">
        <w:t xml:space="preserve">low-risk group </w:t>
      </w:r>
      <w:r w:rsidR="005801CE" w:rsidRPr="00581288">
        <w:t>(Figure 5)</w:t>
      </w:r>
      <w:bookmarkEnd w:id="14"/>
      <w:r w:rsidR="005801CE" w:rsidRPr="00581288">
        <w:t>.</w:t>
      </w:r>
    </w:p>
    <w:p w14:paraId="3B44DAA4" w14:textId="7EEEC71F" w:rsidR="00D33BAE" w:rsidRPr="00581288" w:rsidRDefault="00B07CD5" w:rsidP="00B07CD5">
      <w:r w:rsidRPr="00581288">
        <w:t xml:space="preserve">Most of the high-risk tests identified by the model were located in the HRA of England, with Devon having the highest number of IRs in tests in the Test 2 dataset (Figure 6). </w:t>
      </w:r>
      <w:r w:rsidR="00293681" w:rsidRPr="00581288">
        <w:t xml:space="preserve">In 2020, </w:t>
      </w:r>
      <w:r w:rsidR="00293681">
        <w:t>70</w:t>
      </w:r>
      <w:r w:rsidR="00293681" w:rsidRPr="00581288">
        <w:t>% or 2</w:t>
      </w:r>
      <w:r w:rsidR="00A1788F">
        <w:t>38</w:t>
      </w:r>
      <w:r w:rsidR="00293681" w:rsidRPr="00581288">
        <w:t xml:space="preserve"> out of 34</w:t>
      </w:r>
      <w:r w:rsidR="00A1788F">
        <w:t>1</w:t>
      </w:r>
      <w:r w:rsidR="00293681" w:rsidRPr="00581288">
        <w:t xml:space="preserve"> of high-risk tests were located in </w:t>
      </w:r>
      <w:r w:rsidR="00A91124">
        <w:t>the HRA</w:t>
      </w:r>
      <w:r w:rsidR="00293681" w:rsidRPr="00581288">
        <w:t>, with 7</w:t>
      </w:r>
      <w:r w:rsidR="00A91124">
        <w:t>0</w:t>
      </w:r>
      <w:r w:rsidR="00293681" w:rsidRPr="00581288">
        <w:t>% (4</w:t>
      </w:r>
      <w:r w:rsidR="00A1788F">
        <w:t>13</w:t>
      </w:r>
      <w:r w:rsidR="00293681" w:rsidRPr="00581288">
        <w:t xml:space="preserve"> out of </w:t>
      </w:r>
      <w:r w:rsidR="00A1788F">
        <w:t>590</w:t>
      </w:r>
      <w:r w:rsidR="00293681" w:rsidRPr="00581288">
        <w:t>) of all IRs and 6</w:t>
      </w:r>
      <w:r w:rsidR="00A1788F">
        <w:t>8</w:t>
      </w:r>
      <w:r w:rsidR="00293681" w:rsidRPr="00581288">
        <w:t>% (</w:t>
      </w:r>
      <w:r w:rsidR="00A1788F">
        <w:t>46</w:t>
      </w:r>
      <w:r w:rsidR="00293681" w:rsidRPr="00581288">
        <w:t xml:space="preserve"> out of </w:t>
      </w:r>
      <w:r w:rsidR="00A1788F">
        <w:t>68</w:t>
      </w:r>
      <w:r w:rsidR="00293681" w:rsidRPr="00581288">
        <w:t>) of IRs that were reactors at severe level on disclosure detected</w:t>
      </w:r>
      <w:r w:rsidR="00293681">
        <w:t xml:space="preserve"> here</w:t>
      </w:r>
      <w:r w:rsidRPr="00581288">
        <w:t xml:space="preserve"> (Table 4)</w:t>
      </w:r>
      <w:r w:rsidR="00EB123E" w:rsidRPr="00581288">
        <w:t>.</w:t>
      </w:r>
    </w:p>
    <w:p w14:paraId="6DFF3968" w14:textId="38ED3777" w:rsidR="0081376D" w:rsidRPr="00581288" w:rsidRDefault="00484300" w:rsidP="00484300">
      <w:pPr>
        <w:pStyle w:val="Title1"/>
        <w:numPr>
          <w:ilvl w:val="0"/>
          <w:numId w:val="0"/>
        </w:numPr>
        <w:spacing w:after="0" w:line="480" w:lineRule="auto"/>
      </w:pPr>
      <w:r w:rsidRPr="00581288">
        <w:t xml:space="preserve">4. </w:t>
      </w:r>
      <w:r w:rsidR="0081376D" w:rsidRPr="00581288">
        <w:t>Discussion</w:t>
      </w:r>
      <w:r w:rsidR="00573804" w:rsidRPr="00581288">
        <w:t xml:space="preserve"> </w:t>
      </w:r>
    </w:p>
    <w:p w14:paraId="32AC5A1F" w14:textId="77777777" w:rsidR="00066E37" w:rsidRDefault="00B07CD5" w:rsidP="00B07CD5">
      <w:bookmarkStart w:id="16" w:name="_Hlk89191295"/>
      <w:r w:rsidRPr="00581288">
        <w:t>Machine learning classification algorithms were used to identify high-risk IR-only surveillance tests in England, with regards to having an incident declared at the 60-day retest through the detection of at least one reactor or IR. This triggers an incident in the HRA and the EA (where the majority of IRs are d</w:t>
      </w:r>
      <w:r w:rsidR="006959F9" w:rsidRPr="00581288">
        <w:t>etected</w:t>
      </w:r>
      <w:r w:rsidRPr="00581288">
        <w:t>), which results in the automatic reinterpretation at severe level not only of the retest test, but also of the disclosing test. Therefore, reinterpretation at severe level of the disclosing test, the measure proposed in high-</w:t>
      </w:r>
      <w:r w:rsidRPr="00581288">
        <w:lastRenderedPageBreak/>
        <w:t>risk tests, fast-forwards the action taken at the retest in the above scenario, reducing the risk of disease spreading during the 60-day IR isolation period.</w:t>
      </w:r>
      <w:r w:rsidR="00FD5546" w:rsidRPr="00581288">
        <w:t xml:space="preserve"> </w:t>
      </w:r>
    </w:p>
    <w:p w14:paraId="7E4ECD95" w14:textId="5A7A181A" w:rsidR="00013DBF" w:rsidRPr="00581288" w:rsidRDefault="00FD5546" w:rsidP="00B07CD5">
      <w:r w:rsidRPr="00581288">
        <w:t>This measure will have a higher impact in the HRA, where the highest proportion</w:t>
      </w:r>
      <w:r w:rsidR="006C15B7">
        <w:t xml:space="preserve"> of</w:t>
      </w:r>
      <w:r w:rsidRPr="00581288">
        <w:t xml:space="preserve"> IR-only herds (and IRs) were detected in 2020 (64%), although an increasing number are detected in the EA and the LRA </w:t>
      </w:r>
      <w:r w:rsidRPr="00581288">
        <w:fldChar w:fldCharType="begin" w:fldLock="1"/>
      </w:r>
      <w:r w:rsidR="002D6B04" w:rsidRPr="00581288">
        <w:instrText>ADDIN CSL_CITATION {"citationItems":[{"id":"ITEM-1","itemData":{"author":[{"dropping-particle":"","family":"APHA","given":"","non-dropping-particle":"","parse-names":false,"suffix":""}],"id":"ITEM-1","issue":"November","issued":{"date-parts":[["2021"]]},"number-of-pages":"117","title":"Bovine tuberculosis in England in 2020: Epidemiological analysis of the 2020 data and historical trends","type":"report"},"uris":["http://www.mendeley.com/documents/?uuid=3019d4e3-7d83-43df-a419-9834d4e7e861"]}],"mendeley":{"formattedCitation":"(APHA, 2021)","plainTextFormattedCitation":"(APHA, 2021)","previouslyFormattedCitation":"(APHA, 2021)"},"properties":{"noteIndex":0},"schema":"https://github.com/citation-style-language/schema/raw/master/csl-citation.json"}</w:instrText>
      </w:r>
      <w:r w:rsidRPr="00581288">
        <w:fldChar w:fldCharType="separate"/>
      </w:r>
      <w:r w:rsidRPr="00581288">
        <w:rPr>
          <w:noProof/>
        </w:rPr>
        <w:t>(APHA, 2021)</w:t>
      </w:r>
      <w:r w:rsidRPr="00581288">
        <w:fldChar w:fldCharType="end"/>
      </w:r>
      <w:r w:rsidRPr="00581288">
        <w:t>.</w:t>
      </w:r>
      <w:r w:rsidR="002D6B04" w:rsidRPr="00581288">
        <w:t xml:space="preserve"> </w:t>
      </w:r>
      <w:r w:rsidR="00013DBF" w:rsidRPr="00581288">
        <w:t>This is in part due to the yearly or shorter surveillance tests taking place in the HRA and EA by default, vs four-yearly in the LRA</w:t>
      </w:r>
      <w:r w:rsidR="00D17D14" w:rsidRPr="00581288">
        <w:t>. Demographic and IR-only test data</w:t>
      </w:r>
      <w:r w:rsidR="009F1147" w:rsidRPr="00581288">
        <w:t>sets</w:t>
      </w:r>
      <w:r w:rsidR="00D17D14" w:rsidRPr="00581288">
        <w:t xml:space="preserve"> show that nearly 60% of active herds had a surveillance test in 2020 in England</w:t>
      </w:r>
      <w:r w:rsidR="009F1147" w:rsidRPr="00581288">
        <w:t xml:space="preserve"> (78% in the HRA)</w:t>
      </w:r>
      <w:r w:rsidR="00D17D14" w:rsidRPr="00581288">
        <w:t>, 8% of those tests revealing IRs in absence of reactors. T</w:t>
      </w:r>
      <w:r w:rsidR="00013DBF" w:rsidRPr="00581288">
        <w:t xml:space="preserve">he immediate positive effect of increasing sensitivity </w:t>
      </w:r>
      <w:r w:rsidR="009F1147" w:rsidRPr="00581288">
        <w:t xml:space="preserve">in these tests </w:t>
      </w:r>
      <w:r w:rsidR="00013DBF" w:rsidRPr="00581288">
        <w:t xml:space="preserve">is </w:t>
      </w:r>
      <w:r w:rsidR="00D17D14" w:rsidRPr="00581288">
        <w:t xml:space="preserve">therefore likely to be </w:t>
      </w:r>
      <w:r w:rsidR="00013DBF" w:rsidRPr="00581288">
        <w:t>limited</w:t>
      </w:r>
      <w:r w:rsidR="00D17D14" w:rsidRPr="00581288">
        <w:t>,</w:t>
      </w:r>
      <w:r w:rsidR="00013DBF" w:rsidRPr="00581288">
        <w:t xml:space="preserve"> but there is an additional effect of reducing the future </w:t>
      </w:r>
      <w:r w:rsidR="009652B6" w:rsidRPr="00581288">
        <w:t xml:space="preserve">bTB </w:t>
      </w:r>
      <w:r w:rsidR="00013DBF" w:rsidRPr="00581288">
        <w:t xml:space="preserve">risk </w:t>
      </w:r>
      <w:r w:rsidR="009652B6" w:rsidRPr="00581288">
        <w:t>of</w:t>
      </w:r>
      <w:r w:rsidR="00013DBF" w:rsidRPr="00581288">
        <w:t xml:space="preserve"> IRs in IR-only herds. </w:t>
      </w:r>
    </w:p>
    <w:p w14:paraId="2908CD5F" w14:textId="34623502" w:rsidR="00B07CD5" w:rsidRPr="00581288" w:rsidRDefault="00FA6B03" w:rsidP="00B07CD5">
      <w:r w:rsidRPr="00581288">
        <w:t>Th</w:t>
      </w:r>
      <w:r w:rsidR="00EA51D0" w:rsidRPr="00581288">
        <w:t>e</w:t>
      </w:r>
      <w:r w:rsidR="002D6B04" w:rsidRPr="00581288">
        <w:t xml:space="preserve"> risk of </w:t>
      </w:r>
      <w:r w:rsidRPr="00581288">
        <w:t xml:space="preserve">these </w:t>
      </w:r>
      <w:r w:rsidR="002D6B04" w:rsidRPr="00581288">
        <w:t xml:space="preserve">IRs becoming reactors </w:t>
      </w:r>
      <w:r w:rsidR="00EA51D0" w:rsidRPr="00581288">
        <w:t>in the subsequent four years has been estimated as OR 6.85 (</w:t>
      </w:r>
      <w:r w:rsidR="000B32BF" w:rsidRPr="00581288">
        <w:t xml:space="preserve">95% CI: </w:t>
      </w:r>
      <w:r w:rsidR="00EA51D0" w:rsidRPr="00581288">
        <w:t>5.98-7.86) in the HRA and OR 8.79 (</w:t>
      </w:r>
      <w:r w:rsidR="000B32BF" w:rsidRPr="00581288">
        <w:t xml:space="preserve">95% CI: </w:t>
      </w:r>
      <w:r w:rsidR="00EA51D0" w:rsidRPr="00581288">
        <w:t xml:space="preserve">5.92-13.04) in the EA </w:t>
      </w:r>
      <w:r w:rsidR="00EA51D0" w:rsidRPr="00581288">
        <w:fldChar w:fldCharType="begin" w:fldLock="1"/>
      </w:r>
      <w:r w:rsidR="00120751">
        <w:instrText>ADDIN CSL_CITATION {"citationItems":[{"id":"ITEM-1","itemData":{"DOI":"10.3390/vetsci6040097","ISSN":"23067381","abstract":"The single intradermal comparative cervical tuberculin (SICCT) test is the primary test for ante-mortem diagnosis of bovine tuberculosis (TB) in England and Wales. When an animal is first classified as an inconclusive reactor (IR) using this test, it is not subject to compulsory slaughter, but it must be isolated from the rest of the herd. To understand the risk posed by these animals, a case-control study was conducted to measure the association between IR status of animals and the odds of them becoming a reactor to the SICCT at a subsequent test. The study included all animals from herds in which only IR animals were found at the first whole herd test in 2012 and used data from subsequent tests up until the end of 2016. Separate mixed-effects logistic regression models were developed to examine the relationship between IR status and subsequent reactor status for each risk area of England and for Wales, adjusting for other explanatory variables. The odds of an animal becoming a subsequent reactor during the study period were greater for IR animals than for negative animals in the high-risk area (odds ratio (OR): 6.85 (5.98-7.86)) and edge area (OR: 8.79 (5.92-13.04)) of England and in Wales (OR: 6.87 (5.75-8.22)). In the low-risk area of England, the odds were 23 times greater, although the confidence interval around this estimate was larger due to the smaller sample size (11-48, p &lt; 0.001). These findings support the need to explore differential controls for IR animals to reduce the spread of TB, and they highlight the importance of area-specific policies.","author":[{"dropping-particle":"","family":"May","given":"Elizabeth","non-dropping-particle":"","parse-names":false,"suffix":""},{"dropping-particle":"","family":"Prosser","given":"Alison","non-dropping-particle":"","parse-names":false,"suffix":""},{"dropping-particle":"","family":"Downs","given":"Sara H.","non-dropping-particle":"","parse-names":false,"suffix":""},{"dropping-particle":"","family":"Brunton","given":"Lucy A.","non-dropping-particle":"","parse-names":false,"suffix":""}],"container-title":"Veterinary Sciences","id":"ITEM-1","issue":"4","issued":{"date-parts":[["2019"]]},"title":"Exploring the risk posed by animals with an inconclusive reaction to the bovine tuberculosis skin test in England and Wales","type":"article-journal","volume":"6"},"uris":["http://www.mendeley.com/documents/?uuid=3453c248-236a-4c06-9054-e1aa4bd51d2c"]}],"mendeley":{"formattedCitation":"(May et al., 2019)","plainTextFormattedCitation":"(May et al., 2019)","previouslyFormattedCitation":"(May et al., 2019)"},"properties":{"noteIndex":0},"schema":"https://github.com/citation-style-language/schema/raw/master/csl-citation.json"}</w:instrText>
      </w:r>
      <w:r w:rsidR="00EA51D0" w:rsidRPr="00581288">
        <w:fldChar w:fldCharType="separate"/>
      </w:r>
      <w:r w:rsidR="00EA51D0" w:rsidRPr="00581288">
        <w:rPr>
          <w:noProof/>
        </w:rPr>
        <w:t>(May et al., 2019)</w:t>
      </w:r>
      <w:r w:rsidR="00EA51D0" w:rsidRPr="00581288">
        <w:fldChar w:fldCharType="end"/>
      </w:r>
      <w:r w:rsidRPr="00581288">
        <w:t xml:space="preserve"> </w:t>
      </w:r>
      <w:r w:rsidR="00EA51D0" w:rsidRPr="00581288">
        <w:t xml:space="preserve">. This risk </w:t>
      </w:r>
      <w:r w:rsidR="002D6B04" w:rsidRPr="00581288">
        <w:t xml:space="preserve">is substantially reduced through the removal of these cattle by becoming reactors or two-time IRs at the retest </w:t>
      </w:r>
      <w:r w:rsidR="002D6B04" w:rsidRPr="00581288">
        <w:fldChar w:fldCharType="begin" w:fldLock="1"/>
      </w:r>
      <w:r w:rsidR="002D6B04" w:rsidRPr="00581288">
        <w:instrText>ADDIN CSL_CITATION {"citationItems":[{"id":"ITEM-1","itemData":{"DOI":"10.3389/fvets.2018.00228","abstract":"Bovine tuberculosis (TB) is an important animal health issue in many parts of the world. In England and Wales, the primary test to detect infected animals is the single intradermal comparative cervical tuberculin test, which compares immunological responses to bovine and avian tuberculins. Inconclusive test reactors (IRs) are animals that demonstrate a positive reaction to the bovine tuberculin only marginally greater than the avian reaction, so are not classified as reactors and immediately removed. In the absence of reactors in the herd, IRs are isolated, placed under movement restrictions and re-tested after 60 days. Other animals in these herds at the time of the IR result are not usually subject to movement restrictions. This could affect efforts to control TB if undetected infected cattle move out of those herds before the next TB test. To improve our understanding of the importance of IRs, this study aimed to assess whether median survival time and the rate of subsequent TB incidents differs in herds with only IRs detected compared with negative-testing herds. Survival analysis and Poisson regression were used, with herds entering the study on the date of the first whole herd test in 2012. An additional analysis was performed using an alternative entry date to try to remove the impact of IR retesting and is presented in the Supplementary Material. Survival analysis showed that the median time to failure among IR only herds was half that observed for clear herds (2.3 years and 4.3 years respectively; p&lt;0.001). Mixed effects Poisson regression analysis showed that IR-only herds had a 54% increase in the rate of subsequent incidents compared with negative-testing herds (incidence rate ratio: 1.54; 95% CI: 1.46, 1.62; p&lt;0.001). The supplementary analysis indicated that the fate of IR only herds is comparable to clear herds after they get through the IR testing regime. Both analyses showed that the fate of IR only herds is associated with some of the traditionally accepted risk factors for TB. This suggests that IRs may be more common among generally high-risk herds, and emphasises the importance of careful decision making around the management of IR animals.","author":[{"dropping-particle":"","family":"Brunton","given":"Lucy A.","non-dropping-particle":"","parse-names":false,"suffix":""},{"dropping-particle":"","family":"Prosser","given":"Alison","non-dropping-particle":"","parse-names":false,"suffix":""},{"dropping-particle":"","family":"Pfeiffer","given":"Dirk U.","non-dropping-particle":"","parse-names":false,"suffix":""},{"dropping-particle":"","family":"Downs","given":"Sara H.","non-dropping-particle":"","parse-names":false,"suffix":""}],"container-title":"Frontiers in Veterinary Science","id":"ITEM-1","issue":"September","issued":{"date-parts":[["2018"]]},"page":"1-10","title":"Exploring the fate of cattle herds with inconclusive reactors to the tuberculin skin test","type":"article-journal","volume":"5"},"uris":["http://www.mendeley.com/documents/?uuid=816c4387-5364-4522-9754-aa000057b1f8"]}],"mendeley":{"formattedCitation":"(Brunton et al., 2018)","plainTextFormattedCitation":"(Brunton et al., 2018)","previouslyFormattedCitation":"(Brunton et al., 2018)"},"properties":{"noteIndex":0},"schema":"https://github.com/citation-style-language/schema/raw/master/csl-citation.json"}</w:instrText>
      </w:r>
      <w:r w:rsidR="002D6B04" w:rsidRPr="00581288">
        <w:fldChar w:fldCharType="separate"/>
      </w:r>
      <w:r w:rsidR="002D6B04" w:rsidRPr="00581288">
        <w:rPr>
          <w:noProof/>
        </w:rPr>
        <w:t>(Brunton et al., 2018)</w:t>
      </w:r>
      <w:r w:rsidR="002D6B04" w:rsidRPr="00581288">
        <w:fldChar w:fldCharType="end"/>
      </w:r>
      <w:r w:rsidR="009F1147" w:rsidRPr="00581288">
        <w:t>. R</w:t>
      </w:r>
      <w:r w:rsidR="002D6B04" w:rsidRPr="00581288">
        <w:t xml:space="preserve">emoving them as reactors through reinterpretation at severe </w:t>
      </w:r>
      <w:r w:rsidR="00742664">
        <w:t xml:space="preserve">level </w:t>
      </w:r>
      <w:r w:rsidR="002D6B04" w:rsidRPr="00581288">
        <w:t>of the disclosing test enhances th</w:t>
      </w:r>
      <w:r w:rsidR="00EA51D0" w:rsidRPr="00581288">
        <w:t>e</w:t>
      </w:r>
      <w:r w:rsidR="002D6B04" w:rsidRPr="00581288">
        <w:t xml:space="preserve"> reduction in risk</w:t>
      </w:r>
      <w:r w:rsidR="000B32BF" w:rsidRPr="00581288">
        <w:t xml:space="preserve">. </w:t>
      </w:r>
      <w:r w:rsidR="00EA51D0" w:rsidRPr="00581288">
        <w:t>At herd level</w:t>
      </w:r>
      <w:r w:rsidR="000B32BF" w:rsidRPr="00581288">
        <w:t>,</w:t>
      </w:r>
      <w:r w:rsidR="00EA51D0" w:rsidRPr="00581288">
        <w:t xml:space="preserve"> </w:t>
      </w:r>
      <w:r w:rsidR="000B32BF" w:rsidRPr="00581288">
        <w:t>IR-only herds have</w:t>
      </w:r>
      <w:r w:rsidR="00EA51D0" w:rsidRPr="00581288">
        <w:t xml:space="preserve"> 2.7 times the </w:t>
      </w:r>
      <w:r w:rsidR="000B32BF" w:rsidRPr="00581288">
        <w:t>risk of a bTB</w:t>
      </w:r>
      <w:r w:rsidR="00EA51D0" w:rsidRPr="00581288">
        <w:t xml:space="preserve"> incident compared with </w:t>
      </w:r>
      <w:r w:rsidR="000B32BF" w:rsidRPr="00581288">
        <w:t>clear</w:t>
      </w:r>
      <w:r w:rsidR="00EA51D0" w:rsidRPr="00581288">
        <w:t>-testing herds in year one (hazard ratio: 2.69; 95%</w:t>
      </w:r>
      <w:r w:rsidR="000B32BF" w:rsidRPr="00581288">
        <w:t xml:space="preserve"> </w:t>
      </w:r>
      <w:r w:rsidR="00EA51D0" w:rsidRPr="00581288">
        <w:t>CI: 2.54, 2.84; p&lt;0.001</w:t>
      </w:r>
      <w:r w:rsidR="000B32BF" w:rsidRPr="00581288">
        <w:t>), reducing 63% per year</w:t>
      </w:r>
      <w:r w:rsidR="002D6B04" w:rsidRPr="00581288">
        <w:t xml:space="preserve"> </w:t>
      </w:r>
      <w:r w:rsidR="002D6B04" w:rsidRPr="00581288">
        <w:fldChar w:fldCharType="begin" w:fldLock="1"/>
      </w:r>
      <w:r w:rsidR="00AF27EB" w:rsidRPr="00581288">
        <w:instrText>ADDIN CSL_CITATION {"citationItems":[{"id":"ITEM-1","itemData":{"DOI":"10.3389/fvets.2018.00228","abstract":"Bovine tuberculosis (TB) is an important animal health issue in many parts of the world. In England and Wales, the primary test to detect infected animals is the single intradermal comparative cervical tuberculin test, which compares immunological responses to bovine and avian tuberculins. Inconclusive test reactors (IRs) are animals that demonstrate a positive reaction to the bovine tuberculin only marginally greater than the avian reaction, so are not classified as reactors and immediately removed. In the absence of reactors in the herd, IRs are isolated, placed under movement restrictions and re-tested after 60 days. Other animals in these herds at the time of the IR result are not usually subject to movement restrictions. This could affect efforts to control TB if undetected infected cattle move out of those herds before the next TB test. To improve our understanding of the importance of IRs, this study aimed to assess whether median survival time and the rate of subsequent TB incidents differs in herds with only IRs detected compared with negative-testing herds. Survival analysis and Poisson regression were used, with herds entering the study on the date of the first whole herd test in 2012. An additional analysis was performed using an alternative entry date to try to remove the impact of IR retesting and is presented in the Supplementary Material. Survival analysis showed that the median time to failure among IR only herds was half that observed for clear herds (2.3 years and 4.3 years respectively; p&lt;0.001). Mixed effects Poisson regression analysis showed that IR-only herds had a 54% increase in the rate of subsequent incidents compared with negative-testing herds (incidence rate ratio: 1.54; 95% CI: 1.46, 1.62; p&lt;0.001). The supplementary analysis indicated that the fate of IR only herds is comparable to clear herds after they get through the IR testing regime. Both analyses showed that the fate of IR only herds is associated with some of the traditionally accepted risk factors for TB. This suggests that IRs may be more common among generally high-risk herds, and emphasises the importance of careful decision making around the management of IR animals.","author":[{"dropping-particle":"","family":"Brunton","given":"Lucy A.","non-dropping-particle":"","parse-names":false,"suffix":""},{"dropping-particle":"","family":"Prosser","given":"Alison","non-dropping-particle":"","parse-names":false,"suffix":""},{"dropping-particle":"","family":"Pfeiffer","given":"Dirk U.","non-dropping-particle":"","parse-names":false,"suffix":""},{"dropping-particle":"","family":"Downs","given":"Sara H.","non-dropping-particle":"","parse-names":false,"suffix":""}],"container-title":"Frontiers in Veterinary Science","id":"ITEM-1","issue":"September","issued":{"date-parts":[["2018"]]},"page":"1-10","title":"Exploring the fate of cattle herds with inconclusive reactors to the tuberculin skin test","type":"article-journal","volume":"5"},"uris":["http://www.mendeley.com/documents/?uuid=816c4387-5364-4522-9754-aa000057b1f8"]}],"mendeley":{"formattedCitation":"(Brunton et al., 2018)","plainTextFormattedCitation":"(Brunton et al., 2018)","previouslyFormattedCitation":"(Brunton et al., 2018)"},"properties":{"noteIndex":0},"schema":"https://github.com/citation-style-language/schema/raw/master/csl-citation.json"}</w:instrText>
      </w:r>
      <w:r w:rsidR="002D6B04" w:rsidRPr="00581288">
        <w:fldChar w:fldCharType="separate"/>
      </w:r>
      <w:r w:rsidR="002D6B04" w:rsidRPr="00581288">
        <w:rPr>
          <w:noProof/>
        </w:rPr>
        <w:t>(Brunton et al., 2018)</w:t>
      </w:r>
      <w:r w:rsidR="002D6B04" w:rsidRPr="00581288">
        <w:fldChar w:fldCharType="end"/>
      </w:r>
      <w:r w:rsidR="002D6B04" w:rsidRPr="00581288">
        <w:t>.</w:t>
      </w:r>
      <w:r w:rsidR="00F06A90" w:rsidRPr="00581288">
        <w:t xml:space="preserve"> </w:t>
      </w:r>
    </w:p>
    <w:p w14:paraId="51BB848F" w14:textId="1D910047" w:rsidR="00B07CD5" w:rsidRPr="00581288" w:rsidRDefault="00D17D14" w:rsidP="00B07CD5">
      <w:r w:rsidRPr="00581288">
        <w:t xml:space="preserve">Although </w:t>
      </w:r>
      <w:r w:rsidR="00F06A90" w:rsidRPr="00581288">
        <w:t xml:space="preserve">five </w:t>
      </w:r>
      <w:r w:rsidRPr="00581288">
        <w:t>times more IRs</w:t>
      </w:r>
      <w:r w:rsidR="00B07CD5" w:rsidRPr="00581288">
        <w:t xml:space="preserve"> retested as reactors or IRs </w:t>
      </w:r>
      <w:r w:rsidRPr="00581288">
        <w:t xml:space="preserve">than </w:t>
      </w:r>
      <w:r w:rsidR="00F06A90" w:rsidRPr="00581288">
        <w:t xml:space="preserve">would have been </w:t>
      </w:r>
      <w:r w:rsidRPr="00581288">
        <w:t>reactors at severe (36</w:t>
      </w:r>
      <w:r w:rsidR="00120751">
        <w:t>2</w:t>
      </w:r>
      <w:r w:rsidRPr="00581288">
        <w:t xml:space="preserve"> vs </w:t>
      </w:r>
      <w:r w:rsidR="00066E37">
        <w:t>68</w:t>
      </w:r>
      <w:r w:rsidRPr="00581288">
        <w:t>) in high-risk tests in 2020</w:t>
      </w:r>
      <w:r w:rsidR="00B07CD5" w:rsidRPr="00581288">
        <w:t xml:space="preserve"> (</w:t>
      </w:r>
      <w:r w:rsidR="00742664">
        <w:t xml:space="preserve">Table 4 and </w:t>
      </w:r>
      <w:r w:rsidR="00B07CD5" w:rsidRPr="00581288">
        <w:t>Figure 5)</w:t>
      </w:r>
      <w:r w:rsidRPr="00581288">
        <w:t xml:space="preserve">, </w:t>
      </w:r>
      <w:r w:rsidR="00E8170F" w:rsidRPr="00581288">
        <w:t>over 80% (19 out of 2</w:t>
      </w:r>
      <w:r w:rsidR="00066E37">
        <w:t>3</w:t>
      </w:r>
      <w:r w:rsidR="00E8170F" w:rsidRPr="00581288">
        <w:t>)</w:t>
      </w:r>
      <w:r w:rsidR="00B07CD5" w:rsidRPr="00581288">
        <w:t xml:space="preserve"> </w:t>
      </w:r>
      <w:r w:rsidR="00B07CD5" w:rsidRPr="00581288">
        <w:lastRenderedPageBreak/>
        <w:t>of incidents declared at disclosure from this reinterpretation</w:t>
      </w:r>
      <w:r w:rsidR="00E8170F" w:rsidRPr="00581288">
        <w:t xml:space="preserve"> </w:t>
      </w:r>
      <w:r w:rsidR="00B07CD5" w:rsidRPr="00581288">
        <w:t>would have been d</w:t>
      </w:r>
      <w:r w:rsidR="006959F9" w:rsidRPr="00581288">
        <w:t>eclared</w:t>
      </w:r>
      <w:r w:rsidR="00B07CD5" w:rsidRPr="00581288">
        <w:t xml:space="preserve"> at the 60-day retest </w:t>
      </w:r>
      <w:r w:rsidR="00E8170F" w:rsidRPr="00581288">
        <w:t xml:space="preserve">instead </w:t>
      </w:r>
      <w:r w:rsidR="00B07CD5" w:rsidRPr="00581288">
        <w:t>(Figure 4). Therefore, this measure constitutes an initial step in strengthening the mitigating measures against the risk IRs pose. Further measures could be implemented in the high-risk tests identified, if needed, as it is difficult to assess the true bTB infection status of cattle in general and IRs in particular.</w:t>
      </w:r>
    </w:p>
    <w:p w14:paraId="21D953FE" w14:textId="2137BBA3" w:rsidR="00B07CD5" w:rsidRPr="00581288" w:rsidRDefault="00B07CD5" w:rsidP="00B07CD5">
      <w:r w:rsidRPr="00581288">
        <w:t>IRs could be non-</w:t>
      </w:r>
      <w:r w:rsidRPr="00581288">
        <w:rPr>
          <w:i/>
        </w:rPr>
        <w:t xml:space="preserve">M. </w:t>
      </w:r>
      <w:proofErr w:type="spellStart"/>
      <w:r w:rsidRPr="00581288">
        <w:rPr>
          <w:i/>
        </w:rPr>
        <w:t>bovis</w:t>
      </w:r>
      <w:proofErr w:type="spellEnd"/>
      <w:r w:rsidRPr="00581288">
        <w:t xml:space="preserve">-infected animals cross-reacting with other pathogens </w:t>
      </w:r>
      <w:r w:rsidRPr="00581288">
        <w:fldChar w:fldCharType="begin" w:fldLock="1"/>
      </w:r>
      <w:r w:rsidR="00C93ECE" w:rsidRPr="00581288">
        <w:instrText>ADDIN CSL_CITATION {"citationItems":[{"id":"ITEM-1","itemData":{"DOI":"10.1016/j.prevetmed.2011.07.014","ISSN":"01675877","abstract":"In Ireland, new cases of bovine tuberculosis (bTB) are detected using both field and abattoir surveillance (More and Good, 2006). Field surveillance is conducted through annual testing of all cattle using the single intradermal comparative tuberculin test (SICTT). An animal may be deemed a 'standard inconclusive reactor' (SIR) to the SICTT if the bovine response is &gt;2. mm and between 1 and 4 mm &gt; the avian response. The herdowner then has three choices for the management of the SIR: option 1 is to have the animal retested after a minimum period of 42 days (an inconclusive reactor retest, IRR), option 2 is to slaughter the SIR and, provided the animal has no visible lesions, have a full herd test 42 days after the SIR leaves the herd, option 3 is to slaughter the SIR and have the lymph nodes examined using histology and/or culture for bTB. In the current study, we examine the bTB risk for SIRs both at slaughter prior to the IRR and at the IRR, and the future bTB risk of TIR animals (so-called 'transient SIRs'; SIR animals with a negative SICTT result at the subsequent IRR) that moved from the herd of disclosure within 6 months of the IRR. We also investigate factors associated with the future bTB status of SIRs at slaughter prior to the IRR and at the IRR. The study population included all SIRs identified in Ireland between 2005 and 2009 inclusive in a herd otherwise Officially TB free (OTF). Between 11.8% and 21.4% of SIRs slaughtered prior to the IRR were confirmed bTB positive at post mortem (using histology or culture if histology was not definitive), compared to 0.13-0.22% of SICTT -ve cohort animals. The post mortem bTB lesion rate of SIRs is lower than the lesion rate reported for reactor animals between 2005 and 2009 of between 34% and 39%, reflecting the doubtful infection status of these animals. Between 20.3% and 27.9% of herds were restricted at the IRR. The herd restriction rate amongst the national herd between 2005 and 2009 varied from 5.09% to 6.02%. TIRs that moved out of the disclosing herd within 6 months of the IRR were 12 times more likely to be bTB positive at the next test/slaughter compared to all animals in the national herd. The same increased risk did not apply to the SICTT -ve cohort animals that moved out of the same herds at the same time. Based on a range of measures, SIRs and TIRs are each at increased bTB risk into the future. Consequently, differential treatment of TIR animals would be justified. © 2011 Elsevier B.V.","author":[{"dropping-particle":"","family":"Clegg","given":"T. A.","non-dropping-particle":"","parse-names":false,"suffix":""},{"dropping-particle":"","family":"Good","given":"M.","non-dropping-particle":"","parse-names":false,"suffix":""},{"dropping-particle":"","family":"Duignan","given":"A.","non-dropping-particle":"","parse-names":false,"suffix":""},{"dropping-particle":"","family":"Doyle","given":"R.","non-dropping-particle":"","parse-names":false,"suffix":""},{"dropping-particle":"","family":"More","given":"S. J.","non-dropping-particle":"","parse-names":false,"suffix":""}],"container-title":"Preventive Veterinary Medicine","id":"ITEM-1","issued":{"date-parts":[["2011"]]},"page":"255-264","publisher":"Elsevier B.V.","title":"Shorter-term risk of Mycobacterium bovis in Irish cattle following an inconclusive diagnosis to the single intradermal comparative tuberculin test","type":"article-journal","volume":"102"},"uris":["http://www.mendeley.com/documents/?uuid=bc5457f6-7efb-41dd-bf45-dbeda8a365ee"]},{"id":"ITEM-2","itemData":{"DOI":"10.1016/j.rvsc.2005.11.005","ISBN":"0034-5288 (Print)\\r0034-5288 (Linking)","ISSN":"00345288","PMID":"16513150","abstract":"The early, preclinical stages of bovine TB can be detected in live animals by the use of tests of cellular immunity (the skin, γ-interferon and lymphocyte transformation tests). Tests of humoral (antibody) immunity, Mycobacterium bovis PCR probes on early tissue cultures or live cattle specimens, and tests based on \"electronic nose\" technology have been developed more recently. The key measure of diagnostic test accuracy is the relationship between sensitivity and specificity, which determines the false-positive and false-negative proportions. None of the tests currently available for the diagnosis of bovine TB allow a perfectly accurate determination of the M. bovis infection status of cattle. Although various factors can reduce the sensitivity and specificity of the skin tests, these remain the primary ante mortem diagnostic tools for TB in cattle, providing a cost-effective and reliable means of screening entire cattle populations. Despite the inescapable limitations of existing diagnostic tests, bovine TB has been effectively eradicated from many developed countries and regions with the implementation of sound programmes of regular tuberculin skin testing and removal of reactors, coupled with slaughterhouse surveillance for undetected infections, repeat testing and culling of infected herds, cattle movement restrictions to prevent introduction of infected animals and occasional slaughter of entire herds with intractable breakdowns. This is likely to remain the mainstay of bovine TB control programmes for the foreseeable future. Additionally, newer ancillary in vitro diagnostic assays are now available to TB control programme managers to supplement the skin tests in defined circumstances according to the specific disease situation in each country or region. The strategic deployment of ancillary in vitro tests alongside the primary skin tests has enhanced the detection of M. bovis-infected cattle and reduced the number of animals slaughtered as false positives. Crown Copyright © 2006.","author":[{"dropping-particle":"","family":"la Rua-Domenech","given":"R.","non-dropping-particle":"de","parse-names":false,"suffix":""},{"dropping-particle":"","family":"Goodchild","given":"A. T.","non-dropping-particle":"","parse-names":false,"suffix":""},{"dropping-particle":"","family":"Vordermeier","given":"H. M.","non-dropping-particle":"","parse-names":false,"suffix":""},{"dropping-particle":"","family":"Hewinson","given":"R. G.","non-dropping-particle":"","parse-names":false,"suffix":""},{"dropping-particle":"","family":"Christiansen","given":"K. H.","non-dropping-particle":"","parse-names":false,"suffix":""},{"dropping-particle":"","family":"Clifton-Hadley","given":"R. S.","non-dropping-particle":"","parse-names":false,"suffix":""}],"container-title":"Research in Veterinary Science","id":"ITEM-2","issue":"2","issued":{"date-parts":[["2006"]]},"page":"190-210","title":"Ante mortem diagnosis of tuberculosis in cattle: A review of the tuberculin tests, γ-interferon assay and other ancillary diagnostic techniques","type":"article-journal","volume":"81"},"uris":["http://www.mendeley.com/documents/?uuid=8cbbfa80-4aae-4845-9fcd-a29fd603f59a"]},{"id":"ITEM-3","itemData":{"DOI":"10.1016/0378-1135(94)90050-7","ISSN":"03781135","PMID":"8073619","abstract":"Tuberculin tests in general use today rely on the response to intradermal injections of tuberculin with assessment of the injection site for swelling at 72 hours post injection. Estimates of the sensitivity of tuberculin test range from 68-95% while specificity is estimated to be 96-99%. The sensitivity of the test is affected by the potency and dose of tuberculin administered, the interval post-infection, desensitisation, deliberate interference, post-partum immunosuppression and observer variation. Speci</w:instrText>
      </w:r>
      <w:r w:rsidR="00C93ECE" w:rsidRPr="00581288">
        <w:rPr>
          <w:lang w:val="es-ES"/>
        </w:rPr>
        <w:instrText>ficity is influenced by sensitisation as a result of exposure to M. avium, M. paratuberculosis and environmental mycobacteria and by skin tuberculosis. © 1994.","author":[{"dropping-particle":"","family":"Monaghan","given":"M. L.","non-dropping-particle":"","parse-names":false,"suffix":""},{"dropping-particle":"","family":"Doherty","given":"M. L.","non-dropping-particle":"","parse-names":false,"suffix":""},{"dropping-particle":"","family":"Collins","given":"J. D.","non-dropping-particle":"","parse-names":false,"suffix":""},{"dropping-particle":"","family":"Kazda","given":"J. F.","non-dropping-particle":"","parse-names":false,"suffix":""},{"dropping-particle":"","family":"Quinn","given":"P. J.","non-dropping-particle":"","parse-names":false,"suffix":""}],"container-title":"Veterinary Microbiology","id":"ITEM-3","issue":"1-2","issued":{"date-parts":[["1994"]]},"page":"111-124","title":"The tuberculin test","type":"article-journal","volume":"40"},"uris":["http://www.mendeley.com/documents/?uuid=adcadcb8-2af7-4844-9870-8dbe378a080c"]}],"mendeley":{"formattedCitation":"(Clegg et al., 2011a; de la Rua-Domenech et al., 2006; Monaghan et al., 1994)","plainTextFormattedCitation":"(Clegg et al., 2011a; de la Rua-Domenech et al., 2006; Monaghan et al., 1994)","previouslyFormattedCitation":"(Clegg et al., 2011a; de la Rua-Domenech et al., 2006; Monaghan et al., 1994)"},"properties":{"noteIndex":0},"schema":"https://github.com/citation-style-language/schema/raw/master/csl-citation.json"}</w:instrText>
      </w:r>
      <w:r w:rsidRPr="00581288">
        <w:fldChar w:fldCharType="separate"/>
      </w:r>
      <w:r w:rsidR="00C93ECE" w:rsidRPr="00581288">
        <w:rPr>
          <w:noProof/>
          <w:lang w:val="es-ES"/>
        </w:rPr>
        <w:t>(Clegg et al., 2011a; de la Rua-Domenech et al., 2006; Monaghan et al., 1994)</w:t>
      </w:r>
      <w:r w:rsidRPr="00581288">
        <w:fldChar w:fldCharType="end"/>
      </w:r>
      <w:r w:rsidRPr="00581288">
        <w:rPr>
          <w:lang w:val="es-ES"/>
        </w:rPr>
        <w:t xml:space="preserve">. </w:t>
      </w:r>
      <w:r w:rsidRPr="00581288">
        <w:t xml:space="preserve">The probability of IRs reinterpreted as reactors being confirmed as bTB-infected through post-mortem examination and/or culture is out of scope in this paper, but it is </w:t>
      </w:r>
      <w:r w:rsidR="00AF27EB" w:rsidRPr="00581288">
        <w:t>a</w:t>
      </w:r>
      <w:r w:rsidRPr="00581288">
        <w:t xml:space="preserve">ffected by the lack of a gold standard to accurately differentiate infected from non-infected animals </w:t>
      </w:r>
      <w:r w:rsidRPr="00581288">
        <w:fldChar w:fldCharType="begin" w:fldLock="1"/>
      </w:r>
      <w:r w:rsidRPr="00581288">
        <w:instrText>ADDIN CSL_CITATION {"citationItems":[{"id":"ITEM-1","itemData":{"DOI":"10.1016/j.vetmic.2011.07.034","ISSN":"03781135","author":[{"dropping-particle":"","family":"Álvarez","given":"Julio","non-dropping-particle":"","parse-names":false,"suffix":""},{"dropping-particle":"","family":"Perez","given":"Andrés","non-dropping-particle":"","parse-names":false,"suffix":""},{"dropping-particle":"","family":"Bezos","given":"Javier","non-dropping-particle":"","parse-names":false,"suffix":""},{"dropping-particle":"","family":"Marqués","given":"Sergio","non-dropping-particle":"","parse-names":false,"suffix":""},{"dropping-particle":"","family":"Grau","given":"Anna","non-dropping-particle":"","parse-names":false,"suffix":""},{"dropping-particle":"","family":"Saez","given":"Jose Luis","non-dropping-particle":"","parse-names":false,"suffix":""},{"dropping-particle":"","family":"Mínguez","given":"Olga","non-dropping-particle":"","parse-names":false,"suffix":""},{"dropping-particle":"","family":"Juan","given":"Lucía","non-dropping-particle":"de","parse-names":false,"suffix":""},{"dropping-particle":"","family":"Domínguez","given":"Lucas","non-dropping-particle":"","parse-names":false,"suffix":""}],"container-title":"Veterinary Microbiology","id":"ITEM-1","issue":"1","issued":{"date-parts":[["2012"]]},"page":"38-43","title":"Evaluation of the sensitivity and specificity of bovine tuberculosis diagnostic tests in naturally infected cattle herds using a Bayesian approach","type":"article-journal","volume":"155"},"uris":["http://www.mendeley.com/documents/?uuid=b83192bd-8e2b-4797-8cac-5c46613a0e04"]},{"id":"ITEM-2","itemData":{"DOI":"10.1016/j.rvsc.2005.11.005","ISBN":"0034-5288 (Print)\\r0034-5288 (Linking)","ISSN":"00345288","PMID":"16513150","abstract":"The early, preclinical stages of bovine TB can be detected in live animals by the use of tests of cellular immunity (the skin, γ-interferon and lymphocyte transformation tests). Tests of humoral (antibody) immunity, Mycobacterium bovis PCR probes on early tissue cultures or live cattle specimens, and tests based on \"electronic nose\" technology have been developed more recently. The key measure of diagnostic test accuracy is the relationship between sensitivity and specificity, which determines the false-positive and false-negative proportions. None of the tests currently available for the diagnosis of bovine TB allow a perfectly accurate determination of the M. bovis infection status of cattle. Although various factors can reduce the sensitivity and specificity of the skin tests, these remain the primary ante mortem diagnostic tools for TB in cattle, providing a cost-effective and reliable means of screening entire cattle populations. Despite the inescapable limitations of existing diagnostic tests, bovine TB has been effectively eradicated from many developed countries and regions with the implementation of sound programmes of regular tuberculin skin testing and removal of reactors, coupled with slaughterhouse surveillance for undetected infections, repeat testing and culling of infected herds, cattle movement restrictions to prevent introduction of infected animals and occasional slaughter of entire herds with intractable breakdowns. This is likely to remain the mainstay of bovine TB control programmes for the foreseeable future. Additionally, newer ancillary in vitro diagnostic assays are now available to TB control programme managers to supplement the skin tests in defined circumstances according to the specific disease situation in each country or region. The strategic deployment of ancillary in vitro tests alongside the primary skin tests has enhanced the detection of M. bovis-infected cattle and reduced the number of animals slaughtered as false positives. Crown Copyright © 2006.","author":[{"dropping-particle":"","family":"la Rua-Domenech","given":"R.","non-dropping-particle":"de","parse-names":false,"suffix":""},{"dropping-particle":"","family":"Goodchild","given":"A. T.","non-dropping-particle":"","parse-names":false,"suffix":""},{"dropping-particle":"","family":"Vordermeier","given":"H. M.","non-dropping-particle":"","parse-names":false,"suffix":""},{"dropping-particle":"","family":"Hewinson","given":"R. G.","non-dropping-particle":"","parse-names":false,"suffix":""},{"dropping-particle":"","family":"Christiansen","given":"K. H.","non-dropping-particle":"","parse-names":false,"suffix":""},{"dropping-particle":"","family":"Clifton-Hadley","given":"R. S.","non-dropping-particle":"","parse-names":false,"suffix":""}],"container-title":"Research in Veterinary Science","id":"ITEM-2","issue":"2","issued":{"date-parts":[["2006"]]},"page":"190-210","title":"Ante mortem diagnosis of tuberculosis in cattle: A review of the tuberculin tests, γ-interferon assay and other ancillary diagnostic techniques","type":"article-journal","volume":"81"},"uris":["http://www.mendeley.com/documents/?uuid=8cbbfa80-4aae-4845-9fcd-a29fd603f59a"]}],"mendeley":{"formattedCitation":"(Álvarez et al., 2012; de la Rua-Domenech et al., 2006)","plainTextFormattedCitation":"(Álvarez et al., 2012; de la Rua-Domenech et al., 2006)","previouslyFormattedCitation":"(Álvarez et al., 2012; de la Rua-Domenech et al., 2006)"},"properties":{"noteIndex":0},"schema":"https://github.com/citation-style-language/schema/raw/master/csl-citation.json"}</w:instrText>
      </w:r>
      <w:r w:rsidRPr="00581288">
        <w:fldChar w:fldCharType="separate"/>
      </w:r>
      <w:r w:rsidRPr="00581288">
        <w:rPr>
          <w:noProof/>
        </w:rPr>
        <w:t>(Álvarez et al., 2012; de la Rua-Domenech et al., 2006)</w:t>
      </w:r>
      <w:r w:rsidRPr="00581288">
        <w:fldChar w:fldCharType="end"/>
      </w:r>
      <w:r w:rsidRPr="00581288">
        <w:t xml:space="preserve">. </w:t>
      </w:r>
      <w:r w:rsidR="00AF27EB" w:rsidRPr="00581288">
        <w:t xml:space="preserve">In spite of this, </w:t>
      </w:r>
      <w:r w:rsidRPr="00581288">
        <w:t xml:space="preserve">IRs slaughtered before the retest </w:t>
      </w:r>
      <w:r w:rsidR="00AF27EB" w:rsidRPr="00581288">
        <w:t xml:space="preserve">in Ireland and England </w:t>
      </w:r>
      <w:r w:rsidRPr="00581288">
        <w:t>ha</w:t>
      </w:r>
      <w:r w:rsidR="00AF27EB" w:rsidRPr="00581288">
        <w:t>d</w:t>
      </w:r>
      <w:r w:rsidRPr="00581288">
        <w:t xml:space="preserve"> higher confirmation rates than clear cattle but lower than reactors </w:t>
      </w:r>
      <w:r w:rsidRPr="00581288">
        <w:fldChar w:fldCharType="begin" w:fldLock="1"/>
      </w:r>
      <w:r w:rsidR="00D6638E" w:rsidRPr="00581288">
        <w:instrText>ADDIN CSL_CITATION {"citationItems":[{"id":"ITEM-1","itemData":{"DOI":"10.1016/j.prevetmed.2011.07.014","ISSN":"01675877","abstract":"In Ireland, new cases of bovine tuberculosis (bTB) are detected using both field and abattoir surveillance (More and Good, 2006). Field surveillance is conducted through annual testing of all cattle using the single intradermal comparative tuberculin test (SICTT). An animal may be deemed a 'standard inconclusive reactor' (SIR) to the SICTT if the bovine response is &gt;2. mm and between 1 and 4 mm &gt; the avian response. The herdowner then has three choices for the management of the SIR: option 1 is to have the animal retested after a minimum period of 42 days (an inconclusive reactor retest, IRR), option 2 is to slaughter the SIR and, provided the animal has no visible lesions, have a full herd test 42 days after the SIR leaves the herd, option 3 is to slaughter the SIR and have the lymph nodes examined using histology and/or culture for bTB. In the current study, we examine the bTB risk for SIRs both at slaughter prior to the IRR and at the IRR, and the future bTB risk of TIR animals (so-called 'transient SIRs'; SIR animals with a negative SICTT result at the subsequent IRR) that moved from the herd of disclosure within 6 months of the IRR. We also investigate factors associated with the future bTB status of SIRs at slaughter prior to the IRR and at the IRR. The study population included all SIRs identified in Ireland between 2005 and 2009 inclusive in a herd otherwise Officially TB free (OTF). Between 11.8% and 21.4% of SIRs slaughtered prior to the IRR were confirmed bTB positive at post mortem (using histology or culture if histology was not definitive), compared to 0.13-0.22% of SICTT -ve cohort animals. The post mortem bTB lesion rate of SIRs is lower than the lesion rate reported for reactor animals between 2005 and 2009 of between 34% and 39%, reflecting the doubtful infection status of these animals. Between 20.3% and 27.9% of herds were restricted at the IRR. The herd restriction rate amongst the national herd between 2005 and 2009 varied from 5.09% to 6.02%. TIRs that moved out of the disclosing herd within 6 months of the IRR were 12 times more likely to be bTB positive at the next test/slaughter compared to all animals in the national herd. The same increased risk did not apply to the SICTT -ve cohort animals that moved out of the same herds at the same time. Based on a range of measures, SIRs and TIRs are each at increased bTB risk into the future. Consequently, differential treatment of TIR animals would be justified. © 2011 Elsevier B.V.","author":[{"dropping-particle":"","family":"Clegg","given":"T. A.","non-dropping-particle":"","parse-names":false,"suffix":""},{"dropping-particle":"","family":"Good","given":"M.","non-dropping-particle":"","parse-names":false,"suffix":""},{"dropping-particle":"","family":"Duignan","given":"A.","non-dropping-particle":"","parse-names":false,"suffix":""},{"dropping-particle":"","family":"Doyle","given":"R.","non-dropping-particle":"","parse-names":false,"suffix":""},{"dropping-particle":"","family":"More","given":"S. J.","non-dropping-particle":"","parse-names":false,"suffix":""}],"container-title":"Preventive Veterinary Medicine","id":"ITEM-1","issued":{"date-parts":[["2011"]]},"page":"255-264","publisher":"Elsevier B.V.","title":"Shorter-term risk of Mycobacterium bovis in Irish cattle following an inconclusive diagnosis to the single intradermal comparative tuberculin test","type":"article-journal","volume":"102"},"uris":["http://www.mendeley.com/documents/?uuid=bc5457f6-7efb-41dd-bf45-dbeda8a365ee"]},{"id":"ITEM-2","itemData":{"author":[{"dropping-particle":"","family":"APHA","given":"","non-dropping-particle":"","parse-names":false,"suffix":""}],"id":"ITEM-2","issue":"September","issued":{"date-parts":[["2020"]]},"number-of-pages":"105","title":"Bovine tuberculosis in England in 2019. Epidemiological analysis of the 2019 data and historical trends","type":"report"},"uris":["http://www.mendeley.com/documents/?uuid=c0ed0e25-e60c-43e4-b4d4-efa259ea36e6"]}],"mendeley":{"formattedCitation":"(APHA, 2020b; Clegg et al., 2011a)","plainTextFormattedCitation":"(APHA, 2020b; Clegg et al., 2011a)","previouslyFormattedCitation":"(APHA, 2020b; Clegg et al., 2011a)"},"properties":{"noteIndex":0},"schema":"https://github.com/citation-style-language/schema/raw/master/csl-citation.json"}</w:instrText>
      </w:r>
      <w:r w:rsidRPr="00581288">
        <w:fldChar w:fldCharType="separate"/>
      </w:r>
      <w:r w:rsidR="00DC1312" w:rsidRPr="00581288">
        <w:rPr>
          <w:noProof/>
        </w:rPr>
        <w:t>(APHA, 2020b; Clegg et al., 2011a)</w:t>
      </w:r>
      <w:r w:rsidRPr="00581288">
        <w:fldChar w:fldCharType="end"/>
      </w:r>
      <w:r w:rsidRPr="00581288">
        <w:t xml:space="preserve">. </w:t>
      </w:r>
    </w:p>
    <w:p w14:paraId="2977FC49" w14:textId="26B3F6C5" w:rsidR="00B07CD5" w:rsidRPr="00581288" w:rsidRDefault="00B07CD5" w:rsidP="00B07CD5">
      <w:r w:rsidRPr="00581288">
        <w:t xml:space="preserve">Only IRs </w:t>
      </w:r>
      <w:r w:rsidR="00AF27EB" w:rsidRPr="00581288">
        <w:t>with skin measurements</w:t>
      </w:r>
      <w:r w:rsidRPr="00581288">
        <w:t xml:space="preserve"> closer to </w:t>
      </w:r>
      <w:r w:rsidR="00AF27EB" w:rsidRPr="00581288">
        <w:t>th</w:t>
      </w:r>
      <w:r w:rsidR="00742664">
        <w:t>ose</w:t>
      </w:r>
      <w:r w:rsidR="00AF27EB" w:rsidRPr="00581288">
        <w:t xml:space="preserve"> of</w:t>
      </w:r>
      <w:r w:rsidRPr="00581288">
        <w:t xml:space="preserve"> reactors, more targeted towards </w:t>
      </w:r>
      <w:r w:rsidRPr="00581288">
        <w:rPr>
          <w:i/>
        </w:rPr>
        <w:t xml:space="preserve">M. </w:t>
      </w:r>
      <w:proofErr w:type="spellStart"/>
      <w:r w:rsidRPr="00581288">
        <w:rPr>
          <w:i/>
        </w:rPr>
        <w:t>bovis</w:t>
      </w:r>
      <w:proofErr w:type="spellEnd"/>
      <w:r w:rsidRPr="00581288">
        <w:t xml:space="preserve"> </w:t>
      </w:r>
      <w:r w:rsidRPr="00581288">
        <w:fldChar w:fldCharType="begin" w:fldLock="1"/>
      </w:r>
      <w:r w:rsidRPr="00581288">
        <w:instrText>ADDIN CSL_CITATION {"citationItems":[{"id":"ITEM-1","itemData":{"DOI":"10.1016/j.rvsc.2005.11.005","ISBN":"0034-5288 (Print)\\r0034-5288 (Linking)","ISSN":"00345288","PMID":"16513150","abstract":"The early, preclinical stages of bovine TB can be detected in live animals by the use of tests of cellular immunity (the skin, γ-interferon and lymphocyte transformation tests). Tests of humoral (antibody) immunity, Mycobacterium bovis PCR probes on early tissue cultures or live cattle specimens, and tests based on \"electronic nose\" technology have been developed more recently. The key measure of diagnostic test accuracy is the relationship between sensitivity and specificity, which determines the false-positive and false-negative proportions. None of the tests currently available for the diagnosis of bovine TB allow a perfectly accurate determination of the M. bovis infection status of cattle. Although various factors can reduce the sensitivity and specificity of the skin tests, these remain the primary ante mortem diagnostic tools for TB in cattle, providing a cost-effective and reliable means of screening entire cattle populations. Despite the inescapable limitations of existing diagnostic tests, bovine TB has been effectively eradicated from many developed countries and regions with the implementation of sound programmes of regular tuberculin skin testing and removal of reactors, coupled with slaughterhouse surveillance for undetected infections, repeat testing and culling of infected herds, cattle movement restrictions to prevent introduction of infected animals and occasional slaughter of entire herds with intractable breakdowns. This is likely to remain the mainstay of bovine TB control programmes for the foreseeable future. Additionally, newer ancillary in vitro diagnostic assays are now available to TB control programme managers to supplement the skin tests in defined circumstances according to the specific disease situation in each country or region. The strategic deployment of ancillary in vitro tests alongside the primary skin tests has enhanced the detection of M. bovis-infected cattle and reduced the number of animals slaughtered as false positives. Crown Copyright © 2006.","author":[{"dropping-particle":"","family":"la Rua-Domenech","given":"R.","non-dropping-particle":"de","parse-names":false,"suffix":""},{"dropping-particle":"","family":"Goodchild","given":"A. T.","non-dropping-particle":"","parse-names":false,"suffix":""},{"dropping-particle":"","family":"Vordermeier","given":"H. M.","non-dropping-particle":"","parse-names":false,"suffix":""},{"dropping-particle":"","family":"Hewinson","given":"R. G.","non-dropping-particle":"","parse-names":false,"suffix":""},{"dropping-particle":"","family":"Christiansen","given":"K. H.","non-dropping-particle":"","parse-names":false,"suffix":""},{"dropping-particle":"","family":"Clifton-Hadley","given":"R. S.","non-dropping-particle":"","parse-names":false,"suffix":""}],"container-title":"Research in Veterinary Science","id":"ITEM-1","issue":"2","issued":{"date-parts":[["2006"]]},"page":"190-210","title":"Ante mortem diagnosis of tuberculosis in cattle: A review of the tuberculin tests, γ-interferon assay and other ancillary diagnostic techniques","type":"article-journal","volume":"81"},"uris":["http://www.mendeley.com/documents/?uuid=8cbbfa80-4aae-4845-9fcd-a29fd603f59a"]},{"id":"ITEM-2","itemData":{"author":[{"dropping-particle":"","family":"Francis","given":"J. D.","non-dropping-particle":"","parse-names":false,"suffix":""},{"dropping-particle":"","family":"Choi","given":"C.L.","non-dropping-particle":"","parse-names":false,"suffix":""},{"dropping-particle":"","family":"Frost","given":"A.J.","non-dropping-particle":"","parse-names":false,"suffix":""}],"container-title":"Australian Veterinary Journal","id":"ITEM-2","issued":{"date-parts":[["1973"]]},"page":"246-251","title":"The diagnosis of tuberculosis in cattle with special reference to bovine PPD tuberculin","type":"article-journal","volume":"49"},"uris":["http://www.mendeley.com/documents/?uuid=feb41b7d-aba8-4a4c-a042-c38d74206d2e"]}],"mendeley":{"formattedCitation":"(de la Rua-Domenech et al., 2006; Francis et al., 1973)","plainTextFormattedCitation":"(de la Rua-Domenech et al., 2006; Francis et al., 1973)","previouslyFormattedCitation":"(de la Rua-Domenech et al., 2006; Francis et al., 1973)"},"properties":{"noteIndex":0},"schema":"https://github.com/citation-style-language/schema/raw/master/csl-citation.json"}</w:instrText>
      </w:r>
      <w:r w:rsidRPr="00581288">
        <w:fldChar w:fldCharType="separate"/>
      </w:r>
      <w:r w:rsidRPr="00581288">
        <w:rPr>
          <w:noProof/>
        </w:rPr>
        <w:t>(de la Rua-Domenech et al., 2006; Francis et al., 1973)</w:t>
      </w:r>
      <w:r w:rsidRPr="00581288">
        <w:fldChar w:fldCharType="end"/>
      </w:r>
      <w:r w:rsidRPr="00581288">
        <w:t>, will be reclassified as reactors at severe level reinterpretation</w:t>
      </w:r>
      <w:r w:rsidR="00AF27EB" w:rsidRPr="00581288">
        <w:t xml:space="preserve">. However, </w:t>
      </w:r>
      <w:r w:rsidRPr="00581288">
        <w:t>the reliance on the skin test results is a key limitation of the model</w:t>
      </w:r>
      <w:r w:rsidR="00AF27EB" w:rsidRPr="00581288">
        <w:t xml:space="preserve"> since</w:t>
      </w:r>
      <w:r w:rsidRPr="00581288">
        <w:t xml:space="preserve"> they can be influenced by host and test variables </w:t>
      </w:r>
      <w:r w:rsidRPr="00581288">
        <w:fldChar w:fldCharType="begin" w:fldLock="1"/>
      </w:r>
      <w:r w:rsidRPr="00581288">
        <w:instrText>ADDIN CSL_CITATION {"citationItems":[{"id":"ITEM-1","itemData":{"DOI":"10.1016/j.vetmic.2011.07.034","ISSN":"03781135","author":[{"dropping-particle":"","family":"Álvarez","given":"Julio","non-dropping-particle":"","parse-names":false,"suffix":""},{"dropping-particle":"","family":"Perez","given":"Andrés","non-dropping-particle":"","parse-names":false,"suffix":""},{"dropping-particle":"","family":"Bezos","given":"Javier","non-dropping-particle":"","parse-names":false,"suffix":""},{"dropping-particle":"","family":"Marqués","given":"Sergio","non-dropping-particle":"","parse-names":false,"suffix":""},{"dropping-particle":"","family":"Grau","given":"Anna","non-dropping-particle":"","parse-names":false,"suffix":""},{"dropping-particle":"","family":"Saez","given":"Jose Luis","non-dropping-particle":"","parse-names":false,"suffix":""},{"dropping-particle":"","family":"Mínguez","given":"Olga","non-dropping-particle":"","parse-names":false,"suffix":""},{"dropping-particle":"","family":"Juan","given":"Lucía","non-dropping-particle":"de","parse-names":false,"suffix":""},{"dropping-particle":"","family":"Domínguez","given":"Lucas","non-dropping-particle":"","parse-names":false,"suffix":""}],"container-title":"Veterinary Microbiology","id":"ITEM-1","issue":"1","issued":{"date-parts":[["2012"]]},"page":"38-43","title":"Evaluation of the sensitivity and specificity of bovine tuberculosis diagnostic tests in naturally infected cattle herds using a Bayesian approach","type":"article-journal","volume":"155"},"uris":["http://www.mendeley.com/documents/?uuid=b83192bd-8e2b-4797-8cac-5c46613a0e04"]},{"id":"ITEM-2","itemData":{"DOI":"10.1016/j.rvsc.2005.11.005","ISBN":"0034-5288 (Print)\\r0034-5288 (Linking)","ISSN":"00345288","PMID":"16513150","abstract":"The early, preclinical stages of bovine TB can be detected in live animals by the use of tests of cellular immunity (the skin, γ-interferon and lymphocyte transformation tests). Tests of humoral (antibody) immunity, Mycobacterium bovis PCR probes on early tissue cultures or live cattle specimens, and tests based on \"electronic nose\" technology have been developed more recently. The key measure of diagnostic test accuracy is the relationship between sensitivity and specificity, which determines the false-positive and false-negative proportions. None of the tests currently available for the diagnosis of bovine TB allow a perfectly accurate determination of the M. bovis infection status of cattle. Although various factors can reduce the sensitivity and specificity of the skin tests, these remain the primary ante mortem diagnostic tools for TB in cattle, providing a cost-effective and reliable means of screening entire cattle populations. Despite the inescapable limitations of existing diagnostic tests, bovine TB has been effectively eradicated from many developed countries and regions with the implementation of sound programmes of regular tuberculin skin testing and removal of reactors, coupled with slaughterhouse surveillance for undetected infections, repeat testing and culling of infected herds, cattle movement restrictions to prevent introduction of infected animals and occasional slaughter of entire herds with intractable breakdowns. This is likely to remain the mainstay of bovine TB control programmes for the foreseeable future. Additionally, newer ancillary in vitro diagnostic assays are now available to TB control programme managers to supplement the skin tests in defined circumstances according to the specific disease situation in each country or region. The strategic deployment of ancillary in vitro tests alongside the primary skin tests has enhanced the detection of M. bovis-infected cattle and reduced the number of animals slaughtered as false positives. Crown Copyright © 2006.","author":[{"dropping-particle":"","family":"la Rua-Domenech","given":"R.","non-dropping-particle":"de","parse-names":false,"suffix":""},{"dropping-particle":"","family":"Goodchild","given":"A. T.","non-dropping-particle":"","parse-names":false,"suffix":""},{"dropping-particle":"","family":"Vordermeier","given":"H. M.","non-dropping-particle":"","parse-names":false,"suffix":""},{"dropping-particle":"","family":"Hewinson","given":"R. G.","non-dropping-particle":"","parse-names":false,"suffix":""},{"dropping-particle":"","family":"Christiansen","given":"K. H.","non-dropping-particle":"","parse-names":false,"suffix":""},{"dropping-particle":"","family":"Clifton-Hadley","given":"R. S.","non-dropping-particle":"","parse-names":false,"suffix":""}],"container-title":"Research in Veterinary Science","id":"ITEM-2","issue":"2","issued":{"date-parts":[["2006"]]},"page":"190-210","title":"Ante mortem diagnosis of tuberculosis in cattle: A review of the tuberculin tests, γ-interferon assay and other ancillary diagnostic techniques","type":"article-journal","volume":"81"},"uris":["http://www.mendeley.com/documents/?uuid=8cbbfa80-4aae-4845-9fcd-a29fd603f59a"]}],"mendeley":{"formattedCitation":"(Álvarez et al., 2012; de la Rua-Domenech et al., 2006)","plainTextFormattedCitation":"(Álvarez et al., 2012; de la Rua-Domenech et al., 2006)","previouslyFormattedCitation":"(Álvarez et al., 2012; de la Rua-Domenech et al., 2006)"},"properties":{"noteIndex":0},"schema":"https://github.com/citation-style-language/schema/raw/master/csl-citation.json"}</w:instrText>
      </w:r>
      <w:r w:rsidRPr="00581288">
        <w:fldChar w:fldCharType="separate"/>
      </w:r>
      <w:r w:rsidRPr="00581288">
        <w:rPr>
          <w:noProof/>
        </w:rPr>
        <w:t>(Álvarez et al., 2012; de la Rua-Domenech et al., 2006)</w:t>
      </w:r>
      <w:r w:rsidRPr="00581288">
        <w:fldChar w:fldCharType="end"/>
      </w:r>
      <w:r w:rsidRPr="00581288">
        <w:t xml:space="preserve">, as well as the tester’s operative skills and experience </w:t>
      </w:r>
      <w:r w:rsidRPr="00581288">
        <w:fldChar w:fldCharType="begin" w:fldLock="1"/>
      </w:r>
      <w:r w:rsidRPr="00581288">
        <w:instrText>ADDIN CSL_CITATION {"citationItems":[{"id":"ITEM-1","itemData":{"DOI":"10.1016/j.prevetmed.2015.02.005","ISSN":"01675877","abstract":"In Ireland, new bovine tuberculosis (bTB) cases are detected using both field and abattoir surveillance. Field surveillance is conducted on all cattle annually using the single intradermal comparative tuberculin test (SICTT). Testing is reliant on the skills and experience of the tester and a broad range of factors may adversely affect test accuracy. There is considerable emphasis on quality control (QC) within the national programme and field inspection of testers has been conducted in Ireland for many years. Since 2008, inspection has been supplemented with quantitative performance reports, enabling testers to be evaluated and ranked using a range of performance indicators. The objectives of this study were first, to quantify the relative effectiveness of testers during field surveillance and, second, to assess whether there has been any change in the performance of testers between 2008 and 2011. Mixed logistic regression was used to assess the relative effectiveness of testers. The study population included all testers who carried out at least ten eligible tests in Ireland during 2008 or 2011. The outcome measure was a herd restriction at the eligible test. Results from the mixed model indicated that the variation by tester had significantly (p= 0.039) decreased from 0.589 in 2008 to 0.426 in 2011, indicating an increase in consistency of testing, after accounting for other known risk factors. This study provides objective data on the variation in tester performance over time and the relative performance of testers during field surveillance in Ireland.","author":[{"dropping-particle":"","family":"Clegg","given":"T. A.","non-dropping-particle":"","parse-names":false,"suffix":""},{"dropping-particle":"","family":"Duignan","given":"A.","non-dropping-particle":"","parse-names":false,"suffix":""},{"dropping-particle":"","family":"More","given":"S. J.","non-dropping-particle":"","parse-names":false,"suffix":""}],"container-title":"Preventive Veterinary Medicine","id":"ITEM-1","issue":"1-2","issued":{"date-parts":[["2015"]]},"page":"85-89","publisher":"Elsevier B.V.","title":"The relative effectiveness of testers during field surveillance for bovine tuberculosis in unrestricted low-risk herds in Ireland","type":"article-journal","volume":"119"},"uris":["http://www.mendeley.com/documents/?uuid=056492fe-e126-4982-8d65-466f723f7df0"]}],"mendeley":{"formattedCitation":"(Clegg et al., 2015)","plainTextFormattedCitation":"(Clegg et al., 2015)","previouslyFormattedCitation":"(Clegg et al., 2015)"},"properties":{"noteIndex":0},"schema":"https://github.com/citation-style-language/schema/raw/master/csl-citation.json"}</w:instrText>
      </w:r>
      <w:r w:rsidRPr="00581288">
        <w:fldChar w:fldCharType="separate"/>
      </w:r>
      <w:r w:rsidRPr="00581288">
        <w:rPr>
          <w:noProof/>
        </w:rPr>
        <w:t>(Clegg et al., 2015)</w:t>
      </w:r>
      <w:r w:rsidRPr="00581288">
        <w:fldChar w:fldCharType="end"/>
      </w:r>
      <w:r w:rsidRPr="00581288">
        <w:t xml:space="preserve">, performance, subjective interpretation </w:t>
      </w:r>
      <w:r w:rsidRPr="00581288">
        <w:fldChar w:fldCharType="begin" w:fldLock="1"/>
      </w:r>
      <w:r w:rsidRPr="00581288">
        <w:instrText>ADDIN CSL_CITATION {"citationItems":[{"id":"ITEM-1","itemData":{"DOI":"10.3389/fvets.2018.00059","abstract":"Tuberculosis (TB) is more than 3 million years old thriving in multiple species. Ancestral Mycobacterium tuberculosis gave rise to multiple strains including Mycobacterium bovis (M. bovis) now distributed worldwide with zoonotic transmission happening in both directions between animals and humans. M. bovis in milk caused problems with a significant number of deaths in children under 5 years of age due largely to extra-pulmonary TB. This risk was effectively mitigated with widespread milk pasteurization during the 20thC and fewer young children were lost to TB. Koch developed tuberculin in 1890 and recognising the possibility of using tuberculin to detect infected animals the first tests were quickly developed. Bovine TB (bTB) control/eradication programmes followed in the late 19thC/early 20thC. Many scientists collaborated and contributed to the development of tuberculin tests, to refining and optimising the production and standardisation of tuberculin and to determining test sensitivity and specificity using various methodologies and injection sites. The WHO, OIE and EU have set legal standards for tuberculin production, potency assay performance and intradermal tests for bovines. Now, those using tuberculin tests for bTB control/eradication programmes rarely, see TB as a disease. Notwithstanding the launch of the first-ever roadmap to combat zoonotic TB, many wonder if bTB is actually a problem?; is there a better way of dealing with bTB; might alternative skin test sites make the test ‘better’ and easier to perform; are all tuberculins used for testing equally good?; why haven’t alternative ‘better’ tests been developed? This review was prompted by these types of questions. This paper attempts to succinctly summarise the data from the literature from the late 19thC to date to show why TB, and zoonotic TB specifically, was and still is important as a ‘One Health’ concern, and that the necessity to reduce the burden of zoonotic TB, to save lives and secure livelihoods is far too important to await the possible future development of novel diagnostic assays for livestock before renewing efforts to eliminate it. Consequently, it is highly probable that the tuberculin skin test will remain the screening test of choice for farmed livestock for the considerable future.","author":[{"dropping-particle":"","family":"Good","given":"Margaret","non-dropping-particle":"","parse-names":false,"suffix":""},{"dropping-particle":"","family":"Bakker","given":"Douwe","non-dropping-particle":"","parse-names":false,"suffix":""},{"dropping-particle":"","family":"Duignan","given":"Anthony","non-dropping-particle":"","parse-names":false,"suffix":""},{"dropping-particle":"","family":"Collins","given":"Daniel M.","non-dropping-particle":"","parse-names":false,"suffix":""}],"container-title":"Frontiers in Veterinary Science","id":"ITEM-1","issue":"April","issued":{"date-parts":[["2018"]]},"title":"The History of In Vivo Tuberculin Testing in Bovines: Tuberculosis, a “One Health” Issue","type":"article-journal","volume":"5"},"uris":["http://www.mendeley.com/documents/?uuid=5aeb58b1-dae6-4104-ae9d-d1e0c523f305"]}],"mendeley":{"formattedCitation":"(Good et al., 2018)","plainTextFormattedCitation":"(Good et al., 2018)","previouslyFormattedCitation":"(Good et al., 2018)"},"properties":{"noteIndex":0},"schema":"https://github.com/citation-style-language/schema/raw/master/csl-citation.json"}</w:instrText>
      </w:r>
      <w:r w:rsidRPr="00581288">
        <w:fldChar w:fldCharType="separate"/>
      </w:r>
      <w:r w:rsidRPr="00581288">
        <w:rPr>
          <w:noProof/>
        </w:rPr>
        <w:t>(Good et al., 2018)</w:t>
      </w:r>
      <w:r w:rsidRPr="00581288">
        <w:fldChar w:fldCharType="end"/>
      </w:r>
      <w:r w:rsidRPr="00581288">
        <w:t xml:space="preserve">, and other factors </w:t>
      </w:r>
      <w:r w:rsidRPr="00581288">
        <w:fldChar w:fldCharType="begin" w:fldLock="1"/>
      </w:r>
      <w:r w:rsidRPr="00581288">
        <w:instrText>ADDIN CSL_CITATION {"citationItems":[{"id":"ITEM-1","itemData":{"DOI":"10.1016/j.prevetmed.2015.02.005","ISSN":"01675877","abstract":"In Ireland, new bovine tuberculosis (bTB) cases are detected using both field and abattoir surveillance. Field surveillance is conducted on all cattle annually using the single intradermal comparative tuberculin test (SICTT). Testing is reliant on the skills and experience of the tester and a broad range of factors may adversely affect test accuracy. There is considerable emphasis on quality control (QC) within the national programme and field inspection of testers has been conducted in Ireland for many years. Since 2008, inspection has been supplemented with quantitative performance reports, enabling testers to be evaluated and ranked using a range of performance indicators. The objectives of this study were first, to quantify the relative effectiveness of testers during field surveillance and, second, to assess whether there has been any change in the performance of testers between 2008 and 2011. Mixed logistic regression was used to assess the relative effectiveness of testers. The study population included all testers who carried out at least ten eligible tests in Ireland during 2008 or 2011. The outcome measure was a herd restriction at the eligible test. Results from the mixed model indicated that the variation by tester had significantly (p= 0.039) decreased from 0.589 in 2008 to 0.426 in 2011, indicating an increase in consistency of testing, after accounting for other known risk factors. This study provides objective data on the variation in tester performance over time and the relative performance of testers during field surveillance in Ireland.","author":[{"dropping-particle":"","family":"Clegg","given":"T. A.","non-dropping-particle":"","parse-names":false,"suffix":""},{"dropping-particle":"","family":"Duignan","given":"A.","non-dropping-particle":"","parse-names":false,"suffix":""},{"dropping-particle":"","family":"More","given":"S. J.","non-dropping-particle":"","parse-names":false,"suffix":""}],"container-title":"Preventive Veterinary Medicine","id":"ITEM-1","issue":"1-2","issued":{"date-parts":[["2015"]]},"page":"85-89","publisher":"Elsevier B.V.","title":"The relative effectiveness of testers during field surveillance for bovine tuberculosis in unrestricted low-risk herds in Ireland","type":"article-journal","volume":"119"},"uris":["http://www.mendeley.com/documents/?uuid=056492fe-e126-4982-8d65-466f723f7df0"]}],"mendeley":{"formattedCitation":"(Clegg et al., 2015)","plainTextFormattedCitation":"(Clegg et al., 2015)","previouslyFormattedCitation":"(Clegg et al., 2015)"},"properties":{"noteIndex":0},"schema":"https://github.com/citation-style-language/schema/raw/master/csl-citation.json"}</w:instrText>
      </w:r>
      <w:r w:rsidRPr="00581288">
        <w:fldChar w:fldCharType="separate"/>
      </w:r>
      <w:r w:rsidRPr="00581288">
        <w:rPr>
          <w:noProof/>
        </w:rPr>
        <w:t>(Clegg et al., 2015)</w:t>
      </w:r>
      <w:r w:rsidRPr="00581288">
        <w:fldChar w:fldCharType="end"/>
      </w:r>
      <w:r w:rsidRPr="00581288">
        <w:t xml:space="preserve"> which can affect its sensitivity </w:t>
      </w:r>
      <w:r w:rsidRPr="00581288">
        <w:fldChar w:fldCharType="begin" w:fldLock="1"/>
      </w:r>
      <w:r w:rsidRPr="00581288">
        <w:instrText>ADDIN CSL_CITATION {"citationItems":[{"id":"ITEM-1","itemData":{"DOI":"10.1016/j.vetmic.2011.07.034","ISSN":"03781135","author":[{"dropping-particle":"","family":"Álvarez","given":"Julio","non-dropping-particle":"","parse-names":false,"suffix":""},{"dropping-particle":"","family":"Perez","given":"Andrés","non-dropping-particle":"","parse-names":false,"suffix":""},{"dropping-particle":"","family":"Bezos","given":"Javier","non-dropping-particle":"","parse-names":false,"suffix":""},{"dropping-particle":"","family":"Marqués","given":"Sergio","non-dropping-particle":"","parse-names":false,"suffix":""},{"dropping-particle":"","family":"Grau","given":"Anna","non-dropping-particle":"","parse-names":false,"suffix":""},{"dropping-particle":"","family":"Saez","given":"Jose Luis","non-dropping-particle":"","parse-names":false,"suffix":""},{"dropping-particle":"","family":"Mínguez","given":"Olga","non-dropping-particle":"","parse-names":false,"suffix":""},{"dropping-particle":"","family":"Juan","given":"Lucía","non-dropping-particle":"de","parse-names":false,"suffix":""},{"dropping-particle":"","family":"Domínguez","given":"Lucas","non-dropping-particle":"","parse-names":false,"suffix":""}],"container-title":"Veterinary Microbiology","id":"ITEM-1","issue":"1","issued":{"date-parts":[["2012"]]},"page":"38-43","title":"Evaluation of the sensitivity and specificity of bovine tuberculosis diagnostic tests in naturally infected cattle herds using a Bayesian approach","type":"article-journal","volume":"155"},"uris":["http://www.mendeley.com/documents/?uuid=b83192bd-8e2b-4797-8cac-5c46613a0e04"]}],"mendeley":{"formattedCitation":"(Álvarez et al., 2012)","plainTextFormattedCitation":"(Álvarez et al., 2012)","previouslyFormattedCitation":"(Álvarez et al., 2012)"},"properties":{"noteIndex":0},"schema":"https://github.com/citation-style-language/schema/raw/master/csl-citation.json"}</w:instrText>
      </w:r>
      <w:r w:rsidRPr="00581288">
        <w:fldChar w:fldCharType="separate"/>
      </w:r>
      <w:r w:rsidRPr="00581288">
        <w:rPr>
          <w:noProof/>
        </w:rPr>
        <w:t>(Álvarez et al., 2012)</w:t>
      </w:r>
      <w:r w:rsidRPr="00581288">
        <w:fldChar w:fldCharType="end"/>
      </w:r>
      <w:r w:rsidRPr="00581288">
        <w:t xml:space="preserve">. The development of a more specific </w:t>
      </w:r>
      <w:r w:rsidRPr="00581288">
        <w:rPr>
          <w:i/>
        </w:rPr>
        <w:t>in vitro</w:t>
      </w:r>
      <w:r w:rsidRPr="00581288">
        <w:t xml:space="preserve"> test would overcome some of these obstacles, particularly if blood-</w:t>
      </w:r>
      <w:r w:rsidRPr="00581288">
        <w:lastRenderedPageBreak/>
        <w:t xml:space="preserve">based, but it will have to be at least as specific as the skin test to be used widely </w:t>
      </w:r>
      <w:r w:rsidRPr="00581288">
        <w:fldChar w:fldCharType="begin" w:fldLock="1"/>
      </w:r>
      <w:r w:rsidR="00D6638E" w:rsidRPr="00581288">
        <w:instrText>ADDIN CSL_CITATION {"citationItems":[{"id":"ITEM-1","itemData":{"DOI":"doi:10.2903/j.efsa.2012.2975.","author":[{"dropping-particle":"","family":"EFSA","given":"","non-dropping-particle":"","parse-names":false,"suffix":""}],"container-title":"EFSA Journal","editor":[{"dropping-particle":"","family":"EFSA","given":"","non-dropping-particle":"","parse-names":false,"suffix":""}],"id":"ITEM-1","issue":"2975","issued":{"date-parts":[["2012"]]},"page":"63","publisher":"EFSA Journal","title":"Scientific Opinion on the use of a gamma interferon test for the diagnosis of bovine tuberculosis","type":"article-journal","volume":"10"},"uris":["http://www.mendeley.com/documents/?uuid=bfb92b14-cebe-4ce3-8688-6ee60b5b0e89"]}],"mendeley":{"formattedCitation":"(EFSA, 2012)","plainTextFormattedCitation":"(EFSA, 2012)","previouslyFormattedCitation":"(EFSA, 2012)"},"properties":{"noteIndex":0},"schema":"https://github.com/citation-style-language/schema/raw/master/csl-citation.json"}</w:instrText>
      </w:r>
      <w:r w:rsidRPr="00581288">
        <w:fldChar w:fldCharType="separate"/>
      </w:r>
      <w:r w:rsidR="00DC1312" w:rsidRPr="00581288">
        <w:rPr>
          <w:noProof/>
        </w:rPr>
        <w:t>(EFSA, 2012)</w:t>
      </w:r>
      <w:r w:rsidRPr="00581288">
        <w:fldChar w:fldCharType="end"/>
      </w:r>
      <w:r w:rsidRPr="00581288">
        <w:t>.</w:t>
      </w:r>
    </w:p>
    <w:p w14:paraId="7B163B28" w14:textId="5F9CC58B" w:rsidR="00B07CD5" w:rsidRPr="00581288" w:rsidRDefault="00AF27EB" w:rsidP="00B07CD5">
      <w:r w:rsidRPr="00581288">
        <w:t>Although</w:t>
      </w:r>
      <w:r w:rsidR="00B07CD5" w:rsidRPr="00581288">
        <w:t xml:space="preserve"> severe reinterpretation of SICCT test results enhances the detection of infected cattle </w:t>
      </w:r>
      <w:r w:rsidR="00B07CD5" w:rsidRPr="00581288">
        <w:fldChar w:fldCharType="begin" w:fldLock="1"/>
      </w:r>
      <w:r w:rsidR="00B07CD5" w:rsidRPr="00581288">
        <w:instrText>ADDIN CSL_CITATION {"citationItems":[{"id":"ITEM-1","itemData":{"DOI":"10.1371/journal.pone.0043217","author":[{"dropping-particle":"","family":"Karolemeas","given":"K.;","non-dropping-particle":"","parse-names":false,"suffix":""},{"dropping-particle":"","family":"la Rua-Domenech","given":"R.;","non-dropping-particle":"de","parse-names":false,"suffix":""},{"dropping-particle":"","family":"Cooper","given":"R.;","non-dropping-particle":"","parse-names":false,"suffix":""},{"dropping-particle":"","family":"Goodchild","given":"A. V.;","non-dropping-particle":"","parse-names":false,"suffix":""},{"dropping-particle":"","family":"Clifton-Hadley","given":"R. S.;","non-dropping-particle":"","parse-names":false,"suffix":""},{"dropping-particle":"","family":"Conlan","given":"A. J. K.;","non-dropping-particle":"","parse-names":false,"suffix":""},{"dropping-particle":"","family":"Mitchell","given":"A. P.;","non-dropping-particle":"","parse-names":false,"suffix":""},{"dropping-particle":"","family":"Hewinson","given":"R. G.;","non-dropping-particle":"","parse-names":false,"suffix":""},{"dropping-particle":"","family":"Donnelly","given":"C. A.;","non-dropping-particle":"","parse-names":false,"suffix":""},{"dropping-particle":"","family":"Wood","given":"J. L. N.;","non-dropping-particle":"","parse-names":false,"suffix":""},{"dropping-particle":"","family":"McKinley","given":"T. J.","non-dropping-particle":"","parse-names":false,"suffix":""}],"container-title":"PLoS ONE","id":"ITEM-1","issue":"8","issued":{"date-parts":[["2012"]]},"page":"e43217","title":"Estimation of the Relative Sensitivity of the Comparative Tuberculin Skin Test in Tuberculous Cattle Herds Subjected to Depopulation","type":"article-journal","volume":"7"},"uris":["http://www.mendeley.com/documents/?uuid=fcd11641-5562-4b42-b290-ca8007abda2d"]}],"mendeley":{"formattedCitation":"(Karolemeas et al., 2012)","plainTextFormattedCitation":"(Karolemeas et al., 2012)","previouslyFormattedCitation":"(Karolemeas et al., 2012)"},"properties":{"noteIndex":0},"schema":"https://github.com/citation-style-language/schema/raw/master/csl-citation.json"}</w:instrText>
      </w:r>
      <w:r w:rsidR="00B07CD5" w:rsidRPr="00581288">
        <w:fldChar w:fldCharType="separate"/>
      </w:r>
      <w:r w:rsidR="00B07CD5" w:rsidRPr="00581288">
        <w:rPr>
          <w:noProof/>
        </w:rPr>
        <w:t>(Karolemeas et al., 2012)</w:t>
      </w:r>
      <w:r w:rsidR="00B07CD5" w:rsidRPr="00581288">
        <w:fldChar w:fldCharType="end"/>
      </w:r>
      <w:r w:rsidRPr="00581288">
        <w:t>,</w:t>
      </w:r>
      <w:r w:rsidR="00B07CD5" w:rsidRPr="00581288">
        <w:t xml:space="preserve"> </w:t>
      </w:r>
      <w:r w:rsidRPr="00581288">
        <w:t>a</w:t>
      </w:r>
      <w:r w:rsidR="00B07CD5" w:rsidRPr="00581288">
        <w:t xml:space="preserve">n alternative would be to place all herds with IR-only tests </w:t>
      </w:r>
      <w:r w:rsidR="000150F2" w:rsidRPr="00581288">
        <w:t xml:space="preserve">identified as high-risk </w:t>
      </w:r>
      <w:r w:rsidR="00B07CD5" w:rsidRPr="00581288">
        <w:t xml:space="preserve">under </w:t>
      </w:r>
      <w:r w:rsidR="000150F2" w:rsidRPr="00581288">
        <w:t xml:space="preserve">whole-herd </w:t>
      </w:r>
      <w:r w:rsidR="00B07CD5" w:rsidRPr="00581288">
        <w:t>movement restrictions</w:t>
      </w:r>
      <w:r w:rsidR="00120751">
        <w:t>, without a chance of having the</w:t>
      </w:r>
      <w:r w:rsidR="00742664">
        <w:t>se</w:t>
      </w:r>
      <w:r w:rsidR="00120751">
        <w:t xml:space="preserve"> restrictions lifted if </w:t>
      </w:r>
      <w:r w:rsidR="00742664">
        <w:t xml:space="preserve">a </w:t>
      </w:r>
      <w:r w:rsidR="00120751">
        <w:t xml:space="preserve">clear recent bTB history </w:t>
      </w:r>
      <w:r w:rsidR="00120751">
        <w:fldChar w:fldCharType="begin" w:fldLock="1"/>
      </w:r>
      <w:r w:rsidR="009F4086">
        <w:instrText>ADDIN CSL_CITATION {"citationItems":[{"id":"ITEM-1","itemData":{"URL":"https://www.tbhub.co.uk/advice-during-a-tb-breakdown/actions-when-an-ir-is-found/","author":[{"dropping-particle":"","family":"TB Hub","given":"","non-dropping-particle":"","parse-names":false,"suffix":""}],"id":"ITEM-1","issued":{"date-parts":[["2021"]]},"title":"Actions when an inconclusive reactor is found","type":"webpage"},"uris":["http://www.mendeley.com/documents/?uuid=8a5ce65f-97e3-4ed7-b93f-02930b211298"]}],"mendeley":{"formattedCitation":"(TB Hub, 2021)","plainTextFormattedCitation":"(TB Hub, 2021)","previouslyFormattedCitation":"(TB Hub, 2021)"},"properties":{"noteIndex":0},"schema":"https://github.com/citation-style-language/schema/raw/master/csl-citation.json"}</w:instrText>
      </w:r>
      <w:r w:rsidR="00120751">
        <w:fldChar w:fldCharType="separate"/>
      </w:r>
      <w:r w:rsidR="004E3012" w:rsidRPr="004E3012">
        <w:rPr>
          <w:noProof/>
        </w:rPr>
        <w:t>(TB Hub, 2021)</w:t>
      </w:r>
      <w:r w:rsidR="00120751">
        <w:fldChar w:fldCharType="end"/>
      </w:r>
      <w:r w:rsidR="000150F2" w:rsidRPr="00581288">
        <w:t>,</w:t>
      </w:r>
      <w:r w:rsidR="00B07CD5" w:rsidRPr="00581288">
        <w:t xml:space="preserve"> pending the re-testing of</w:t>
      </w:r>
      <w:r w:rsidR="00742664">
        <w:t xml:space="preserve"> the still-restricted</w:t>
      </w:r>
      <w:r w:rsidR="00B07CD5" w:rsidRPr="00581288">
        <w:t xml:space="preserve"> IRs 60 days later. This measure would prevent transmission to other herds through cattle movements, but it would not prevent spread to other cattle on the farm -if the isolation of IRs was deficient - or to wildlife. </w:t>
      </w:r>
    </w:p>
    <w:p w14:paraId="1EE8680B" w14:textId="45184266" w:rsidR="00B07CD5" w:rsidRPr="00581288" w:rsidRDefault="00B07CD5" w:rsidP="00B07CD5">
      <w:r w:rsidRPr="00581288">
        <w:t xml:space="preserve">Another option would be to compulsorily slaughter all IRs as dangerous contacts </w:t>
      </w:r>
      <w:r w:rsidRPr="00581288">
        <w:fldChar w:fldCharType="begin" w:fldLock="1"/>
      </w:r>
      <w:r w:rsidR="00C93ECE" w:rsidRPr="00581288">
        <w:instrText>ADDIN CSL_CITATION {"citationItems":[{"id":"ITEM-1","itemData":{"author":[{"dropping-particle":"","family":"Godfray","given":"C.","non-dropping-particle":"","parse-names":false,"suffix":""},{"dropping-particle":"","family":"Donnelly","given":"C.","non-dropping-particle":"","parse-names":false,"suffix":""},{"dropping-particle":"","family":"Hewinson","given":"G.","non-dropping-particle":"","parse-names":false,"suffix":""},{"dropping-particle":"","family":"Winter","given":"M.","non-dropping-particle":"","parse-names":false,"suffix":""},{"dropping-particle":"","family":"Wood","given":"J.","non-dropping-particle":"","parse-names":false,"suffix":""}],"id":"ITEM-1","issue":"October","issued":{"date-parts":[["2018"]]},"note":"Literature review:\n\n- Governance: elaborate abstract from increased awareness to farmers' participation. Paragraph 10 plus ownership.\n- Surveillance and diagnostics: paragraph 16 for a better new test. Paragraph 13 for increased sensitivity in HRA and EDGE (for reinterpretation of IRs and rolling out EMPB measures. Paragraph 2..24 for removing direct contacts as a way to increase sensitivity and to switch to severe interpretation. Increasing testing frequency in different herds linked to a risk index in paragraph 3.32. PPV not useful due to variations with prevalence. Para 2.21\n- Severe interpretation, taking dangerous contacts, etc to increase sensitivity in breakdowns in paragraph 3.37. Using more sensitive test or combination of tests in infected herds to improve detection in HRA and EA (paragraph 3.29)\n- Faster redefinition of risk areas based on criteria agreeed in advance could greatly facilitate the adaptive management of the disease to support predictive risk model (and cluster analysis) (paragraph 3.27). \n- Also farm-level scores to use in risk based trading and to determine testing frequency, particularly in the LRA (paragraph 3.28). \n- There is broad industry support for risk-based trading but some concerns (para 5.13). \n- Poor uptake of voluntary schemes like CHeCKs and iBTB (para 5.27) but improving info on risk at the point of sale could help discouraging risky trading (para 5.28).\n- Develop, test and deploy innovative measures: paragraph 17.\n- Research: paragraph 41.\n- Vaccination for preventing diseases that cannot be eradicated in other ways: paragraph 4.2.\n- Genetic resistance: 4.14 onwards\n- Inconclusive reactors (slaughter) 3.38 but maybe too expensive.","title":"TB Strategy Review","type":"article"},"uris":["http://www.mendeley.com/documents/?uuid=f20e8248-dea7-4e59-800a-12faac033c62"]},{"id":"ITEM-2","itemData":{"DOI":"10.1016/j.prevetmed.2011.07.014","ISSN":"01675877","abstract":"In Ireland, new cases of bovine tuberculosis (bTB) are detected using both field and abattoir surveillance (More and Good, 2006). Field surveillance is conducted through annual testing of all cattle using the single intradermal comparative tuberculin test (SICTT). An animal may be deemed a 'standard inconclusive reactor' (SIR) to the SICTT if the bovine response is &gt;2. mm and between 1 and 4 mm &gt; the avian response. The herdowner then has three choices for the management of the SIR: option 1 is to have the animal retested after a minimum period of 42 days (an inconclusive reactor retest, IRR), option 2 is to slaughter the SIR and, provided the animal has no visible lesions, have a full herd test 42 days after the SIR leaves the herd, option 3 is to slaughter the SIR and have the lymph nodes examined using histology and/or culture for bTB. In the current study, we examine the bTB risk for SIRs both at slaughter prior to the IRR and at the IRR, and the future bTB risk of TIR animals (so-called 'transient SIRs'; SIR animals with a negative SICTT result at the subsequent IRR) that moved from the herd of disclosure within 6 months of the IRR. We also investigate factors associated with the future bTB status of SIRs at slaughter prior to the IRR and at the IRR. The study population included all SIRs identified in Ireland between 2005 and 2009 inclusive in a herd otherwise Officially TB free (OTF). Between 11.8% and 21.4% of SIRs slaughtered prior to the IRR were confirmed bTB positive at post mortem (using histology or culture if histology was not definitive), compared to 0.13-0.22% of SICTT -ve cohort animals. The post mortem bTB lesion rate of SIRs is lower than the lesion rate reported for reactor animals between 2005 and 2009 of between 34% and 39%, reflecting the doubtful infection status of these animals. Between 20.3% and 27.9% of herds were restricted at the IRR. The herd restriction rate amongst the national herd between 2005 and 2009 varied from 5.09% to 6.02%. TIRs that moved out of the disclosing herd within 6 months of the IRR were 12 times more likely to be bTB positive at the next test/slaughter compared to all animals in the national herd. The same increased risk did not apply to the SICTT -ve cohort animals that moved out of the same herds at the same time. Based on a range of measures, SIRs and TIRs are each at increased bTB risk into the future. Consequently, differential treatment of TIR animals would be justified. © 2011 Elsevier B.V.","author":[{"dropping-particle":"","family":"Clegg","given":"T. A.","non-dropping-particle":"","parse-names":false,"suffix":""},{"dropping-particle":"","family":"Good","given":"M.","non-dropping-particle":"","parse-names":false,"suffix":""},{"dropping-particle":"","family":"Duignan","given":"A.","non-dropping-particle":"","parse-names":false,"suffix":""},{"dropping-particle":"","family":"Doyle","given":"R.","non-dropping-particle":"","parse-names":false,"suffix":""},{"dropping-particle":"","family":"More","given":"S. J.","non-dropping-particle":"","parse-names":false,"suffix":""}],"container-title":"Preventive Veterinary Medicine","id":"ITEM-2","issued":{"date-parts":[["2011"]]},"note":"In recent years, there has been increasing recognition\nof the importance of local bTB persistence in Ireland, as reflected in the strong association between previous his- tory of bTB in cattle herds and the risk of future M. bovis infection (Griffin et al., 2005; Olea-Popelka et al., 2008), and spatial clustering of M. bovis infected cattle herds (Kelly and More, 2011).","page":"147-154","publisher":"Elsevier B.V.","title":"Longer-term risk of Mycobacterium bovis in Irish cattle following an inconclusive diagnosis to the single intradermal comparative tuberculin test","type":"article-journal","volume":"100"},"uris":["http://www.mendeley.com/documents/?uuid=a93433c6-b358-4968-aacd-6453b6ae32ae"]}],"mendeley":{"formattedCitation":"(Clegg et al., 2011b; Godfray et al., 2018)","plainTextFormattedCitation":"(Clegg et al., 2011b; Godfray et al., 2018)","previouslyFormattedCitation":"(Clegg et al., 2011b; Godfray et al., 2018)"},"properties":{"noteIndex":0},"schema":"https://github.com/citation-style-language/schema/raw/master/csl-citation.json"}</w:instrText>
      </w:r>
      <w:r w:rsidRPr="00581288">
        <w:fldChar w:fldCharType="separate"/>
      </w:r>
      <w:r w:rsidR="00C93ECE" w:rsidRPr="00581288">
        <w:rPr>
          <w:noProof/>
        </w:rPr>
        <w:t>(Clegg et al., 2011b; Godfray et al., 2018)</w:t>
      </w:r>
      <w:r w:rsidRPr="00581288">
        <w:fldChar w:fldCharType="end"/>
      </w:r>
      <w:r w:rsidRPr="00581288">
        <w:t xml:space="preserve">. This is done in </w:t>
      </w:r>
      <w:r w:rsidR="007728F6" w:rsidRPr="00581288">
        <w:t>Ireland</w:t>
      </w:r>
      <w:r w:rsidRPr="00581288">
        <w:t>, if the number of IRs d</w:t>
      </w:r>
      <w:r w:rsidR="006959F9" w:rsidRPr="00581288">
        <w:t>etected</w:t>
      </w:r>
      <w:r w:rsidRPr="00581288">
        <w:t xml:space="preserve"> is beyond a specified threshold (currently four) </w:t>
      </w:r>
      <w:r w:rsidRPr="00581288">
        <w:fldChar w:fldCharType="begin" w:fldLock="1"/>
      </w:r>
      <w:r w:rsidRPr="00581288">
        <w:instrText>ADDIN CSL_CITATION {"citationItems":[{"id":"ITEM-1","itemData":{"author":[{"dropping-particle":"","family":"Phelan","given":"Sylvester","non-dropping-particle":"","parse-names":false,"suffix":""}],"container-title":"Agriland","id":"ITEM-1","issued":{"date-parts":[["2020"]]},"title":"Department confirms TB rule change with clampdown on inconclusive animals","type":"article-magazine"},"uris":["http://www.mendeley.com/documents/?uuid=959e5d3c-2249-4110-abb1-7d6cb4bd5f39"]}],"mendeley":{"formattedCitation":"(Phelan, 2020)","plainTextFormattedCitation":"(Phelan, 2020)","previouslyFormattedCitation":"(Phelan, 2020)"},"properties":{"noteIndex":0},"schema":"https://github.com/citation-style-language/schema/raw/master/csl-citation.json"}</w:instrText>
      </w:r>
      <w:r w:rsidRPr="00581288">
        <w:fldChar w:fldCharType="separate"/>
      </w:r>
      <w:r w:rsidRPr="00581288">
        <w:rPr>
          <w:noProof/>
        </w:rPr>
        <w:t>(Phelan, 2020)</w:t>
      </w:r>
      <w:r w:rsidRPr="00581288">
        <w:fldChar w:fldCharType="end"/>
      </w:r>
      <w:r w:rsidRPr="00581288">
        <w:t xml:space="preserve">. However, the number of IRs </w:t>
      </w:r>
      <w:r w:rsidR="000150F2" w:rsidRPr="00581288">
        <w:t>detected in an IR-only test</w:t>
      </w:r>
      <w:r w:rsidRPr="00581288">
        <w:t xml:space="preserve"> could vary with the farm and other variables, like the animal’s immune response, as well as local cross-reactivity with other mycobacteria such as </w:t>
      </w:r>
      <w:r w:rsidRPr="00581288">
        <w:rPr>
          <w:i/>
        </w:rPr>
        <w:t>M. avium</w:t>
      </w:r>
      <w:r w:rsidRPr="00581288">
        <w:t xml:space="preserve"> subsp. paratuberculosis, the causative agent of </w:t>
      </w:r>
      <w:proofErr w:type="spellStart"/>
      <w:r w:rsidRPr="00581288">
        <w:t>Johne’s</w:t>
      </w:r>
      <w:proofErr w:type="spellEnd"/>
      <w:r w:rsidRPr="00581288">
        <w:t xml:space="preserve"> disease </w:t>
      </w:r>
      <w:r w:rsidRPr="00581288">
        <w:fldChar w:fldCharType="begin" w:fldLock="1"/>
      </w:r>
      <w:r w:rsidRPr="00581288">
        <w:instrText>ADDIN CSL_CITATION {"citationItems":[{"id":"ITEM-1","itemData":{"DOI":"10.1111/tbed.12814","ISSN":"18651682","PMID":"29363285","abstract":"Correctly identifying bovine tuberculosis (bTB) in cattle remains a significant problem in endemic countries. We hypothesized that animal characteristics (sex, age, breed), histories (herd effects, testing, movement) and potential exposure to other pathogens (co-infection; BVDV, liver fluke and Mycobacterium avium reactors) could significantly impact the immune responsiveness detected at skin testing and the variation in post-mortem pathology (confirmation) in bTB-exposed cattle. Three model suites were developed using a retrospective observational data set of 5,698 cattle culled during herd breakdowns in Northern Ireland. A linear regression model suggested that antemortem tuberculin reaction size (difference in purified protein derivative avium [PPDa] and bovine [PPDb] reactions) was significantly positively associated with post-mortem maximum lesion size and the number of lesions found. This indicated that reaction size could be considered a predictor of both the extent (number of lesions/tissues) and the pathological progression of infection (maximum lesion size). Tuberculin reaction size was related to age class, and younger animals (&lt;2.85 years) displayed larger reaction sizes than older animals. Tuberculin reaction size was also associated with breed and animal movement and increased with the time between the penultimate and disclosing tests. A negative binomial random-effects model indicated a significant increase in lesion counts for animals with M. avium reactions (PPDb−PPDa &lt; 0) relative to non-reactors (PPDb−PPDa = 0). Lesion counts were significantly increased in animals with previous positive severe interpretation skin-test results. Animals with increased movement histories, young animals and non-dairy breed animals also had significantly increased lesion counts. Animals from herds that had BVDV-positive cattle had significantly lower lesion counts than animals from herds without evidence of BVDV infection. Restricting the data set to only animals with a bTB visible lesion at slaughter (n = 2471), an ordinal regression model indicated that liver fluke-infected animals disclosed smaller lesions, relative to liver fluke-negative animals, and larger lesions were disclosed in animals with increased movement histories.","author":[{"dropping-particle":"","family":"Byrne","given":"A. W.","non-dropping-particle":"","parse-names":false,"suffix":""},{"dropping-particle":"","family":"Graham","given":"J.","non-dropping-particle":"","parse-names":false,"suffix":""},{"dropping-particle":"","family":"Brown","given":"C.","non-dropping-particle":"","parse-names":false,"suffix":""},{"dropping-particle":"","family":"Donaghy","given":"A.","non-dropping-particle":"","parse-names":false,"suffix":""},{"dropping-particle":"","family":"Guelbenzu-Gonzalo","given":"M.","non-dropping-particle":"","parse-names":false,"suffix":""},{"dropping-particle":"","family":"McNair","given":"J.","non-dropping-particle":"","parse-names":false,"suffix":""},{"dropping-particle":"","family":"Skuce","given":"R. A.","non-dropping-particle":"","parse-names":false,"suffix":""},{"dropping-particle":"","family":"Allen","given":"A.","non-dropping-particle":"","parse-names":false,"suffix":""},{"dropping-particle":"","family":"McDowell","given":"S. W.","non-dropping-particle":"","parse-names":false,"suffix":""}],"container-title":"Transboundary and Emerging Diseases","id":"ITEM-1","issue":"3","issued":{"date-parts":[["2018"]]},"page":"844-858","title":"Modelling the variation in skin-test tuberculin reactions, post-mortem lesion counts and case pathology in tuberculosis-exposed cattle: Effects of animal characteristics, histories and co-infection","type":"article-journal","volume":"65"},"uris":["http://www.mendeley.com/documents/?uuid=a50558d8-2b49-4613-bc97-57edcad7979a"]},{"id":"ITEM-2","itemData":{"DOI":"10.1016/j.rvsc.2005.11.005","ISBN":"0034-5288 (Print)\\r0034-5288 (Linking)","ISSN":"00345288","PMID":"16513150","abstract":"The early, preclinical stages of bovine TB can be detected in live animals by the use of tests of cellular immunity (the skin, γ-interferon and lymphocyte transformation tests). Tests of humoral (antibody) immunity, Mycobacterium bovis PCR probes on early tissue cultures or live cattle specimens, and tests based on \"electronic nose\" technology have been developed more recently. The key measure of diagnostic test accuracy is the relationship between sensitivity and specificity, which determines the false-positive and false-negative proportions. None of the tests currently available for the diagnosis of bovine TB allow a perfectly accurate determination of the M. bovis infection status of cattle. Although various factors can reduce the sensitivity and specificity of the skin tests, these remain the primary ante mortem diagnostic tools for TB in cattle, providing a cost-effective and reliable means of screening entire cattle populations. Despite the inescapable limitations of existing diagnostic tests, bovine TB has been effectively eradicated from many developed countries and regions with the implementation of sound programmes of regular tuberculin skin testing and removal of reactors, coupled with slaughterhouse surveillance for undetected infections, repeat testing and culling of infected herds, cattle movement restrictions to prevent introduction of infected animals and occasional slaughter of entire herds with intractable breakdowns. This is likely to remain the mainstay of bovine TB control programmes for the foreseeable future. Additionally, newer ancillary in vitro diagnostic assays are now available to TB control programme managers to supplement the skin tests in defined circumstances according to the specific disease situation in each country or region. The strategic deployment of ancillary in vitro tests alongside the primary skin tests has enhanced the detection of M. bovis-infected cattle and reduced the number of animals slaughtered as false positives. Crown Copyright © 2006.","author":[{"dropping-particle":"","family":"la Rua-Domenech","given":"R.","non-dropping-particle":"de","parse-names":false,"suffix":""},{"dropping-particle":"","family":"Goodchild","given":"A. T.","non-dropping-particle":"","parse-names":false,"suffix":""},{"dropping-particle":"","family":"Vordermeier","given":"H. M.","non-dropping-particle":"","parse-names":false,"suffix":""},{"dropping-particle":"","family":"Hewinson","given":"R. G.","non-dropping-particle":"","parse-names":false,"suffix":""},{"dropping-particle":"","family":"Christiansen","given":"K. H.","non-dropping-particle":"","parse-names":false,"suffix":""},{"dropping-particle":"","family":"Clifton-Hadley","given":"R. S.","non-dropping-particle":"","parse-names":false,"suffix":""}],"container-title":"Research in Veterinary Science","id":"ITEM-2","issue":"2","issued":{"date-parts":[["2006"]]},"page":"190-210","title":"Ante mortem diagnosis of tuberculosis in cattle: A review of the tuberculin tests, γ-interferon assay and other ancillary diagnostic techniques","type":"article-journal","volume":"81"},"uris":["http://www.mendeley.com/documents/?uuid=8cbbfa80-4aae-4845-9fcd-a29fd603f59a"]}],"mendeley":{"formattedCitation":"(Byrne et al., 2018; de la Rua-Domenech et al., 2006)","plainTextFormattedCitation":"(Byrne et al., 2018; de la Rua-Domenech et al., 2006)","previouslyFormattedCitation":"(Byrne et al., 2018; de la Rua-Domenech et al., 2006)"},"properties":{"noteIndex":0},"schema":"https://github.com/citation-style-language/schema/raw/master/csl-citation.json"}</w:instrText>
      </w:r>
      <w:r w:rsidRPr="00581288">
        <w:fldChar w:fldCharType="separate"/>
      </w:r>
      <w:r w:rsidRPr="00581288">
        <w:rPr>
          <w:noProof/>
        </w:rPr>
        <w:t>(Byrne et al., 2018; de la Rua-Domenech et al., 2006)</w:t>
      </w:r>
      <w:r w:rsidRPr="00581288">
        <w:fldChar w:fldCharType="end"/>
      </w:r>
      <w:r w:rsidRPr="00581288">
        <w:t xml:space="preserve">. This measure is therefore likely to attract criticism due to this and to the additional compensation costs </w:t>
      </w:r>
      <w:r w:rsidRPr="00581288">
        <w:fldChar w:fldCharType="begin" w:fldLock="1"/>
      </w:r>
      <w:r w:rsidRPr="00581288">
        <w:instrText>ADDIN CSL_CITATION {"citationItems":[{"id":"ITEM-1","itemData":{"author":[{"dropping-particle":"","family":"Godfray","given":"C.","non-dropping-particle":"","parse-names":false,"suffix":""},{"dropping-particle":"","family":"Donnelly","given":"C.","non-dropping-particle":"","parse-names":false,"suffix":""},{"dropping-particle":"","family":"Hewinson","given":"G.","non-dropping-particle":"","parse-names":false,"suffix":""},{"dropping-particle":"","family":"Winter","given":"M.","non-dropping-particle":"","parse-names":false,"suffix":""},{"dropping-particle":"","family":"Wood","given":"J.","non-dropping-particle":"","parse-names":false,"suffix":""}],"id":"ITEM-1","issue":"October","issued":{"date-parts":[["2018"]]},"note":"Literature review:\n\n- Governance: elaborate abstract from increased awareness to farmers' participation. Paragraph 10 plus ownership.\n- Surveillance and diagnostics: paragraph 16 for a better new test. Paragraph 13 for increased sensitivity in HRA and EDGE (for reinterpretation of IRs and rolling out EMPB measures. Paragraph 2..24 for removing direct contacts as a way to increase sensitivity and to switch to severe interpretation. Increasing testing frequency in different herds linked to a risk index in paragraph 3.32. PPV not useful due to variations with prevalence. Para 2.21\n- Severe interpretation, taking dangerous contacts, etc to increase sensitivity in breakdowns in paragraph 3.37. Using more sensitive test or combination of tests in infected herds to improve detection in HRA and EA (paragraph 3.29)\n- Faster redefinition of risk areas based on criteria agreeed in advance could greatly facilitate the adaptive management of the disease to support predictive risk model (and cluster analysis) (paragraph 3.27). \n- Also farm-level scores to use in risk based trading and to determine testing frequency, particularly in the LRA (paragraph 3.28). \n- There is broad industry support for risk-based trading but some concerns (para 5.13). \n- Poor uptake of voluntary schemes like CHeCKs and iBTB (para 5.27) but improving info on risk at the point of sale could help discouraging risky trading (para 5.28).\n- Develop, test and deploy innovative measures: paragraph 17.\n- Research: paragraph 41.\n- Vaccination for preventing diseases that cannot be eradicated in other ways: paragraph 4.2.\n- Genetic resistance: 4.14 onwards\n- Inconclusive reactors (slaughter) 3.38 but maybe too expensive.","title":"TB Strategy Review","type":"article"},"uris":["http://www.mendeley.com/documents/?uuid=f20e8248-dea7-4e59-800a-12faac033c62"]}],"mendeley":{"formattedCitation":"(Godfray et al., 2018)","plainTextFormattedCitation":"(Godfray et al., 2018)","previouslyFormattedCitation":"(Godfray et al., 2018)"},"properties":{"noteIndex":0},"schema":"https://github.com/citation-style-language/schema/raw/master/csl-citation.json"}</w:instrText>
      </w:r>
      <w:r w:rsidRPr="00581288">
        <w:fldChar w:fldCharType="separate"/>
      </w:r>
      <w:r w:rsidRPr="00581288">
        <w:rPr>
          <w:noProof/>
        </w:rPr>
        <w:t>(Godfray et al., 2018)</w:t>
      </w:r>
      <w:r w:rsidRPr="00581288">
        <w:fldChar w:fldCharType="end"/>
      </w:r>
      <w:r w:rsidRPr="00581288">
        <w:t xml:space="preserve">, since the majority of IRs </w:t>
      </w:r>
      <w:r w:rsidR="006959F9" w:rsidRPr="00581288">
        <w:t>r</w:t>
      </w:r>
      <w:r w:rsidRPr="00581288">
        <w:t>etest clear</w:t>
      </w:r>
      <w:r w:rsidR="002B0A50" w:rsidRPr="00581288">
        <w:t xml:space="preserve"> (Figure 2)</w:t>
      </w:r>
      <w:r w:rsidRPr="00581288">
        <w:t xml:space="preserve">. </w:t>
      </w:r>
    </w:p>
    <w:p w14:paraId="54EC20DF" w14:textId="5C749B2E" w:rsidR="00B07CD5" w:rsidRPr="00581288" w:rsidRDefault="00B07CD5" w:rsidP="00B07CD5">
      <w:r w:rsidRPr="00581288">
        <w:t xml:space="preserve">Finally, </w:t>
      </w:r>
      <w:r w:rsidR="000150F2" w:rsidRPr="00581288">
        <w:t>the</w:t>
      </w:r>
      <w:r w:rsidRPr="00581288">
        <w:t xml:space="preserve"> IFN-gamma test, </w:t>
      </w:r>
      <w:r w:rsidR="000150F2" w:rsidRPr="00581288">
        <w:t xml:space="preserve">an </w:t>
      </w:r>
      <w:r w:rsidRPr="00581288">
        <w:t xml:space="preserve">ancillary blood test, could be used in parallel to the skin test to increase the sensitivity from a median of 66-69% to 95.6% </w:t>
      </w:r>
      <w:r w:rsidRPr="00581288">
        <w:fldChar w:fldCharType="begin" w:fldLock="1"/>
      </w:r>
      <w:r w:rsidRPr="00581288">
        <w:instrText>ADDIN CSL_CITATION {"citationItems":[{"id":"ITEM-1","itemData":{"DOI":"10.1016/j.vetmic.2011.07.034","ISSN":"03781135","author":[{"dropping-particle":"","family":"Álvarez","given":"Julio","non-dropping-particle":"","parse-names":false,"suffix":""},{"dropping-particle":"","family":"Perez","given":"Andrés","non-dropping-particle":"","parse-names":false,"suffix":""},{"dropping-particle":"","family":"Bezos","given":"Javier","non-dropping-particle":"","parse-names":false,"suffix":""},{"dropping-particle":"","family":"Marqués","given":"Sergio","non-dropping-particle":"","parse-names":false,"suffix":""},{"dropping-particle":"","family":"Grau","given":"Anna","non-dropping-particle":"","parse-names":false,"suffix":""},{"dropping-particle":"","family":"Saez","given":"Jose Luis","non-dropping-particle":"","parse-names":false,"suffix":""},{"dropping-particle":"","family":"Mínguez","given":"Olga","non-dropping-particle":"","parse-names":false,"suffix":""},{"dropping-particle":"","family":"Juan","given":"Lucía","non-dropping-particle":"de","parse-names":false,"suffix":""},{"dropping-particle":"","family":"Domínguez","given":"Lucas","non-dropping-particle":"","parse-names":false,"suffix":""}],"container-title":"Veterinary Microbiology","id":"ITEM-1","issue":"1","issued":{"date-parts":[["2012"]]},"page":"38-43","title":"Evaluation of the sensitivity and specificity of bovine tuberculosis diagnostic tests in naturally infected cattle herds using a Bayesian approach","type":"article-journal","volume":"155"},"uris":["http://www.mendeley.com/documents/?uuid=b83192bd-8e2b-4797-8cac-5c46613a0e04"]}],"mendeley":{"formattedCitation":"(Álvarez et al., 2012)","plainTextFormattedCitation":"(Álvarez et al., 2012)","previouslyFormattedCitation":"(Álvarez et al., 2012)"},"properties":{"noteIndex":0},"schema":"https://github.com/citation-style-language/schema/raw/master/csl-citation.json"}</w:instrText>
      </w:r>
      <w:r w:rsidRPr="00581288">
        <w:fldChar w:fldCharType="separate"/>
      </w:r>
      <w:r w:rsidRPr="00581288">
        <w:rPr>
          <w:noProof/>
        </w:rPr>
        <w:t>(Álvarez et al., 2012)</w:t>
      </w:r>
      <w:r w:rsidRPr="00581288">
        <w:fldChar w:fldCharType="end"/>
      </w:r>
      <w:r w:rsidRPr="00581288">
        <w:t xml:space="preserve">, although the specificity of the IFN-gamma test was estimated as 85.7-90.3%, below the &gt; 99% of the </w:t>
      </w:r>
      <w:r w:rsidRPr="00581288">
        <w:lastRenderedPageBreak/>
        <w:t xml:space="preserve">skin test, in the same study. As a laboratory test, its interpretation can be better standardized, although host factors as well as sample quality can affect the results </w:t>
      </w:r>
      <w:r w:rsidRPr="00581288">
        <w:fldChar w:fldCharType="begin" w:fldLock="1"/>
      </w:r>
      <w:r w:rsidRPr="00581288">
        <w:instrText>ADDIN CSL_CITATION {"citationItems":[{"id":"ITEM-1","itemData":{"DOI":"10.1016/j.vetmic.2011.07.034","ISSN":"03781135","author":[{"dropping-particle":"","family":"Álvarez","given":"Julio","non-dropping-particle":"","parse-names":false,"suffix":""},{"dropping-particle":"","family":"Perez","given":"Andrés","non-dropping-particle":"","parse-names":false,"suffix":""},{"dropping-particle":"","family":"Bezos","given":"Javier","non-dropping-particle":"","parse-names":false,"suffix":""},{"dropping-particle":"","family":"Marqués","given":"Sergio","non-dropping-particle":"","parse-names":false,"suffix":""},{"dropping-particle":"","family":"Grau","given":"Anna","non-dropping-particle":"","parse-names":false,"suffix":""},{"dropping-particle":"","family":"Saez","given":"Jose Luis","non-dropping-particle":"","parse-names":false,"suffix":""},{"dropping-particle":"","family":"Mínguez","given":"Olga","non-dropping-particle":"","parse-names":false,"suffix":""},{"dropping-particle":"","family":"Juan","given":"Lucía","non-dropping-particle":"de","parse-names":false,"suffix":""},{"dropping-particle":"","family":"Domínguez","given":"Lucas","non-dropping-particle":"","parse-names":false,"suffix":""}],"container-title":"Veterinary Microbiology","id":"ITEM-1","issue":"1","issued":{"date-parts":[["2012"]]},"page":"38-43","title":"Evaluation of the sensitivity and specificity of bovine tuberculosis diagnostic tests in naturally infected cattle herds using a Bayesian approach","type":"article-journal","volume":"155"},"uris":["http://www.mendeley.com/documents/?uuid=b83192bd-8e2b-4797-8cac-5c46613a0e04"]}],"mendeley":{"formattedCitation":"(Álvarez et al., 2012)","plainTextFormattedCitation":"(Álvarez et al., 2012)","previouslyFormattedCitation":"(Álvarez et al., 2012)"},"properties":{"noteIndex":0},"schema":"https://github.com/citation-style-language/schema/raw/master/csl-citation.json"}</w:instrText>
      </w:r>
      <w:r w:rsidRPr="00581288">
        <w:fldChar w:fldCharType="separate"/>
      </w:r>
      <w:r w:rsidRPr="00581288">
        <w:rPr>
          <w:noProof/>
        </w:rPr>
        <w:t>(Álvarez et al., 2012)</w:t>
      </w:r>
      <w:r w:rsidRPr="00581288">
        <w:fldChar w:fldCharType="end"/>
      </w:r>
      <w:r w:rsidRPr="00581288">
        <w:t xml:space="preserve">. It is currently only prescribed in certain scenarios due to the increased probability of false positives </w:t>
      </w:r>
      <w:r w:rsidRPr="00581288">
        <w:fldChar w:fldCharType="begin" w:fldLock="1"/>
      </w:r>
      <w:r w:rsidR="0037603C">
        <w:instrText>ADDIN CSL_CITATION {"citationItems":[{"id":"ITEM-1","itemData":{"DOI":"10.1016/j.rvsc.2005.11.005","ISBN":"0034-5288 (Print)\\r0034-5288 (Linking)","ISSN":"00345288","PMID":"16513150","abstract":"The early, preclinical stages of bovine TB can be detected in live animals by the use of tests of cellular immunity (the skin, γ-interferon and lymphocyte transformation tests). Tests of humoral (antibody) immunity, Mycobacterium bovis PCR probes on early tissue cultures or live cattle specimens, and tests based on \"electronic nose\" technology have been developed more recently. The key measure of diagnostic test accuracy is the relationship between sensitivity and specificity, which determines the false-positive and false-negative proportions. None of the tests currently available for the diagnosis of bovine TB allow a perfectly accurate determination of the M. bovis infection status of cattle. Although various factors can reduce the sensitivity and specificity of the skin tests, these remain the primary ante mortem diagnostic tools for TB in cattle, providing a cost-effective and reliable means of screening entire cattle populations. Despite the inescapable limitations of existing diagnostic tests, bovine TB has been effectively eradicated from many developed countries and regions with the implementation of sound programmes of regular tuberculin skin testing and removal of reactors, coupled with slaughterhouse surveillance for undetected infections, repeat testing and culling of infected herds, cattle movement restrictions to prevent introduction of infected animals and occasional slaughter of entire herds with intractable breakdowns. This is likely to remain the mainstay of bovine TB control programmes for the foreseeable future. Additionally, newer ancillary in vitro diagnostic assays are now available to TB control programme managers to supplement the skin tests in defined circumstances according to the specific disease situation in each country or region. The strategic deployment of ancillary in vitro tests alongside the primary skin tests has enhanced the detection of M. bovis-infected cattle and reduced the number of animals slaughtered as false positives. Crown Copyright © 2006.","author":[{"dropping-particle":"","family":"la Rua-Domenech","given":"R.","non-dropping-particle":"de","parse-names":false,"suffix":""},{"dropping-particle":"","family":"Goodchild","given":"A. T.","non-dropping-particle":"","parse-names":false,"suffix":""},{"dropping-particle":"","family":"Vordermeier","given":"H. M.","non-dropping-particle":"","parse-names":false,"suffix":""},{"dropping-particle":"","family":"Hewinson","given":"R. G.","non-dropping-particle":"","parse-names":false,"suffix":""},{"dropping-particle":"","family":"Christiansen","given":"K. H.","non-dropping-particle":"","parse-names":false,"suffix":""},{"dropping-particle":"","family":"Clifton-Hadley","given":"R. S.","non-dropping-particle":"","parse-names":false,"suffix":""}],"container-title":"Research in Veterinary Science","id":"ITEM-1","issue":"2","issued":{"date-parts":[["2006"]]},"page":"190-210","title":"Ante mortem diagnosis of tuberculosis in cattle: A review of the tuberculin tests, γ-interferon assay and other ancillary diagnostic techniques","type":"article-journal","volume":"81"},"uris":["http://www.mendeley.com/documents/?uuid=8cbbfa80-4aae-4845-9fcd-a29fd603f59a"]},{"id":"ITEM-2","itemData":{"author":[{"dropping-particle":"","family":"Defra","given":"","non-dropping-particle":"","parse-names":false,"suffix":""}],"editor":[{"dropping-particle":"","family":"Defra","given":"","non-dropping-particle":"","parse-names":false,"suffix":""}],"id":"ITEM-2","issued":{"date-parts":[["2014"]]},"number-of-pages":"85","publisher":"Defra","title":"The strategy for achieving Officially Bovine Tuberculosis Free status for England","type":"report"},"uris":["http://www.mendeley.com/documents/?uuid=66bdc699-e8a0-477a-b18b-36932595695b"]},{"id":"ITEM-3","itemData":{"URL":"https://tbhub.co.uk/tb-policy/england/wider-use-interferon-gamma-blood-testing-high-risk-area-england/","author":[{"dropping-particle":"","family":"Defra","given":"","non-dropping-particle":"","parse-names":false,"suffix":""}],"container-title":"TB Hub","id":"ITEM-3","issued":{"date-parts":[["2019"]]},"title":"Wider use of interferon gamma blood testing in the High Risk Area of England","type":"webpage"},"uris":["http://www.mendeley.com/documents/?uuid=89cd904c-6526-4f48-b000-fa118729daad"]}],"mendeley":{"formattedCitation":"(de la Rua-Domenech et al., 2006; Defra, 2019, 2014)","plainTextFormattedCitation":"(de la Rua-Domenech et al., 2006; Defra, 2019, 2014)","previouslyFormattedCitation":"(de la Rua-Domenech et al., 2006; Defra, 2019, 2014)"},"properties":{"noteIndex":0},"schema":"https://github.com/citation-style-language/schema/raw/master/csl-citation.json"}</w:instrText>
      </w:r>
      <w:r w:rsidRPr="00581288">
        <w:fldChar w:fldCharType="separate"/>
      </w:r>
      <w:r w:rsidR="009F4086" w:rsidRPr="009F4086">
        <w:rPr>
          <w:noProof/>
        </w:rPr>
        <w:t>(de la Rua-Domenech et al., 2006; Defra, 2019, 2014)</w:t>
      </w:r>
      <w:r w:rsidRPr="00581288">
        <w:fldChar w:fldCharType="end"/>
      </w:r>
      <w:r w:rsidRPr="00581288">
        <w:t xml:space="preserve">. In fact, this could be higher than the probability of false positives through reinterpretation at severe level of the skin test: from 1 in 5 000 false positives with standard interpretation to 1 in 1 111 at severe </w:t>
      </w:r>
      <w:r w:rsidRPr="00581288">
        <w:fldChar w:fldCharType="begin" w:fldLock="1"/>
      </w:r>
      <w:r w:rsidR="00D6638E" w:rsidRPr="00581288">
        <w:instrText>ADDIN CSL_CITATION {"citationItems":[{"id":"ITEM-1","itemData":{"author":[{"dropping-particle":"","family":"APHA","given":"","non-dropping-particle":"","parse-names":false,"suffix":""}],"id":"ITEM-1","issue":"September","issued":{"date-parts":[["2020"]]},"title":"Bovine tuberculosis in Great Britain in 2019: Explanatory supplement to the annual reports","type":"report"},"uris":["http://www.mendeley.com/documents/?uuid=c92c7d4d-b7cb-428c-b893-fc057eda0e3a"]}],"mendeley":{"formattedCitation":"(APHA, 2020a)","plainTextFormattedCitation":"(APHA, 2020a)","previouslyFormattedCitation":"(APHA, 2020a)"},"properties":{"noteIndex":0},"schema":"https://github.com/citation-style-language/schema/raw/master/csl-citation.json"}</w:instrText>
      </w:r>
      <w:r w:rsidRPr="00581288">
        <w:fldChar w:fldCharType="separate"/>
      </w:r>
      <w:r w:rsidR="00DC1312" w:rsidRPr="00581288">
        <w:rPr>
          <w:noProof/>
        </w:rPr>
        <w:t>(APHA, 2020a)</w:t>
      </w:r>
      <w:r w:rsidRPr="00581288">
        <w:fldChar w:fldCharType="end"/>
      </w:r>
      <w:r w:rsidRPr="00581288">
        <w:t xml:space="preserve"> versus 3 in 100 false positive cattle with IFN-gamma </w:t>
      </w:r>
      <w:r w:rsidRPr="00581288">
        <w:fldChar w:fldCharType="begin" w:fldLock="1"/>
      </w:r>
      <w:r w:rsidRPr="00581288">
        <w:instrText>ADDIN CSL_CITATION {"citationItems":[{"id":"ITEM-1","itemData":{"author":[{"dropping-particle":"","family":"Defra","given":"","non-dropping-particle":"","parse-names":false,"suffix":""}],"container-title":"Defra","id":"ITEM-1","issue":"September","issued":{"date-parts":[["2009"]]},"note":"Confirmation rates for test-positive animals so inverse of sensitivity: proportion of test positive among all confirmed.\nArgument to no test under 6 month old cattle with IFN-gamma\nStatement on future of IFN-gamma positives: 7-9 times more likely to be a reactor to the skin test in the next two tests.\nStatement of specificity of near 97% so around 3 out of 100 non-infected cattle false positive reactors.\nPathogenesis study reference","number-of-pages":"45","title":"Gamma Interferon diagnostic blood test for bovine tuberculosis _A review of the GB gamma interferon testing policy for tuberculosis in cattle","type":"report"},"uris":["http://www.mendeley.com/documents/?uuid=3c07dfba-f7fa-4706-9b23-ed8ed15a630a"]}],"mendeley":{"formattedCitation":"(Defra, 2009)","plainTextFormattedCitation":"(Defra, 2009)","previouslyFormattedCitation":"(Defra, 2009)"},"properties":{"noteIndex":0},"schema":"https://github.com/citation-style-language/schema/raw/master/csl-citation.json"}</w:instrText>
      </w:r>
      <w:r w:rsidRPr="00581288">
        <w:fldChar w:fldCharType="separate"/>
      </w:r>
      <w:r w:rsidRPr="00581288">
        <w:rPr>
          <w:noProof/>
        </w:rPr>
        <w:t>(Defra, 2009)</w:t>
      </w:r>
      <w:r w:rsidRPr="00581288">
        <w:fldChar w:fldCharType="end"/>
      </w:r>
      <w:r w:rsidRPr="00581288">
        <w:t xml:space="preserve">. </w:t>
      </w:r>
    </w:p>
    <w:p w14:paraId="01B5F1AB" w14:textId="6BE3A035" w:rsidR="00B07CD5" w:rsidRPr="00581288" w:rsidRDefault="00B07CD5" w:rsidP="00B07CD5">
      <w:r w:rsidRPr="00581288">
        <w:t xml:space="preserve">Understanding the reasons why a test is eligible for additional disease control measures is important to harness operational and stakeholder support for implementing the measure, particularly if this leads to a potential increase in the number of reactor cattle slaughtered </w:t>
      </w:r>
      <w:r w:rsidR="000150F2" w:rsidRPr="00581288">
        <w:t xml:space="preserve">(true or false positives) </w:t>
      </w:r>
      <w:r w:rsidRPr="00581288">
        <w:t>and incidents detected. The tree output of the chosen model depicts a set of easy-to-interpret rules showing the combination of variables and cut-off points that explain why a test i</w:t>
      </w:r>
      <w:r w:rsidR="009F1147" w:rsidRPr="00581288">
        <w:t>s</w:t>
      </w:r>
      <w:r w:rsidRPr="00581288">
        <w:t xml:space="preserve"> declared high-risk, making it a very useful communication tool. </w:t>
      </w:r>
    </w:p>
    <w:p w14:paraId="3C04DAC1" w14:textId="62609EF4" w:rsidR="00B07CD5" w:rsidRPr="00581288" w:rsidRDefault="00B07CD5" w:rsidP="00B07CD5">
      <w:r w:rsidRPr="00581288">
        <w:t>The top two variables for importance in the models’ construction (</w:t>
      </w:r>
      <w:r w:rsidR="000C0D2C" w:rsidRPr="00581288">
        <w:t>Table S4_</w:t>
      </w:r>
      <w:r w:rsidR="005957D5" w:rsidRPr="00581288">
        <w:t>a</w:t>
      </w:r>
      <w:r w:rsidR="000C0D2C" w:rsidRPr="00581288">
        <w:t xml:space="preserve"> supplementary materials S4</w:t>
      </w:r>
      <w:r w:rsidRPr="00581288">
        <w:t xml:space="preserve">) and in the highest-risk pathway of the classification tree model (Figure 3), relate to bTB history - one of the most reported risk factors </w:t>
      </w:r>
      <w:r w:rsidRPr="00581288">
        <w:fldChar w:fldCharType="begin" w:fldLock="1"/>
      </w:r>
      <w:r w:rsidRPr="00581288">
        <w:instrText>ADDIN CSL_CITATION {"citationItems":[{"id":"ITEM-1","itemData":{"DOI":"10.1017/S095026881600131X","ISSN":"14694409","abstract":"Bovine tuberculosis (bTB) is an important disease of cattle caused by infection with Mycobacterium bovis , a pathogen that may be extremely difficult to eradicate in the presence of a true wildlife reservoir. Our objective was to identify and review relevant literature and provide a succinct summary of current knowledge of risk factors for transmission of infection of cattle. Search strings were developed to identify publications from electronic databases to February 2015. Abstracts of 4255 papers identified were reviewed by three reviewers to determine whether the entire article was likely to contain relevant information. Risk factors could be broadly grouped as follows: animal (including nutrition and genetics), herd (including bTB and testing history), environment, wildlife and social factors. Many risk factors are inter-related and study designs often do not enable differentiation between cause and consequence of infection. Despite differences in study design and location, some risk factors are consistently identified, e.g. herd size, bTB history, presence of infected wildlife, whereas the evidence for others is less consistent and coherent, e.g. nutrition, local cattle movements. We have identified knowledge gaps where further research may result in an improved understanding of bTB transmission dynamics. The application of targeted, multifactorial disease control regimens that address a range of risk factors simultaneously is likely to be a key to effective, evidence-informed control strategies.","author":[{"dropping-particle":"","family":"Broughan","given":"J. M.","non-dropping-particle":"","parse-names":false,"suffix":""},{"dropping-particle":"","family":"Judge","given":"J.","non-dropping-particle":"","parse-names":false,"suffix":""},{"dropping-particle":"","family":"Ely","given":"E.","non-dropping-particle":"","parse-names":false,"suffix":""},{"dropping-particle":"","family":"Delahay","given":"R. J.","non-dropping-particle":"","parse-names":false,"suffix":""},{"dropping-particle":"","family":"Wilson","given":"G.","non-dropping-particle":"","parse-names":false,"suffix":""},{"dropping-particle":"","family":"Clifton-Hadley","given":"R. S.","non-dropping-particle":"","parse-names":false,"suffix":""},{"dropping-particle":"V.","family":"Goodchild","given":"A.","non-dropping-particle":"","parse-names":false,"suffix":""},{"dropping-particle":"","family":"Bishop","given":"H.","non-dropping-particle":"","parse-names":false,"suffix":""},{"dropping-particle":"","family":"Parry","given":"J. E.","non-dropping-particle":"","parse-names":false,"suffix":""},{"dropping-particle":"","family":"Downs","given":"S. H.","non-dropping-particle":"","parse-names":false,"suffix":""}],"container-title":"Epidemiology and Infection","id":"ITEM-1","issued":{"date-parts":[["2016"]]},"page":"2899-2926","title":"A review of risk factors for bovine tuberculosis infection in cattle in the UK and Ireland","type":"article-journal","volume":"144"},"uris":["http://www.mendeley.com/documents/?uuid=2d745cdf-6ba3-4387-aa4d-42a447664fe0"]}],"mendeley":{"formattedCitation":"(Broughan et al., 2016)","plainTextFormattedCitation":"(Broughan et al., 2016)","previouslyFormattedCitation":"(Broughan et al., 2016)"},"properties":{"noteIndex":0},"schema":"https://github.com/citation-style-language/schema/raw/master/csl-citation.json"}</w:instrText>
      </w:r>
      <w:r w:rsidRPr="00581288">
        <w:fldChar w:fldCharType="separate"/>
      </w:r>
      <w:r w:rsidRPr="00581288">
        <w:rPr>
          <w:noProof/>
        </w:rPr>
        <w:t>(Broughan et al., 2016)</w:t>
      </w:r>
      <w:r w:rsidRPr="00581288">
        <w:fldChar w:fldCharType="end"/>
      </w:r>
      <w:r w:rsidRPr="00581288">
        <w:t xml:space="preserve"> -: an incident in the reporting year and a previous one within three years (i.e. </w:t>
      </w:r>
      <w:r w:rsidRPr="00581288">
        <w:rPr>
          <w:i/>
        </w:rPr>
        <w:t>Recurrent [yes/no]</w:t>
      </w:r>
      <w:r w:rsidRPr="00581288">
        <w:t xml:space="preserve">) and the </w:t>
      </w:r>
      <w:r w:rsidRPr="00581288">
        <w:rPr>
          <w:i/>
        </w:rPr>
        <w:t>Time since the last incident was resolved</w:t>
      </w:r>
      <w:r w:rsidRPr="00581288">
        <w:t xml:space="preserve"> </w:t>
      </w:r>
      <w:r w:rsidR="00A1788A">
        <w:t>[</w:t>
      </w:r>
      <w:r w:rsidRPr="00581288">
        <w:t>in years</w:t>
      </w:r>
      <w:r w:rsidR="00A1788A">
        <w:t>])</w:t>
      </w:r>
      <w:r w:rsidRPr="00581288">
        <w:t>. A version to the latter, restricted to confirmed incidents, has appeared as the top</w:t>
      </w:r>
      <w:r w:rsidR="009F1147" w:rsidRPr="00581288">
        <w:t xml:space="preserve"> predictive</w:t>
      </w:r>
      <w:r w:rsidRPr="00581288">
        <w:t xml:space="preserve"> variable in bTB incident models </w:t>
      </w:r>
      <w:r w:rsidRPr="00581288">
        <w:fldChar w:fldCharType="begin" w:fldLock="1"/>
      </w:r>
      <w:r w:rsidR="009F4086">
        <w:instrText>ADDIN CSL_CITATION {"citationItems":[{"id":"ITEM-1","itemData":{"DOI":"10.1016/j.prevetmed.2019.104860","ISSN":"01675877","abstract":"Identifying and understanding the risk factors for endemic bovine tuberculosis (TB) in cattle herds is critical for the control of this disease. Exploratory machine learning techniques can uncover complex non-linear relationships and interactions within disease causation webs, and enhance our knowledge of TB risk factors and how they are interrelated. Classification tree analysis was used to reveal associations between predictors of TB in England and each of the three surveillance risk areas (High Risk, Edge, and Low Risk) in 2016, identifying the highest risk herds. The main classifying predictor for farms in England overall related to the TB prevalence in the 100 nearest cattle herds. In the High Risk and Edge areas it was the number of slaughterhouse destinations and in the Low Risk area it was the number of cattle tested in surveillance tests. How long ago the last confirmed incident was resolved was the most frequent classifier in trees; if within two years, leading to the highest risk group of herds in the High Risk and Low Risk areas. At least two different slaughterhouse destinations led to the highest risk group of herds in England, whereas in the Edge area it was a combination of no contiguous low-risk neighbours (i.e. in a 1 km radius) and a minimum proportion of 6–23 month-old cattle in November. A threshold value of prevalence in 100 nearest neighbours increased the risk in all areas, although the value was specific to each area. Having low-risk contiguous neighbours reduced the risk in the Edge and High Risk areas, whereas high-risk ones increased the risk in England overall and in the Edge area specifically. The best classification tree models informed multivariable binomial logistic regression models in each area, adding statistical inference outputs. These two approaches showed similar predictive performance although there were some disparities regarding what constituted high-risk predictors. Decision tree machine learning approaches can identify risk factors from webs of causation: information which may then be used to inform decision making for disease control purposes.","author":[{"dropping-particle":"","family":"Romero","given":"M. Pilar","non-dropping-particle":"","parse-names":false,"suffix":""},{"dropping-particle":"","family":"Chang","given":"Yu Mei","non-dropping-particle":"","parse-names":false,"suffix":""},{"dropping-particle":"","family":"Brunton","given":"Lucy A.","non-dropping-particle":"","parse-names":false,"suffix":""},{"dropping-particle":"","family":"Parry","given":"Jessica","non-dropping-particle":"","parse-names":false,"suffix":""},{"dropping-particle":"","family":"Prosser","given":"Alison","non-dropping-particle":"","parse-names":false,"suffix":""},{"dropping-particle":"","family":"Upton","given":"Paul","non-dropping-particle":"","parse-names":false,"suffix":""},{"dropping-particle":"","family":"Rees","given":"Eleanor","non-dropping-particle":"","parse-names":false,"suffix":""},{"dropping-particle":"","family":"Tearne","given":"Oliver","non-dropping-particle":"","parse-names":false,"suffix":""},{"dropping-particle":"","family":"Arnold","given":"Mark","non-dropping-particle":"","parse-names":false,"suffix":""},{"dropping-particle":"","family":"Stevens","given":"Kim","non-dropping-particle":"","parse-names":false,"suffix":""},{"dropping-particle":"","family":"Drewe","given":"Julian A.","non-dropping-particle":"","parse-names":false,"suffix":""}],"container-title":"Preventive Veterinary Medicine","id":"ITEM-1","issue":"November 2019","issued":{"date-parts":[["2020"]]},"publisher":"Elsevier","title":"Decision tree machine learning applied to bovine tuberculosis risk factors to aid disease control decision making","type":"article-journal","volume":"175"},"uris":["http://www.mendeley.com/documents/?uuid=0986cdfc-0ac4-463f-a63d-30afb4d13841"]},{"id":"ITEM-2","itemData":{"DOI":"10.1016/j.prevetmed.2021.105264","ISSN":"01675877","abstract":"Nearly a decade into Defra's current eradication strategy, bovine tuberculosis (bTB) remains a serious animal health problem in England, with c.30,000 cattle slaughtered annually in the fight against this insidious disease. There is an urgent need to improve our understanding of bTB risk in order to enhance the current disease control policy. Machine learning approaches applied to big datasets offer a potential way to do this. Regularized regression and random forest machine learning methodologies were implemented using 2016 herd-level data to generate the best possible predictive models for a bTB incident in England and its three surveillance risk areas (High-risk area [HRA], Edge area [EA] and Low-risk area [LRA]). Their predictive performance was compared and the best models in each area were used to characterize herds according to risk. While all models provided excellent discrimination, random forest models achieved the highest balanced accuracy (i.e. average of sensitivity and specificity) in England, HRA and LRA, whereas the regularized regression LASSO model did so in the EA. The time since the last confirmed incident was resolved was the only variable in the top-ten ranking in all areas according to both types of models, which highlights the importance of bTB history as a predictor of a new incident. Risk categorisation based on Receiver Operating Characteristic (ROC) analysis was carried out using the best predictive models in each area setting a 99 % threshold value for sensitivity and specificity (97 % in the LRA). Thirteen percent of herds in the whole of England as well as in its HRA, 14 % in its EA and 31 % in its LRA were classified as high-risk. These could be selected for the deployment of additional disease control measures at national or area level. In this way, low-risk herds within the area considered would not be penalised unnecessarily by blanket control measures and limited resources be used more efficiently. The methodology presented in this paper demonstrates a way to accurately identify high-risk farms to inform a targeted disease control and prevention strategy in England that supplements existing population strategies.","author":[{"dropping-particle":"","family":"Romero","given":"M. Pilar","non-dropping-particle":"","parse-names":false,"suffix":""},{"dropping-particle":"","family":"Chang","given":"Yu Mei","non-dropping-particle":"","parse-names":false,"suffix":""},{"dropping-particle":"","family":"Brunton","given":"Lucy A.","non-dropping-particle":"","parse-names":false,"suffix":""},{"dropping-particle":"","family":"Parry","given":"Jessica","non-dropping-particle":"","parse-names":false,"suffix":""},{"dropping-particle":"","family":"Prosser","given":"Alison","non-dropping-particle":"","parse-names":false,"suffix":""},{"dropping-particle":"","family":"Upton","given":"Paul","non-dropping-particle":"","parse-names":false,"suffix":""},{"dropping-particle":"","family":"Rees","given":"Eleanor","non-dropping-particle":"","parse-names":false,"suffix":""},{"dropping-particle":"","family":"Tearne","given":"Oliver","non-dropping-particle":"","parse-names":false,"suffix":""},{"dropping-particle":"","family":"Arnold","given":"Mark","non-dropping-particle":"","parse-names":false,"suffix":""},{"dropping-particle":"","family":"Stevens","given":"Kim","non-dropping-particle":"","parse-names":false,"suffix":""},{"dropping-particle":"","family":"Drewe","given":"Julian A.","non-dropping-particle":"","parse-names":false,"suffix":""}],"container-title":"Preventive Veterinary Medicine","id":"ITEM-2","issue":"July 2020","issued":{"date-parts":[["2021"]]},"page":"105264","publisher":"Elsevier B.V.","title":"A comparison of the value of two machine learning predictive models to support bovine tuberculosis disease control in England","type":"article-journal","volume":"188"},"uris":["http://www.mendeley.com/documents/?uuid=76f043c9-dfab-4f80-b311-f4322fd3ecb8"]},{"id":"ITEM-3","itemData":{"DOI":"10.1016/j.prevetmed.2015.11.020","ISSN":"01675877","abstract":"Identifying and ranking cattle herds with a higher risk of being or becoming infected on known risk factors can help target farm biosecurity, surveillance schemes and reduce spread through animal trading. This paper describes a quantitative approach to develop risk scores, based on the probability of infection in a herd with bovine tuberculosis (bTB), to be used in a risk-based trading (RBT) scheme in England and Wales. To produce a practical scoring system the risk factors included need to be simple and quick to understand, sufficiently informative and derived from centralised national databases to enable verification and assess compliance. A logistic regression identified herd history of bTB, local bTB prevalence, herd size and movements of animals onto farms in batches from high risk areas as being significantly associated with the probability of bTB infection on farm. Risk factors were assigned points using the estimated odds ratios to weight them. The farm risk score was defined as the sum of these individual points yielding a range from 1 to 5 and was calculated for each cattle farm that was trading animals in England and Wales at the start of a year. Within 12 months, of those farms tested, 30.3% of score 5 farms had a breakdown (sensitivity). Of farms scoring 1-4 only 5.4% incurred a breakdown (1-specificity). The use of this risk scoring system within RBT has the potential to reduce infected cattle movements; however, there are cost implications in ensuring that the information underpinning any system is accurate and up to date.","author":[{"dropping-particle":"","family":"Adkin","given":"A.","non-dropping-particle":"","parse-names":false,"suffix":""},{"dropping-particle":"","family":"Brouwer","given":"A.","non-dropping-particle":"","parse-names":false,"suffix":""},{"dropping-particle":"","family":"Simons","given":"R. R.L.","non-dropping-particle":"","parse-names":false,"suffix":""},{"dropping-particle":"","family":"Smith","given":"R. P.","non-dropping-particle":"","parse-names":false,"suffix":""},{"dropping-particle":"","family":"Arnold","given":"M. E.","non-dropping-particle":"","parse-names":false,"suffix":""},{"dropping-particle":"","family":"Broughan","given":"J.","non-dropping-particle":"","parse-names":false,"suffix":""},{"dropping-particle":"","family":"Kosmider","given":"R.","non-dropping-particle":"","parse-names":false,"suffix":""},{"dropping-particle":"","family":"Downs","given":"S. H.","non-dropping-particle":"","parse-names":false,"suffix":""}],"container-title":"Preventive Veterinary Medicine","id":"ITEM-3","issued":{"date-parts":[["2016"]]},"page":"32-38","publisher":"Elsevier B.V.","title":"Development of risk-based trading farm scoring system to assist with the control of bovine tuberculosis in cattle in England and Wales","type":"article-journal","volume":"123"},"uris":["http://www.mendeley.com/documents/?uuid=cfa5a456-d81d-4f78-8404-9967954ab95e"]}],"mendeley":{"formattedCitation":"(Adkin et al., 2016; Romero et al., 2021, 2020)","manualFormatting":"(Romero et al., 2021, 2020)","plainTextFormattedCitation":"(Adkin et al., 2016; Romero et al., 2021, 2020)","previouslyFormattedCitation":"(Adkin et al., 2016; Romero et al., 2021, 2020)"},"properties":{"noteIndex":0},"schema":"https://github.com/citation-style-language/schema/raw/master/csl-citation.json"}</w:instrText>
      </w:r>
      <w:r w:rsidRPr="00581288">
        <w:fldChar w:fldCharType="separate"/>
      </w:r>
      <w:r w:rsidRPr="00581288">
        <w:rPr>
          <w:noProof/>
        </w:rPr>
        <w:t>(Romero et al., 2021, 2020)</w:t>
      </w:r>
      <w:r w:rsidRPr="00581288">
        <w:fldChar w:fldCharType="end"/>
      </w:r>
      <w:r w:rsidRPr="00581288">
        <w:t>.</w:t>
      </w:r>
    </w:p>
    <w:p w14:paraId="2148E959" w14:textId="48FD922F" w:rsidR="00B07CD5" w:rsidRPr="00581288" w:rsidRDefault="009F1147" w:rsidP="00B07CD5">
      <w:r w:rsidRPr="00581288">
        <w:lastRenderedPageBreak/>
        <w:t xml:space="preserve">In terms of the predictive performance of the model, it could be biased by the </w:t>
      </w:r>
      <w:r w:rsidR="00B07CD5" w:rsidRPr="00581288">
        <w:t>levels</w:t>
      </w:r>
      <w:r w:rsidRPr="00581288">
        <w:t xml:space="preserve"> of the outcome variable not being</w:t>
      </w:r>
      <w:r w:rsidR="00B07CD5" w:rsidRPr="00581288">
        <w:t xml:space="preserve"> evenly </w:t>
      </w:r>
      <w:r w:rsidR="006920E6" w:rsidRPr="00581288">
        <w:t>distributed (</w:t>
      </w:r>
      <w:r w:rsidR="00B07CD5" w:rsidRPr="00581288">
        <w:t>21% of IR-only surveillance tests had an incident at retest</w:t>
      </w:r>
      <w:r w:rsidR="006920E6" w:rsidRPr="00581288">
        <w:t>),  s</w:t>
      </w:r>
      <w:r w:rsidR="00B07CD5" w:rsidRPr="00581288">
        <w:t xml:space="preserve">o even when the model was optimised for sensitivity, its specificity was higher since the majority class of the outcome variable (i.e. the “No” class) was better predicted </w:t>
      </w:r>
      <w:r w:rsidR="00B07CD5" w:rsidRPr="00581288">
        <w:fldChar w:fldCharType="begin" w:fldLock="1"/>
      </w:r>
      <w:r w:rsidR="00B07CD5" w:rsidRPr="00581288">
        <w:instrText>ADDIN CSL_CITATION {"citationItems":[{"id":"ITEM-1","itemData":{"author":[{"dropping-particle":"","family":"Chawla","given":"N","non-dropping-particle":"","parse-names":false,"suffix":""},{"dropping-particle":"","family":"Bowyer","given":"K","non-dropping-particle":"","parse-names":false,"suffix":""},{"dropping-particle":"","family":"Hall","given":"L","non-dropping-particle":"","parse-names":false,"suffix":""},{"dropping-particle":"","family":"Kegelmeyer","given":"W","non-dropping-particle":"","parse-names":false,"suffix":""}],"container-title":"Journal of Artificial Intelligence Research","id":"ITEM-1","issued":{"date-parts":[["2002"]]},"page":"321-357","title":"SMOTE: synthetic minority over-sampling technique","type":"article-journal","volume":"16"},"uris":["http://www.mendeley.com/documents/?uuid=bd45c856-a989-48ac-bfd4-d9d3cdb7e3e2"]},{"id":"ITEM-2","itemData":{"DOI":"10.1007/978-3-642-13022-9_54","author":[{"dropping-particle":"","family":"García","given":"V.","non-dropping-particle":"","parse-names":false,"suffix":""},{"dropping-particle":"","family":"Sánchez","given":"J.S.","non-dropping-particle":"","parse-names":false,"suffix":""},{"dropping-particle":"","family":"Mollineda","given":"R.A.","non-dropping-particle":"","parse-names":false,"suffix":""}],"container-title":"Trends in Applied Intelligent Systems - 23rd International Conference on Industrial Engineering and Other Applications of Applied Intelligent Systems.","id":"ITEM-2","issued":{"date-parts":[["2010"]]},"publisher":"Springer","title":"Exploring the Performance of Resampling Strategies for the Class Imbalance Problem","type":"paper-conference"},"uris":["http://www.mendeley.com/documents/?uuid=d25965ae-d831-4923-be2f-0ca75a9e4a20"]},{"id":"ITEM-3","itemData":{"DOI":"10.7763/IJMLC.2013.V3.307","author":[{"dropping-particle":"","family":"Mostafizur Rahman","given":"M","non-dropping-particle":"","parse-names":false,"suffix":""},{"dropping-particle":"","family":"Davies","given":"D N","non-dropping-particle":"","parse-names":false,"suffix":""}],"container-title":"International Journal of Machine Learning and Computing","id":"ITEM-3","issue":"2","issued":{"date-parts":[["2013"]]},"page":"224-228","title":"Addressing the class imbalance problem in medical datasets","type":"article-journal","volume":"3"},"uris":["http://www.mendeley.com/documents/?uuid=b2717f6d-d441-42e0-87a1-0aa2c61bad92"]}],"mendeley":{"formattedCitation":"(Chawla et al., 2002; García et al., 2010; Mostafizur Rahman and Davies, 2013)","plainTextFormattedCitation":"(Chawla et al., 2002; García et al., 2010; Mostafizur Rahman and Davies, 2013)","previouslyFormattedCitation":"(Chawla et al., 2002; García et al., 2010; Mostafizur Rahman and Davies, 2013)"},"properties":{"noteIndex":0},"schema":"https://github.com/citation-style-language/schema/raw/master/csl-citation.json"}</w:instrText>
      </w:r>
      <w:r w:rsidR="00B07CD5" w:rsidRPr="00581288">
        <w:fldChar w:fldCharType="separate"/>
      </w:r>
      <w:r w:rsidR="00B07CD5" w:rsidRPr="00581288">
        <w:rPr>
          <w:noProof/>
        </w:rPr>
        <w:t>(Chawla et al., 2002; García et al., 2010; Mostafizur Rahman and Davies, 2013)</w:t>
      </w:r>
      <w:r w:rsidR="00B07CD5" w:rsidRPr="00581288">
        <w:fldChar w:fldCharType="end"/>
      </w:r>
      <w:r w:rsidR="00DF33CB">
        <w:t>, although the AUC of the down-sampled model was the same</w:t>
      </w:r>
      <w:r w:rsidR="00B07CD5" w:rsidRPr="00581288">
        <w:t xml:space="preserve">. </w:t>
      </w:r>
      <w:r w:rsidR="007728F6" w:rsidRPr="00581288">
        <w:t xml:space="preserve">The use of models that incorporate </w:t>
      </w:r>
      <w:r w:rsidR="007673FE">
        <w:t>cross-validation</w:t>
      </w:r>
      <w:r w:rsidR="007728F6" w:rsidRPr="00581288">
        <w:t xml:space="preserve"> mitigates against this</w:t>
      </w:r>
      <w:r w:rsidR="00DF33CB">
        <w:t xml:space="preserve"> and</w:t>
      </w:r>
      <w:r w:rsidR="007728F6" w:rsidRPr="00581288">
        <w:t xml:space="preserve"> a</w:t>
      </w:r>
      <w:r w:rsidR="00B07CD5" w:rsidRPr="00581288">
        <w:t xml:space="preserve"> higher specificity can be adequate in this setting, thanks to the default mitigating measures already in place for all IRs. </w:t>
      </w:r>
      <w:r w:rsidR="007728F6" w:rsidRPr="00581288">
        <w:t>Still</w:t>
      </w:r>
      <w:r w:rsidR="00B07CD5" w:rsidRPr="00581288">
        <w:t xml:space="preserve">, the application of this model is restricted to IRs </w:t>
      </w:r>
      <w:r w:rsidR="006959F9" w:rsidRPr="00581288">
        <w:t xml:space="preserve">detected </w:t>
      </w:r>
      <w:r w:rsidR="00B07CD5" w:rsidRPr="00581288">
        <w:t xml:space="preserve">in surveillance tests (in absence of reactors) and not </w:t>
      </w:r>
      <w:r w:rsidR="006959F9" w:rsidRPr="00581288">
        <w:t>in</w:t>
      </w:r>
      <w:r w:rsidR="00B07CD5" w:rsidRPr="00581288">
        <w:t xml:space="preserve"> other scenarios, such as bTB incidents.</w:t>
      </w:r>
    </w:p>
    <w:p w14:paraId="052CAD8A" w14:textId="47FEE4A8" w:rsidR="00B07CD5" w:rsidRPr="00581288" w:rsidRDefault="00B07CD5" w:rsidP="00B07CD5">
      <w:r w:rsidRPr="00581288">
        <w:t xml:space="preserve">Classification tree models have been used as a guide to patient management </w:t>
      </w:r>
      <w:r w:rsidRPr="00581288">
        <w:fldChar w:fldCharType="begin" w:fldLock="1"/>
      </w:r>
      <w:r w:rsidRPr="00581288">
        <w:instrText>ADDIN CSL_CITATION {"citationItems":[{"id":"ITEM-1","itemData":{"DOI":"10.1093/fampra/cms020","ISSN":"02632136","abstract":"BACKGROUND: Individual signs and symptoms are of limited value for the diagnosis of influenza. OBJECTIVE: To develop a decision tree for the diagnosis of influenza based on a classification and regression tree (CART) analysis. METHODS: Data from two previous similar cohort studies were assembled into a single dataset. The data were randomly divided into a development set (70%) and a validation set (30%). We used CART analysis to develop three models that maximize the number of patients who do not require diagnostic testing prior to treatment decisions. The validation set was used to evaluate overfitting of the model to the training set. RESULTS: Model 1 has seven terminal nodes based on temperature, the onset of symptoms and the presence of chills, cough and myalgia. Model 2 was a simpler tree with only two splits based on temperature and the presence of chills. Model 3 was developed with temperature as a dichotomous variable (&gt;/=38 degrees C) and had only two splits based on the presence of fever and myalgia. The area under the receiver operating characteristic curves (AUROCC) for the development and validation sets, respectively, were 0.82 and 0.80 for Model 1, 0.75 and 0.76 for Model 2 and 0.76 and 0.77 for Model 3. Model 2 classified 67% of patients in the validation group into a high- or low-risk group compared with only 38% for Model 1 and 54% for Model 3. CONCLUSIONS: A simple decision tree (Model 2) classified two-thirds of patients as low or high risk and had an AUROCC of 0.76. After further validation in an independent population, this CART model could support clinical decision making regarding influenza, with low-risk patients requiring no further evaluation for influenza and high-risk patients being candidates for empiric symptomatic or drug therapy.","author":[{"dropping-particle":"","family":"Afonso","given":"Anna M.","non-dropping-particle":"","parse-names":false,"suffix":""},{"dropping-particle":"","family":"Ebell","given":"Mark H.","non-dropping-particle":"","parse-names":false,"suffix":""},{"dropping-particle":"","family":"Gonzales","given":"Ralph","non-dropping-particle":"","parse-names":false,"suffix":""},{"dropping-particle":"","family":"Stein","given":"John","non-dropping-particle":"","parse-names":false,"suffix":""},{"dropping-particle":"","family":"Genton","given":"Blaise","non-dropping-particle":"","parse-names":false,"suffix":""},{"dropping-particle":"","family":"Senn","given":"Nicolas","non-dropping-particle":"","parse-names":false,"suffix":""}],"container-title":"Family Practice","id":"ITEM-1","issue":"6","issued":{"date-parts":[["2012"]]},"page":"671-677","title":"The use of classification and regression trees to predict the likelihood of seasonal influenza","type":"article-journal","volume":"29"},"uris":["http://www.mendeley.com/documents/?uuid=a5eb85d2-adc1-4e31-8fc1-29311340104a"]},{"id":"ITEM-2","itemData":{"DOI":"http://dx.doi.org/10.1016/j.jcrc.2017.02.019","author":[{"dropping-particle":"","family":"Fei","given":"Yang","non-dropping-particle":"","parse-names":false,"suffix":""},{"dropping-particle":"","family":"Gao","given":"Kun","non-dropping-particle":"","parse-names":false,"suffix":""},{"dropping-particle":"","family":"Hu","given":"Jian","non-dropping-particle":"","parse-names":false,"suffix":""},{"dropping-particle":"","family":"Tu","given":"Jianfeng","non-dropping-particle":"","parse-names":false,"suffix":""},{"dropping-particle":"","family":"Li","given":"Wei-qin","non-dropping-particle":"","parse-names":false,"suffix":""},{"dropping-particle":"","family":"Wang","given":"Wei","non-dropping-particle":"","parse-names":false,"suffix":""},{"dropping-particle":"","family":"Zong","given":"Guang-quan","non-dropping-particle":"","parse-names":false,"suffix":""}],"container-title":"Journal of Critical Care","id":"ITEM-2","issued":{"date-parts":[["2017"]]},"note":"0883-9441","page":"124-130","title":"Predicting the incidence of portosplenomesenteric vein thrombosis in patients with acute pancreatitis using classification and regression tree algorithm","type":"article-journal","volume":"39"},"uris":["http://www.mendeley.com/documents/?uuid=7ee83d42-c53c-4936-9ae5-cdb66b4bbdda"]},{"id":"ITEM-3","itemData":{"author":[{"dropping-particle":"","family":"Cheng","given":"Zhi","non-dropping-particle":"","parse-names":false,"suffix":""},{"dropping-particle":"","family":"Nakatsugawa","given":"Minoru","non-dropping-particle":"","parse-names":false,"suffix":""},{"dropping-particle":"","family":"Hu","given":"Chen","non-dropping-particle":"","parse-names":false,"suffix":""},{"dropping-particle":"","family":"Robertson","given":"Scott P","non-dropping-particle":"","parse-names":false,"suffix":""},{"dropping-particle":"","family":"Hui","given":"Xuan","non-dropping-particle":"","parse-names":false,"suffix":""},{"dropping-particle":"","family":"Moore","given":"Joseph A","non-dropping-particle":"","parse-names":false,"suffix":""},{"dropping-particle":"","family":"Bowers","given":"Michael R","non-dropping-particle":"","parse-names":false,"suffix":""},{"dropping-particle":"","family":"Kiess","given":"Ana P","non-dropping-particle":"","parse-names":false,"suffix":""},{"dropping-particle":"","family":"Page","given":"Brandi R","non-dropping-particle":"","parse-names":false,"suffix":""},{"dropping-particle":"","family":"Burns","given":"Laura","non-dropping-particle":"","parse-names":false,"suffix":""},{"dropping-particle":"","family":"Muse","given":"Mariah","non-dropping-particle":"","parse-names":false,"suffix":""},{"dropping-particle":"","family":"Choflet","given":"Amanda","non-dropping-particle":"","parse-names":false,"suffix":""},{"dropping-particle":"","family":"Sakaue","given":"Kousuke","non-dropping-particle":"","parse-names":false,"suffix":""},{"dropping-particle":"","family":"Sugiyama","given":"Shinya","non-dropping-particle":"","parse-names":false,"suffix":""},{"dropping-particle":"","family":"Utsunomiya","given":"Kazuki","non-dropping-particle":"","parse-names":false,"suffix":""},{"dropping-particle":"","family":"Wong","given":"John W","non-dropping-particle":"","parse-names":false,"suffix":""},{"dropping-particle":"","family":"McNutt","given":"Todd R","non-dropping-particle":"","parse-names":false,"suffix":""},{"dropping-particle":"","family":"Quon","given":"Harry","non-dropping-particle":"","parse-names":false,"suffix":""}],"id":"ITEM-3","issue":"3","issued":{"date-parts":[["2018"]]},"note":"2452-1094","page":"346-355","title":"Evaluation of classification and regression tree (CART) model in weight loss prediction following head and neck cancer radiation therapy","type":"article-journal","volume":"3"},"uris":["http://www.mendeley.com/documents/?uuid=e2c6f302-4f24-4e35-b3ae-7d8a9d69d4bf"]},{"id":"ITEM-4","itemData":{"DOI":"http://dx.doi.org/10.1016/j.fob.2012.04.007","author":[{"dropping-particle":"","family":"Kawamura","given":"Yoshihiro","non-dropping-particle":"","parse-names":false,"suffix":""},{"dropping-particle":"","family":"Takasaki","given":"Shigeru","non-dropping-particle":"","parse-names":false,"suffix":""},{"dropping-particle":"","family":"Mizokami","given":"Masashi","non-dropping-particle":"","parse-names":false,"suffix":""}],"container-title":"FEBS Open Bio","id":"ITEM-4","issued":{"date-parts":[["2012"]]},"note":"2211-5463","page":"98-102","title":"Using decision tree learning to predict the responsiveness of hepatitis C patients to drug treatment","type":"article-journal","volume":"2"},"uris":["http://www.mendeley.com/documents/?uuid=820dce86-c6e6-405c-8fcd-ba3bfc292076"]},{"id":"ITEM-5","itemData":{"DOI":"doi:10.1016/j.artmed.2008.11.002","author":[{"dropping-particle":"","family":"Scheetz","given":"Linda J","non-dropping-particle":"","parse-names":false,"suffix":""},{"dropping-particle":"","family":"Zhang","given":"Juan","non-dropping-particle":"","parse-names":false,"suffix":""},{"dropping-particle":"","family":"Kolassa","given":"John","non-dropping-particle":"","parse-names":false,"suffix":""}],"id":"ITEM-5","issue":"1","issued":{"date-parts":[["2009"]]},"note":"0933-3657","page":"1-10","title":"Classification tree modeling to identify severe and moderate vehicular injuries in young and middle-aged adults","type":"article-journal","volume":"45"},"uris":["http://www.mendeley.com/documents/?uuid=f75da01a-44fb-4956-92b2-c9a0cb35ac6d"]}],"mendeley":{"formattedCitation":"(Afonso et al., 2012; Cheng et al., 2018; Fei et al., 2017; Kawamura et al., 2012; Scheetz et al., 2009)","plainTextFormattedCitation":"(Afonso et al., 2012; Cheng et al., 2018; Fei et al., 2017; Kawamura et al., 2012; Scheetz et al., 2009)","previouslyFormattedCitation":"(Afonso et al., 2012; Cheng et al., 2018; Fei et al., 2017; Kawamura et al., 2012; Scheetz et al., 2009)"},"properties":{"noteIndex":0},"schema":"https://github.com/citation-style-language/schema/raw/master/csl-citation.json"}</w:instrText>
      </w:r>
      <w:r w:rsidRPr="00581288">
        <w:fldChar w:fldCharType="separate"/>
      </w:r>
      <w:r w:rsidRPr="00581288">
        <w:rPr>
          <w:noProof/>
        </w:rPr>
        <w:t>(Afonso et al., 2012; Cheng et al., 2018; Fei et al., 2017; Kawamura et al., 2012; Scheetz et al., 2009)</w:t>
      </w:r>
      <w:r w:rsidRPr="00581288">
        <w:fldChar w:fldCharType="end"/>
      </w:r>
      <w:r w:rsidRPr="00581288">
        <w:t xml:space="preserve"> and risk identification </w:t>
      </w:r>
      <w:r w:rsidRPr="00581288">
        <w:fldChar w:fldCharType="begin" w:fldLock="1"/>
      </w:r>
      <w:r w:rsidRPr="00581288">
        <w:instrText>ADDIN CSL_CITATION {"citationItems":[{"id":"ITEM-1","itemData":{"DOI":"10.1186/1746-6148-4-24","ISSN":"17466148","PMID":"18601728","abstract":"Background: Biosecurity is at the forefront of the fight against infectious diseases in animal populations. Few research studies have attempted to identify and quantify the effectiveness of biosecurity against disease introduction or presence in cattle farms and, when done, they have relied on the collection of on-farm data. Data on environmental, animal movement, demographic/husbandry systems and density disease determinants can be collated without requiring additional specific on-farm data collection activities, since they have already been collected for some other purposes. The aim of this study was to classify cattle herds according to their risk of disease presence as a proxy for compromised biosecurity in the cattle population of Wales in 2004 for riskbased surveillance purposes. Results: Three data mining methods have been applied: logistic regression, classification trees and factor analysis. Using the cattle holding population in Wales, a holding was considered positive if at least bovine TB or one of the ten most frequently diagnosed infectious or transmissible nonnotifiable diseases in England and Wales, according to the Veterinary Investigation Surveillance Report (VIDA) had been diagnosed in 2004. High-risk holdings can be described as open large cattle herds located in high-density cattle areas with frequent movements off to many locations within Wales. Additional risks are associated with the holding being a dairy enterprise and with a large farming area. Conclusion: This work has demonstrated the potential of mining various livestock-relevant databases to obtain generic criteria for individual cattle herd biosecurity risk classification. Despite the data and analytical constraints the described risk profiles are highly specific and present variable sensitivity depending on the model specifications. Risk profiling of farms provides a tool for designing targeted surveillance activities for endemic or emerging diseases, regardless of the prior amount of information available on biosecurity at farm level. As the delivery of practical evidencebased information and advice is one of the priorities of Defra's new Animal Health and Welfare Strategy (AHWS), data-driven models, derived from existing databases, need to be developed that can then be used to inform activities during outbreaks of endemic diseases and to help design surveillance activities. © 2008 Ortiz-Pelaez and Pfeiffer; licensee BioMed Central Ltd.","author":[{"dropping-particle":"","family":"Ortiz-Pelaez","given":"Ángel","non-dropping-particle":"","parse-names":false,"suffix":""},{"dropping-particle":"","family":"Pfeiffer","given":"Dirk U.","non-dropping-particle":"","parse-names":false,"suffix":""}],"container-title":"BMC Veterinary Research","id":"ITEM-1","issued":{"date-parts":[["2008"]]},"page":"1-16","title":"Use of data mining techniques to investigate disease risk classification as a proxy for compromised Biosecurity of cattle herds in Wales","type":"article-journal","volume":"4"},"uris":["http://www.mendeley.com/documents/?uuid=a72cf89d-6146-46b2-b107-117222249e10"]},{"id":"ITEM-2","itemData":{"author":[{"dropping-particle":"","family":"Staerk","given":"K D C","non-dropping-particle":"","parse-names":false,"suffix":""},{"dropping-particle":"","family":"Pfeiffer","given":"D U","non-dropping-particle":"","parse-names":false,"suffix":""}],"container-title":"Intelligent Data Analysis","id":"ITEM-2","issued":{"date-parts":[["1999"]]},"page":"23-35","title":"The application of non-parametric techniques to solve classification problems in complex data sets in veterinary epidemiology - An example","type":"article-journal","volume":"3"},"uris":["http://www.mendeley.com/documents/?uuid=792bf39b-6404-4ce5-948f-eb85dc664caf"]},{"id":"ITEM-3","itemData":{"DOI":"10.1016/j.prevetmed.2019.104860","ISSN":"01675877","abstract":"Identifying and understanding the risk factors for endemic bovine tuberculosis (TB) in cattle herds is critical for the control of this disease. Exploratory machine learning techniques can uncover complex non-linear relationships and interactions within disease causation webs, and enhance our knowledge of TB risk factors and how they are interrelated. Classification tree analysis was used to reveal associations between predictors of TB in England and each of the three surveillance risk areas (High Risk, Edge, and Low Risk) in 2016, identifying the highest risk herds. The main classifying predictor for farms in England overall related to the TB prevalence in the 100 nearest cattle herds. In the High Risk and Edge areas it was the number of slaughterhouse destinations and in the Low Risk area it was the number of cattle tested in surveillance tests. How long ago the last confirmed incident was resolved was the most frequent classifier in trees; if within two years, leading to the highest risk group of herds in the High Risk and Low Risk areas. At least two different slaughterhouse destinations led to the highest risk group of herds in England, whereas in the Edge area it was a combination of no contiguous low-risk neighbours (i.e. in a 1 km radius) and a minimum proportion of 6–23 month-old cattle in November. A threshold value of prevalence in 100 nearest neighbours increased the risk in all areas, although the value was specific to each area. Having low-risk contiguous neighbours reduced the risk in the Edge and High Risk areas, whereas high-risk ones increased the risk in England overall and in the Edge area specifically. The best classification tree models informed multivariable binomial logistic regression models in each area, adding statistical inference outputs. These two approaches showed similar predictive performance although there were some disparities regarding what constituted high-risk predictors. Decision tree machine learning approaches can identify risk factors from webs of causation: information which may then be used to inform decision making for disease control purposes.","author":[{"dropping-particle":"","family":"Romero","given":"M. Pilar","non-dropping-particle":"","parse-names":false,"suffix":""},{"dropping-particle":"","family":"Chang","given":"Yu Mei","non-dropping-particle":"","parse-names":false,"suffix":""},{"dropping-particle":"","family":"Brunton","given":"Lucy A.","non-dropping-particle":"","parse-names":false,"suffix":""},{"dropping-particle":"","family":"Parry","given":"Jessica","non-dropping-particle":"","parse-names":false,"suffix":""},{"dropping-particle":"","family":"Prosser","given":"Alison","non-dropping-particle":"","parse-names":false,"suffix":""},{"dropping-particle":"","family":"Upton","given":"Paul","non-dropping-particle":"","parse-names":false,"suffix":""},{"dropping-particle":"","family":"Rees","given":"Eleanor","non-dropping-particle":"","parse-names":false,"suffix":""},{"dropping-particle":"","family":"Tearne","given":"Oliver","non-dropping-particle":"","parse-names":false,"suffix":""},{"dropping-particle":"","family":"Arnold","given":"Mark","non-dropping-particle":"","parse-names":false,"suffix":""},{"dropping-particle":"","family":"Stevens","given":"Kim","non-dropping-particle":"","parse-names":false,"suffix":""},{"dropping-particle":"","family":"Drewe","given":"Julian A.","non-dropping-particle":"","parse-names":false,"suffix":""}],"container-title":"Preventive Veterinary Medicine","id":"ITEM-3","issue":"November 2019","issued":{"date-parts":[["2020"]]},"publisher":"Elsevier","title":"Decision tree machine learning applied to bovine tuberculosis risk factors to aid disease control decision making","type":"article-journal","volume":"175"},"uris":["http://www.mendeley.com/documents/?uuid=0986cdfc-0ac4-463f-a63d-30afb4d13841"]}],"mendeley":{"formattedCitation":"(Ortiz-Pelaez and Pfeiffer, 2008; Romero et al., 2020; Staerk and Pfeiffer, 1999)","plainTextFormattedCitation":"(Ortiz-Pelaez and Pfeiffer, 2008; Romero et al., 2020; Staerk and Pfeiffer, 1999)","previouslyFormattedCitation":"(Ortiz-Pelaez and Pfeiffer, 2008; Romero et al., 2020; Staerk and Pfeiffer, 1999)"},"properties":{"noteIndex":0},"schema":"https://github.com/citation-style-language/schema/raw/master/csl-citation.json"}</w:instrText>
      </w:r>
      <w:r w:rsidRPr="00581288">
        <w:fldChar w:fldCharType="separate"/>
      </w:r>
      <w:r w:rsidRPr="00581288">
        <w:rPr>
          <w:noProof/>
        </w:rPr>
        <w:t>(Ortiz-Pelaez and Pfeiffer, 2008; Romero et al., 2020; Staerk and Pfeiffer, 1999)</w:t>
      </w:r>
      <w:r w:rsidRPr="00581288">
        <w:fldChar w:fldCharType="end"/>
      </w:r>
      <w:r w:rsidRPr="00581288">
        <w:t xml:space="preserve"> following if-then scenarios, similar to deciding which IR-only surveillance tests are subject to additional disease control measures. The </w:t>
      </w:r>
      <w:r w:rsidR="006920E6" w:rsidRPr="00581288">
        <w:t>final</w:t>
      </w:r>
      <w:r w:rsidRPr="00581288">
        <w:t xml:space="preserve"> model</w:t>
      </w:r>
      <w:r w:rsidR="006920E6" w:rsidRPr="00581288">
        <w:t>, with a reduced number of predictors,</w:t>
      </w:r>
      <w:r w:rsidRPr="00581288">
        <w:t xml:space="preserve"> had</w:t>
      </w:r>
      <w:r w:rsidR="005403BC">
        <w:t xml:space="preserve"> </w:t>
      </w:r>
      <w:r w:rsidR="00D32BE5">
        <w:t xml:space="preserve">over </w:t>
      </w:r>
      <w:r w:rsidR="00D224AB" w:rsidRPr="00581288">
        <w:t>8</w:t>
      </w:r>
      <w:r w:rsidR="00D32BE5">
        <w:t>0</w:t>
      </w:r>
      <w:r w:rsidR="00D224AB" w:rsidRPr="00581288">
        <w:t>% AUC</w:t>
      </w:r>
      <w:r w:rsidRPr="00581288">
        <w:t xml:space="preserve"> predictive performance without applying prior variable selection procedures </w:t>
      </w:r>
      <w:r w:rsidRPr="00581288">
        <w:fldChar w:fldCharType="begin" w:fldLock="1"/>
      </w:r>
      <w:r w:rsidR="009F4086">
        <w:instrText>ADDIN CSL_CITATION {"citationItems":[{"id":"ITEM-1","itemData":{"DOI":"10.1016/j.prevetmed.2019.104860","ISSN":"01675877","abstract":"Identifying and understanding the risk factors for endemic bovine tuberculosis (TB) in cattle herds is critical for the control of this disease. Exploratory machine learning techniques can uncover complex non-linear relationships and interactions within disease causation webs, and enhance our knowledge of TB risk factors and how they are interrelated. Classification tree analysis was used to reveal associations between predictors of TB in England and each of the three surveillance risk areas (High Risk, Edge, and Low Risk) in 2016, identifying the highest risk herds. The main classifying predictor for farms in England overall related to the TB prevalence in the 100 nearest cattle herds. In the High Risk and Edge areas it was the number of slaughterhouse destinations and in the Low Risk area it was the number of cattle tested in surveillance tests. How long ago the last confirmed incident was resolved was the most frequent classifier in trees; if within two years, leading to the highest risk group of herds in the High Risk and Low Risk areas. At least two different slaughterhouse destinations led to the highest risk group of herds in England, whereas in the Edge area it was a combination of no contiguous low-risk neighbours (i.e. in a 1 km radius) and a minimum proportion of 6–23 month-old cattle in November. A threshold value of prevalence in 100 nearest neighbours increased the risk in all areas, although the value was specific to each area. Having low-risk contiguous neighbours reduced the risk in the Edge and High Risk areas, whereas high-risk ones increased the risk in England overall and in the Edge area specifically. The best classification tree models informed multivariable binomial logistic regression models in each area, adding statistical inference outputs. These two approaches showed similar predictive performance although there were some disparities regarding what constituted high-risk predictors. Decision tree machine learning approaches can identify risk factors from webs of causation: information which may then be used to inform decision making for disease control purposes.","author":[{"dropping-particle":"","family":"Romero","given":"M. Pilar","non-dropping-particle":"","parse-names":false,"suffix":""},{"dropping-particle":"","family":"Chang","given":"Yu Mei","non-dropping-particle":"","parse-names":false,"suffix":""},{"dropping-particle":"","family":"Brunton","given":"Lucy A.","non-dropping-particle":"","parse-names":false,"suffix":""},{"dropping-particle":"","family":"Parry","given":"Jessica","non-dropping-particle":"","parse-names":false,"suffix":""},{"dropping-particle":"","family":"Prosser","given":"Alison","non-dropping-particle":"","parse-names":false,"suffix":""},{"dropping-particle":"","family":"Upton","given":"Paul","non-dropping-particle":"","parse-names":false,"suffix":""},{"dropping-particle":"","family":"Rees","given":"Eleanor","non-dropping-particle":"","parse-names":false,"suffix":""},{"dropping-particle":"","family":"Tearne","given":"Oliver","non-dropping-particle":"","parse-names":false,"suffix":""},{"dropping-particle":"","family":"Arnold","given":"Mark","non-dropping-particle":"","parse-names":false,"suffix":""},{"dropping-particle":"","family":"Stevens","given":"Kim","non-dropping-particle":"","parse-names":false,"suffix":""},{"dropping-particle":"","family":"Drewe","given":"Julian A.","non-dropping-particle":"","parse-names":false,"suffix":""}],"container-title":"Preventive Veterinary Medicine","id":"ITEM-1","issue":"November 2019","issued":{"date-parts":[["2020"]]},"publisher":"Elsevier","title":"Decision tree machine learning applied to bovine tuberculosis risk factors to aid disease control decision making","type":"article-journal","volume":"175"},"uris":["http://www.mendeley.com/documents/?uuid=0986cdfc-0ac4-463f-a63d-30afb4d13841"]},{"id":"ITEM-2","itemData":{"DOI":"10.1016/j.prevetmed.2021.105264","ISSN":"01675877","abstract":"Nearly a decade into Defra's current eradication strategy, bovine tuberculosis (bTB) remains a serious animal health problem in England, with c.30,000 cattle slaughtered annually in the fight against this insidious disease. There is an urgent need to improve our understanding of bTB risk in order to enhance the current disease control policy. Machine learning approaches applied to big datasets offer a potential way to do this. Regularized regression and random forest machine learning methodologies were implemented using 2016 herd-level data to generate the best possible predictive models for a bTB incident in England and its three surveillance risk areas (High-risk area [HRA], Edge area [EA] and Low-risk area [LRA]). Their predictive performance was compared and the best models in each area were used to characterize herds according to risk. While all models provided excellent discrimination, random forest models achieved the highest balanced accuracy (i.e. average of sensitivity and specificity) in England, HRA and LRA, whereas the regularized regression LASSO model did so in the EA. The time since the last confirmed incident was resolved was the only variable in the top-ten ranking in all areas according to both types of models, which highlights the importance of bTB history as a predictor of a new incident. Risk categorisation based on Receiver Operating Characteristic (ROC) analysis was carried out using the best predictive models in each area setting a 99 % threshold value for sensitivity and specificity (97 % in the LRA). Thirteen percent of herds in the whole of England as well as in its HRA, 14 % in its EA and 31 % in its LRA were classified as high-risk. These could be selected for the deployment of additional disease control measures at national or area level. In this way, low-risk herds within the area considered would not be penalised unnecessarily by blanket control measures and limited resources be used more efficiently. The methodology presented in this paper demonstrates a way to accurately identify high-risk farms to inform a targeted disease control and prevention strategy in England that supplements existing population strategies.","author":[{"dropping-particle":"","family":"Romero","given":"M. Pilar","non-dropping-particle":"","parse-names":false,"suffix":""},{"dropping-particle":"","family":"Chang","given":"Yu Mei","non-dropping-particle":"","parse-names":false,"suffix":""},{"dropping-particle":"","family":"Brunton","given":"Lucy A.","non-dropping-particle":"","parse-names":false,"suffix":""},{"dropping-particle":"","family":"Parry","given":"Jessica","non-dropping-particle":"","parse-names":false,"suffix":""},{"dropping-particle":"","family":"Prosser","given":"Alison","non-dropping-particle":"","parse-names":false,"suffix":""},{"dropping-particle":"","family":"Upton","given":"Paul","non-dropping-particle":"","parse-names":false,"suffix":""},{"dropping-particle":"","family":"Rees","given":"Eleanor","non-dropping-particle":"","parse-names":false,"suffix":""},{"dropping-particle":"","family":"Tearne","given":"Oliver","non-dropping-particle":"","parse-names":false,"suffix":""},{"dropping-particle":"","family":"Arnold","given":"Mark","non-dropping-particle":"","parse-names":false,"suffix":""},{"dropping-particle":"","family":"Stevens","given":"Kim","non-dropping-particle":"","parse-names":false,"suffix":""},{"dropping-particle":"","family":"Drewe","given":"Julian A.","non-dropping-particle":"","parse-names":false,"suffix":""}],"container-title":"Preventive Veterinary Medicine","id":"ITEM-2","issue":"July 2020","issued":{"date-parts":[["2021"]]},"page":"105264","publisher":"Elsevier B.V.","title":"A comparison of the value of two machine learning predictive models to support bovine tuberculosis disease control in England","type":"article-journal","volume":"188"},"uris":["http://www.mendeley.com/documents/?uuid=76f043c9-dfab-4f80-b311-f4322fd3ecb8"]}],"mendeley":{"formattedCitation":"(Romero et al., 2021, 2020)","plainTextFormattedCitation":"(Romero et al., 2021, 2020)","previouslyFormattedCitation":"(Romero et al., 2021, 2020)"},"properties":{"noteIndex":0},"schema":"https://github.com/citation-style-language/schema/raw/master/csl-citation.json"}</w:instrText>
      </w:r>
      <w:r w:rsidRPr="00581288">
        <w:fldChar w:fldCharType="separate"/>
      </w:r>
      <w:r w:rsidRPr="00581288">
        <w:rPr>
          <w:noProof/>
        </w:rPr>
        <w:t>(Romero et al., 2021, 2020)</w:t>
      </w:r>
      <w:r w:rsidRPr="00581288">
        <w:fldChar w:fldCharType="end"/>
      </w:r>
      <w:r w:rsidRPr="00581288">
        <w:t>. In addition, since the balance of sensitivity and specificity was adequate in this scenario</w:t>
      </w:r>
      <w:r w:rsidR="00B97881" w:rsidRPr="00581288">
        <w:t>,</w:t>
      </w:r>
      <w:r w:rsidR="006920E6" w:rsidRPr="00581288">
        <w:t xml:space="preserve"> it</w:t>
      </w:r>
      <w:r w:rsidRPr="00581288">
        <w:t xml:space="preserve"> was not necessary either to manipulate the outputs carrying out ROC analysis </w:t>
      </w:r>
      <w:r w:rsidRPr="00581288">
        <w:fldChar w:fldCharType="begin" w:fldLock="1"/>
      </w:r>
      <w:r w:rsidR="009F4086">
        <w:instrText>ADDIN CSL_CITATION {"citationItems":[{"id":"ITEM-1","itemData":{"DOI":"10.1016/j.prevetmed.2021.105264","ISSN":"01675877","abstract":"Nearly a decade into Defra's current eradication strategy, bovine tuberculosis (bTB) remains a serious animal health problem in England, with c.30,000 cattle slaughtered annually in the fight against this insidious disease. There is an urgent need to improve our understanding of bTB risk in order to enhance the current disease control policy. Machine learning approaches applied to big datasets offer a potential way to do this. Regularized regression and random forest machine learning methodologies were implemented using 2016 herd-level data to generate the best possible predictive models for a bTB incident in England and its three surveillance risk areas (High-risk area [HRA], Edge area [EA] and Low-risk area [LRA]). Their predictive performance was compared and the best models in each area were used to characterize herds according to risk. While all models provided excellent discrimination, random forest models achieved the highest balanced accuracy (i.e. average of sensitivity and specificity) in England, HRA and LRA, whereas the regularized regression LASSO model did so in the EA. The time since the last confirmed incident was resolved was the only variable in the top-ten ranking in all areas according to both types of models, which highlights the importance of bTB history as a predictor of a new incident. Risk categorisation based on Receiver Operating Characteristic (ROC) analysis was carried out using the best predictive models in each area setting a 99 % threshold value for sensitivity and specificity (97 % in the LRA). Thirteen percent of herds in the whole of England as well as in its HRA, 14 % in its EA and 31 % in its LRA were classified as high-risk. These could be selected for the deployment of additional disease control measures at national or area level. In this way, low-risk herds within the area considered would not be penalised unnecessarily by blanket control measures and limited resources be used more efficiently. The methodology presented in this paper demonstrates a way to accurately identify high-risk farms to inform a targeted disease control and prevention strategy in England that supplements existing population strategies.","author":[{"dropping-particle":"","family":"Romero","given":"M. Pilar","non-dropping-particle":"","parse-names":false,"suffix":""},{"dropping-particle":"","family":"Chang","given":"Yu Mei","non-dropping-particle":"","parse-names":false,"suffix":""},{"dropping-particle":"","family":"Brunton","given":"Lucy A.","non-dropping-particle":"","parse-names":false,"suffix":""},{"dropping-particle":"","family":"Parry","given":"Jessica","non-dropping-particle":"","parse-names":false,"suffix":""},{"dropping-particle":"","family":"Prosser","given":"Alison","non-dropping-particle":"","parse-names":false,"suffix":""},{"dropping-particle":"","family":"Upton","given":"Paul","non-dropping-particle":"","parse-names":false,"suffix":""},{"dropping-particle":"","family":"Rees","given":"Eleanor","non-dropping-particle":"","parse-names":false,"suffix":""},{"dropping-particle":"","family":"Tearne","given":"Oliver","non-dropping-particle":"","parse-names":false,"suffix":""},{"dropping-particle":"","family":"Arnold","given":"Mark","non-dropping-particle":"","parse-names":false,"suffix":""},{"dropping-particle":"","family":"Stevens","given":"Kim","non-dropping-particle":"","parse-names":false,"suffix":""},{"dropping-particle":"","family":"Drewe","given":"Julian A.","non-dropping-particle":"","parse-names":false,"suffix":""}],"container-title":"Preventive Veterinary Medicine","id":"ITEM-1","issue":"July 2020","issued":{"date-parts":[["2021"]]},"page":"105264","publisher":"Elsevier B.V.","title":"A comparison of the value of two machine learning predictive models to support bovine tuberculosis disease control in England","type":"article-journal","volume":"188"},"uris":["http://www.mendeley.com/documents/?uuid=76f043c9-dfab-4f80-b311-f4322fd3ecb8"]}],"mendeley":{"formattedCitation":"(Romero et al., 2021)","plainTextFormattedCitation":"(Romero et al., 2021)","previouslyFormattedCitation":"(Romero et al., 2021)"},"properties":{"noteIndex":0},"schema":"https://github.com/citation-style-language/schema/raw/master/csl-citation.json"}</w:instrText>
      </w:r>
      <w:r w:rsidRPr="00581288">
        <w:fldChar w:fldCharType="separate"/>
      </w:r>
      <w:r w:rsidRPr="00581288">
        <w:rPr>
          <w:noProof/>
        </w:rPr>
        <w:t>(Romero et al., 2021)</w:t>
      </w:r>
      <w:r w:rsidRPr="00581288">
        <w:fldChar w:fldCharType="end"/>
      </w:r>
      <w:r w:rsidRPr="00581288">
        <w:t xml:space="preserve">. Together, these make the model easier to adopt and deploy in an operational setting, irrespective of the disease control measure introduced to mitigate the risk of IRs in tests identified as high-risk. </w:t>
      </w:r>
    </w:p>
    <w:p w14:paraId="1E0A2F12" w14:textId="33BF65F3" w:rsidR="00B07CD5" w:rsidRPr="00581288" w:rsidRDefault="00B07CD5" w:rsidP="00B07CD5">
      <w:r w:rsidRPr="00581288">
        <w:lastRenderedPageBreak/>
        <w:t>Reinterpretation at severe level is a tool available to case vets to increase the sensitivity of the skin test but</w:t>
      </w:r>
      <w:r w:rsidR="00DF33CB">
        <w:t>,</w:t>
      </w:r>
      <w:r w:rsidRPr="00581288">
        <w:t xml:space="preserve"> beyond the prescribed scenarios</w:t>
      </w:r>
      <w:r w:rsidR="00DF33CB">
        <w:t>,</w:t>
      </w:r>
      <w:r w:rsidRPr="00581288">
        <w:t xml:space="preserve"> is applied</w:t>
      </w:r>
      <w:r w:rsidR="00D32BE5" w:rsidRPr="002048EA">
        <w:rPr>
          <w:i/>
        </w:rPr>
        <w:t xml:space="preserve"> </w:t>
      </w:r>
      <w:r w:rsidR="00D32BE5">
        <w:t>under veterinary discretion</w:t>
      </w:r>
      <w:r w:rsidRPr="00581288">
        <w:t xml:space="preserve">. The current lack of consistency has the potential to create resentment in the farming industry, whereby similar high-risk scenarios are treated differently, </w:t>
      </w:r>
      <w:r w:rsidR="00B97881" w:rsidRPr="00581288">
        <w:t>potentially</w:t>
      </w:r>
      <w:r w:rsidRPr="00581288">
        <w:t xml:space="preserve"> damaging the eradication effort. Continuing to allow for case vet</w:t>
      </w:r>
      <w:r w:rsidR="00D32BE5">
        <w:t>erinarian’s</w:t>
      </w:r>
      <w:r w:rsidRPr="00581288">
        <w:t xml:space="preserve"> discretion to enhance the management of IRs in certain scenarios (e.g. by removing them as dangerous contacts), can be beneficial. However, the implementation of this methodology means that all high-risk tests would have additional mitigating measures against the risk of IRs consistently applied. </w:t>
      </w:r>
    </w:p>
    <w:p w14:paraId="107AA4E8" w14:textId="22FEB137" w:rsidR="00DC2F83" w:rsidRPr="00581288" w:rsidRDefault="003427C2" w:rsidP="003427C2">
      <w:r w:rsidRPr="00581288">
        <w:t xml:space="preserve">The continuing validity of this methodology, if implemented, is </w:t>
      </w:r>
      <w:r w:rsidR="005403BC" w:rsidRPr="00581288">
        <w:t>depend</w:t>
      </w:r>
      <w:r w:rsidR="005403BC">
        <w:t>e</w:t>
      </w:r>
      <w:r w:rsidR="005403BC" w:rsidRPr="00581288">
        <w:t>nt</w:t>
      </w:r>
      <w:r w:rsidRPr="00581288">
        <w:t xml:space="preserve"> on meeting the required accuracy in identifying high-risk scenarios in future IR-only surveillance tests. In turn, this depends on the quality of the data as well as random elements in the analyses carried out</w:t>
      </w:r>
      <w:r w:rsidR="007728F6" w:rsidRPr="00581288">
        <w:t xml:space="preserve">, mitigated by using </w:t>
      </w:r>
      <w:r w:rsidR="00DF51BB">
        <w:t>cross-validated</w:t>
      </w:r>
      <w:r w:rsidR="007728F6" w:rsidRPr="00581288">
        <w:t xml:space="preserve"> models</w:t>
      </w:r>
      <w:r w:rsidRPr="00581288">
        <w:t xml:space="preserve">, among other factors like policy changes that have an impact on surveillance. </w:t>
      </w:r>
      <w:r w:rsidR="00B07CD5" w:rsidRPr="00581288">
        <w:t>Although the measure proposed has not translated into many incidents and reactors proactively taken at the disclosing test, the majority of these tests would have yielded an incident at the 60-day retest, preventing potential transmission to cattle and wildlife over these two months. This measure enhances the detection of un</w:t>
      </w:r>
      <w:r w:rsidR="006959F9" w:rsidRPr="00581288">
        <w:t>detected</w:t>
      </w:r>
      <w:r w:rsidR="00B07CD5" w:rsidRPr="00581288">
        <w:t xml:space="preserve"> infected cattle, as recommended in the bTB strategy review </w:t>
      </w:r>
      <w:r w:rsidR="00B07CD5" w:rsidRPr="00581288">
        <w:fldChar w:fldCharType="begin" w:fldLock="1"/>
      </w:r>
      <w:r w:rsidR="00B07CD5" w:rsidRPr="00581288">
        <w:instrText>ADDIN CSL_CITATION {"citationItems":[{"id":"ITEM-1","itemData":{"author":[{"dropping-particle":"","family":"Godfray","given":"C.","non-dropping-particle":"","parse-names":false,"suffix":""},{"dropping-particle":"","family":"Donnelly","given":"C.","non-dropping-particle":"","parse-names":false,"suffix":""},{"dropping-particle":"","family":"Hewinson","given":"G.","non-dropping-particle":"","parse-names":false,"suffix":""},{"dropping-particle":"","family":"Winter","given":"M.","non-dropping-particle":"","parse-names":false,"suffix":""},{"dropping-particle":"","family":"Wood","given":"J.","non-dropping-particle":"","parse-names":false,"suffix":""}],"id":"ITEM-1","issue":"October","issued":{"date-parts":[["2018"]]},"note":"Literature review:\n\n- Governance: elaborate abstract from increased awareness to farmers' participation. Paragraph 10 plus ownership.\n- Surveillance and diagnostics: paragraph 16 for a better new test. Paragraph 13 for increased sensitivity in HRA and EDGE (for reinterpretation of IRs and rolling out EMPB measures. Paragraph 2..24 for removing direct contacts as a way to increase sensitivity and to switch to severe interpretation. Increasing testing frequency in different herds linked to a risk index in paragraph 3.32. PPV not useful due to variations with prevalence. Para 2.21\n- Severe interpretation, taking dangerous contacts, etc to increase sensitivity in breakdowns in paragraph 3.37. Using more sensitive test or combination of tests in infected herds to improve detection in HRA and EA (paragraph 3.29)\n- Faster redefinition of risk areas based on criteria agreeed in advance could greatly facilitate the adaptive management of the disease to support predictive risk model (and cluster analysis) (paragraph 3.27). \n- Also farm-level scores to use in risk based trading and to determine testing frequency, particularly in the LRA (paragraph 3.28). \n- There is broad industry support for risk-based trading but some concerns (para 5.13). \n- Poor uptake of voluntary schemes like CHeCKs and iBTB (para 5.27) but improving info on risk at the point of sale could help discouraging risky trading (para 5.28).\n- Develop, test and deploy innovative measures: paragraph 17.\n- Research: paragraph 41.\n- Vaccination for preventing diseases that cannot be eradicated in other ways: paragraph 4.2.\n- Genetic resistance: 4.14 onwards\n- Inconclusive reactors (slaughter) 3.38 but maybe too expensive.","title":"TB Strategy Review","type":"article"},"uris":["http://www.mendeley.com/documents/?uuid=f20e8248-dea7-4e59-800a-12faac033c62"]}],"mendeley":{"formattedCitation":"(Godfray et al., 2018)","plainTextFormattedCitation":"(Godfray et al., 2018)","previouslyFormattedCitation":"(Godfray et al., 2018)"},"properties":{"noteIndex":0},"schema":"https://github.com/citation-style-language/schema/raw/master/csl-citation.json"}</w:instrText>
      </w:r>
      <w:r w:rsidR="00B07CD5" w:rsidRPr="00581288">
        <w:fldChar w:fldCharType="separate"/>
      </w:r>
      <w:r w:rsidR="00B07CD5" w:rsidRPr="00581288">
        <w:rPr>
          <w:noProof/>
        </w:rPr>
        <w:t>(Godfray et al., 2018)</w:t>
      </w:r>
      <w:r w:rsidR="00B07CD5" w:rsidRPr="00581288">
        <w:fldChar w:fldCharType="end"/>
      </w:r>
      <w:r w:rsidR="00B07CD5" w:rsidRPr="00581288">
        <w:t xml:space="preserve">, although the </w:t>
      </w:r>
      <w:r w:rsidR="00B97881" w:rsidRPr="00581288">
        <w:t>methodology used to identify</w:t>
      </w:r>
      <w:r w:rsidR="00B07CD5" w:rsidRPr="00581288">
        <w:t xml:space="preserve"> high-risk IR-only surveillance tests has a wider application</w:t>
      </w:r>
      <w:bookmarkEnd w:id="16"/>
      <w:r w:rsidR="004F0844" w:rsidRPr="00581288">
        <w:t>.</w:t>
      </w:r>
    </w:p>
    <w:p w14:paraId="1B574E9C" w14:textId="7B0DAD95" w:rsidR="000974DB" w:rsidRPr="00581288" w:rsidRDefault="0081376D" w:rsidP="000075CC">
      <w:pPr>
        <w:pStyle w:val="Title1"/>
        <w:spacing w:after="0" w:line="480" w:lineRule="auto"/>
      </w:pPr>
      <w:r w:rsidRPr="00581288">
        <w:t>Conclusion</w:t>
      </w:r>
    </w:p>
    <w:p w14:paraId="3B967D01" w14:textId="00937E43" w:rsidR="00B07CD5" w:rsidRPr="00581288" w:rsidRDefault="00B07CD5" w:rsidP="00B07CD5">
      <w:pPr>
        <w:spacing w:after="0"/>
      </w:pPr>
      <w:bookmarkStart w:id="17" w:name="_Hlk89191306"/>
      <w:r w:rsidRPr="00581288">
        <w:t xml:space="preserve">England needs to accelerate the ongoing reduction in the number of bovine TB incidents if it is to meet its eradication target by the year 2038, particularly in the HRA, where the majority </w:t>
      </w:r>
      <w:r w:rsidR="005466E8">
        <w:lastRenderedPageBreak/>
        <w:t xml:space="preserve">of cases </w:t>
      </w:r>
      <w:r w:rsidRPr="00581288">
        <w:t xml:space="preserve">are detected. It is also in this area where </w:t>
      </w:r>
      <w:r w:rsidR="00607BFB">
        <w:t>over 60%</w:t>
      </w:r>
      <w:r w:rsidRPr="00581288">
        <w:t xml:space="preserve"> of IRs </w:t>
      </w:r>
      <w:r w:rsidR="006920E6" w:rsidRPr="00581288">
        <w:t>are revealed and where</w:t>
      </w:r>
      <w:r w:rsidRPr="00581288">
        <w:t xml:space="preserve"> the highest proportion of IR-only herds sustain an incident in the following 15 months</w:t>
      </w:r>
      <w:r w:rsidR="00607BFB">
        <w:t>, in the majority of cases at the IRs’ 60-day retest</w:t>
      </w:r>
      <w:r w:rsidRPr="00581288">
        <w:t xml:space="preserve">. </w:t>
      </w:r>
    </w:p>
    <w:p w14:paraId="0521ABD7" w14:textId="3882B40B" w:rsidR="00B07CD5" w:rsidRPr="00581288" w:rsidRDefault="00B07CD5" w:rsidP="00B07CD5">
      <w:pPr>
        <w:spacing w:after="0"/>
      </w:pPr>
      <w:r w:rsidRPr="00581288">
        <w:t xml:space="preserve">We demonstrated the application of classification tree analysis to identify IR-only surveillance tests at higher risk of triggering an incident at the </w:t>
      </w:r>
      <w:r w:rsidR="006920E6" w:rsidRPr="00581288">
        <w:t xml:space="preserve">60-day </w:t>
      </w:r>
      <w:r w:rsidRPr="00581288">
        <w:t xml:space="preserve">retest, enabling the rollout of proactive disease control measures at their disclosing test. In particular, we assessed the impact of adopting a severe reinterpretation of the results of this initial test to speed up the detection of infected IRs. </w:t>
      </w:r>
    </w:p>
    <w:p w14:paraId="643ABC31" w14:textId="6A6363DF" w:rsidR="006A6133" w:rsidRPr="00581288" w:rsidRDefault="00B07CD5" w:rsidP="00B07CD5">
      <w:pPr>
        <w:spacing w:after="0"/>
      </w:pPr>
      <w:r w:rsidRPr="00581288">
        <w:t xml:space="preserve">The outputs of the analysis include a tree that provides simple ‘if-then’ scenarios that allow lay people to understand the particular combination of </w:t>
      </w:r>
      <w:r w:rsidR="00B97881" w:rsidRPr="00581288">
        <w:t xml:space="preserve">herd-level </w:t>
      </w:r>
      <w:r w:rsidRPr="00581288">
        <w:t xml:space="preserve">risk factors </w:t>
      </w:r>
      <w:r w:rsidR="00B97881" w:rsidRPr="00581288">
        <w:t xml:space="preserve">that deem </w:t>
      </w:r>
      <w:r w:rsidRPr="00581288">
        <w:t xml:space="preserve">a herd test </w:t>
      </w:r>
      <w:r w:rsidR="00B97881" w:rsidRPr="00581288">
        <w:t xml:space="preserve">to be </w:t>
      </w:r>
      <w:r w:rsidRPr="00581288">
        <w:t xml:space="preserve">high-risk. This facilitates stakeholder and operational engagement with this policy, in addition to harmonising the use of what is currently an </w:t>
      </w:r>
      <w:r w:rsidRPr="00581288">
        <w:rPr>
          <w:i/>
        </w:rPr>
        <w:t>ad hoc</w:t>
      </w:r>
      <w:r w:rsidRPr="00581288">
        <w:t xml:space="preserve"> tool, to manage the demonstrated risk of IRs in a consistent way. Severe reinterpretation on disclosure of high-risk IR-only surveillance tests, as proposed, could help accelerate bTB eradication by increasing the early detection of infected cattle</w:t>
      </w:r>
      <w:bookmarkEnd w:id="17"/>
      <w:r w:rsidR="00552D96" w:rsidRPr="00581288">
        <w:t>.</w:t>
      </w:r>
      <w:r w:rsidR="007A356B" w:rsidRPr="00581288" w:rsidDel="007A356B">
        <w:t xml:space="preserve"> </w:t>
      </w:r>
    </w:p>
    <w:p w14:paraId="3090702B" w14:textId="2159A85B" w:rsidR="00F34CE6" w:rsidRPr="00581288" w:rsidRDefault="00F34CE6" w:rsidP="006A6133">
      <w:pPr>
        <w:spacing w:after="0"/>
        <w:sectPr w:rsidR="00F34CE6" w:rsidRPr="00581288" w:rsidSect="000851CB">
          <w:type w:val="nextColumn"/>
          <w:pgSz w:w="12240" w:h="15840"/>
          <w:pgMar w:top="1440" w:right="1588" w:bottom="1588" w:left="1588" w:header="720" w:footer="720" w:gutter="0"/>
          <w:lnNumType w:countBy="1" w:restart="continuous"/>
          <w:cols w:space="720"/>
          <w:docGrid w:linePitch="326"/>
        </w:sectPr>
      </w:pPr>
    </w:p>
    <w:p w14:paraId="6069FA47" w14:textId="77777777" w:rsidR="009B7A31" w:rsidRPr="00581288" w:rsidRDefault="009B7A31" w:rsidP="000075CC">
      <w:pPr>
        <w:pStyle w:val="Heading1"/>
        <w:spacing w:after="0" w:line="480" w:lineRule="auto"/>
      </w:pPr>
      <w:r w:rsidRPr="00581288">
        <w:lastRenderedPageBreak/>
        <w:t>Tables</w:t>
      </w:r>
    </w:p>
    <w:p w14:paraId="56BFCFC2" w14:textId="118BC76B" w:rsidR="00B13461" w:rsidRPr="00581288" w:rsidRDefault="009B7A31" w:rsidP="00B13461">
      <w:pPr>
        <w:pStyle w:val="Caption"/>
        <w:keepNext/>
        <w:spacing w:after="0" w:line="480" w:lineRule="auto"/>
      </w:pPr>
      <w:r w:rsidRPr="00581288">
        <w:t xml:space="preserve">Table </w:t>
      </w:r>
      <w:r w:rsidR="00E50D16" w:rsidRPr="00581288">
        <w:t>1</w:t>
      </w:r>
      <w:r w:rsidR="0035771C" w:rsidRPr="00581288">
        <w:t xml:space="preserve"> </w:t>
      </w:r>
      <w:bookmarkStart w:id="18" w:name="_Hlk89190599"/>
      <w:r w:rsidR="0035771C" w:rsidRPr="00581288">
        <w:t xml:space="preserve">a) Classification tree confusion matrix originally calculated on the 20% </w:t>
      </w:r>
      <w:r w:rsidR="00B97881" w:rsidRPr="00581288">
        <w:t xml:space="preserve">of </w:t>
      </w:r>
      <w:r w:rsidR="0035771C" w:rsidRPr="00581288">
        <w:t xml:space="preserve">2012-2019 </w:t>
      </w:r>
      <w:r w:rsidR="00B97881" w:rsidRPr="00581288">
        <w:t xml:space="preserve">testing </w:t>
      </w:r>
      <w:r w:rsidR="0035771C" w:rsidRPr="00581288">
        <w:t>dataset (Test 1)</w:t>
      </w:r>
      <w:r w:rsidR="00455589" w:rsidRPr="00581288">
        <w:t xml:space="preserve"> showing </w:t>
      </w:r>
      <w:r w:rsidR="0035771C" w:rsidRPr="00581288">
        <w:t>the reference (Ref) and prediction values (</w:t>
      </w:r>
      <w:proofErr w:type="spellStart"/>
      <w:r w:rsidR="0035771C" w:rsidRPr="00581288">
        <w:t>Pred</w:t>
      </w:r>
      <w:proofErr w:type="spellEnd"/>
      <w:r w:rsidR="0035771C" w:rsidRPr="00581288">
        <w:t>)</w:t>
      </w:r>
      <w:r w:rsidR="00D131BE" w:rsidRPr="00581288">
        <w:t xml:space="preserve"> </w:t>
      </w:r>
      <w:r w:rsidR="00455589" w:rsidRPr="00581288">
        <w:t>for outcome “Yes” (“+”) and “No” (“</w:t>
      </w:r>
      <w:proofErr w:type="gramStart"/>
      <w:r w:rsidR="00455589" w:rsidRPr="00581288">
        <w:t>-“</w:t>
      </w:r>
      <w:proofErr w:type="gramEnd"/>
      <w:r w:rsidR="00455589" w:rsidRPr="00581288">
        <w:t>).</w:t>
      </w:r>
      <w:r w:rsidR="0035771C" w:rsidRPr="00581288">
        <w:t xml:space="preserve"> b) Predictive performance of the classification tree analysis in the same testing dataset; c) Confusion matrix on the 2020 dataset used as testing (Test 2), with the same training dataset (80% of 2012-2019 data</w:t>
      </w:r>
      <w:r w:rsidR="00C240F9" w:rsidRPr="00581288">
        <w:t>set</w:t>
      </w:r>
      <w:r w:rsidR="00707E19">
        <w:t>)</w:t>
      </w:r>
      <w:r w:rsidR="0035771C" w:rsidRPr="00581288">
        <w:t xml:space="preserve">; d) </w:t>
      </w:r>
      <w:r w:rsidR="00642CD6" w:rsidRPr="00581288">
        <w:t>P</w:t>
      </w:r>
      <w:r w:rsidR="0035771C" w:rsidRPr="00581288">
        <w:t>redictive performance of classification tree analysis on the Test 2 dataset</w:t>
      </w:r>
      <w:bookmarkEnd w:id="18"/>
      <w:r w:rsidR="00B13461" w:rsidRPr="00581288">
        <w:t>.</w:t>
      </w:r>
    </w:p>
    <w:tbl>
      <w:tblPr>
        <w:tblW w:w="12049" w:type="dxa"/>
        <w:tblLook w:val="04A0" w:firstRow="1" w:lastRow="0" w:firstColumn="1" w:lastColumn="0" w:noHBand="0" w:noVBand="1"/>
      </w:tblPr>
      <w:tblGrid>
        <w:gridCol w:w="1108"/>
        <w:gridCol w:w="639"/>
        <w:gridCol w:w="1088"/>
        <w:gridCol w:w="1276"/>
        <w:gridCol w:w="1275"/>
        <w:gridCol w:w="425"/>
        <w:gridCol w:w="906"/>
        <w:gridCol w:w="987"/>
        <w:gridCol w:w="996"/>
        <w:gridCol w:w="798"/>
        <w:gridCol w:w="850"/>
        <w:gridCol w:w="992"/>
        <w:gridCol w:w="709"/>
      </w:tblGrid>
      <w:tr w:rsidR="00B132D6" w:rsidRPr="00581288" w14:paraId="082F8F2D" w14:textId="77777777" w:rsidTr="00804970">
        <w:trPr>
          <w:trHeight w:val="435"/>
        </w:trPr>
        <w:tc>
          <w:tcPr>
            <w:tcW w:w="1108" w:type="dxa"/>
            <w:tcBorders>
              <w:top w:val="nil"/>
              <w:left w:val="nil"/>
              <w:bottom w:val="nil"/>
              <w:right w:val="nil"/>
            </w:tcBorders>
            <w:shd w:val="clear" w:color="auto" w:fill="auto"/>
            <w:noWrap/>
            <w:vAlign w:val="bottom"/>
            <w:hideMark/>
          </w:tcPr>
          <w:p w14:paraId="64E05766" w14:textId="77777777" w:rsidR="00B132D6" w:rsidRPr="00581288" w:rsidRDefault="00B132D6" w:rsidP="00721646">
            <w:pPr>
              <w:spacing w:line="240" w:lineRule="auto"/>
              <w:rPr>
                <w:b/>
                <w:bCs/>
                <w:sz w:val="18"/>
                <w:szCs w:val="18"/>
              </w:rPr>
            </w:pPr>
            <w:r w:rsidRPr="00581288">
              <w:rPr>
                <w:b/>
                <w:bCs/>
                <w:sz w:val="18"/>
                <w:szCs w:val="18"/>
              </w:rPr>
              <w:t>a</w:t>
            </w:r>
          </w:p>
        </w:tc>
        <w:tc>
          <w:tcPr>
            <w:tcW w:w="639" w:type="dxa"/>
            <w:tcBorders>
              <w:top w:val="nil"/>
              <w:left w:val="nil"/>
              <w:right w:val="nil"/>
            </w:tcBorders>
            <w:shd w:val="clear" w:color="auto" w:fill="auto"/>
            <w:noWrap/>
            <w:vAlign w:val="bottom"/>
            <w:hideMark/>
          </w:tcPr>
          <w:p w14:paraId="0D85E310" w14:textId="77777777" w:rsidR="00B132D6" w:rsidRPr="00581288" w:rsidRDefault="00B132D6" w:rsidP="00721646">
            <w:pPr>
              <w:spacing w:line="240" w:lineRule="auto"/>
              <w:rPr>
                <w:b/>
                <w:bCs/>
                <w:sz w:val="18"/>
                <w:szCs w:val="18"/>
              </w:rPr>
            </w:pPr>
          </w:p>
        </w:tc>
        <w:tc>
          <w:tcPr>
            <w:tcW w:w="2364" w:type="dxa"/>
            <w:gridSpan w:val="2"/>
            <w:tcBorders>
              <w:top w:val="nil"/>
              <w:left w:val="nil"/>
              <w:right w:val="nil"/>
            </w:tcBorders>
            <w:shd w:val="clear" w:color="auto" w:fill="auto"/>
            <w:noWrap/>
            <w:vAlign w:val="bottom"/>
            <w:hideMark/>
          </w:tcPr>
          <w:p w14:paraId="64648BB7" w14:textId="77777777" w:rsidR="00B132D6" w:rsidRPr="00581288" w:rsidRDefault="00B132D6" w:rsidP="00721646">
            <w:pPr>
              <w:spacing w:line="240" w:lineRule="auto"/>
              <w:jc w:val="center"/>
              <w:rPr>
                <w:sz w:val="18"/>
                <w:szCs w:val="18"/>
              </w:rPr>
            </w:pPr>
            <w:r w:rsidRPr="00581288">
              <w:rPr>
                <w:sz w:val="18"/>
                <w:szCs w:val="18"/>
              </w:rPr>
              <w:t>Prediction</w:t>
            </w:r>
          </w:p>
        </w:tc>
        <w:tc>
          <w:tcPr>
            <w:tcW w:w="1275" w:type="dxa"/>
            <w:tcBorders>
              <w:top w:val="nil"/>
              <w:left w:val="nil"/>
              <w:right w:val="nil"/>
            </w:tcBorders>
            <w:shd w:val="clear" w:color="auto" w:fill="auto"/>
            <w:noWrap/>
            <w:vAlign w:val="bottom"/>
            <w:hideMark/>
          </w:tcPr>
          <w:p w14:paraId="0050E073" w14:textId="77777777" w:rsidR="00B132D6" w:rsidRPr="00581288" w:rsidRDefault="00B132D6" w:rsidP="00721646">
            <w:pPr>
              <w:spacing w:line="240" w:lineRule="auto"/>
              <w:jc w:val="center"/>
              <w:rPr>
                <w:sz w:val="18"/>
                <w:szCs w:val="18"/>
              </w:rPr>
            </w:pPr>
          </w:p>
        </w:tc>
        <w:tc>
          <w:tcPr>
            <w:tcW w:w="425" w:type="dxa"/>
            <w:tcBorders>
              <w:top w:val="nil"/>
              <w:left w:val="nil"/>
              <w:right w:val="nil"/>
            </w:tcBorders>
            <w:shd w:val="clear" w:color="auto" w:fill="auto"/>
            <w:noWrap/>
            <w:vAlign w:val="bottom"/>
            <w:hideMark/>
          </w:tcPr>
          <w:p w14:paraId="39BF3DA5" w14:textId="77777777" w:rsidR="00B132D6" w:rsidRPr="00581288" w:rsidRDefault="00B132D6" w:rsidP="00721646">
            <w:pPr>
              <w:spacing w:line="240" w:lineRule="auto"/>
              <w:rPr>
                <w:b/>
                <w:bCs/>
                <w:sz w:val="18"/>
                <w:szCs w:val="18"/>
              </w:rPr>
            </w:pPr>
            <w:r w:rsidRPr="00581288">
              <w:rPr>
                <w:b/>
                <w:bCs/>
                <w:sz w:val="18"/>
                <w:szCs w:val="18"/>
              </w:rPr>
              <w:t>b</w:t>
            </w:r>
          </w:p>
        </w:tc>
        <w:tc>
          <w:tcPr>
            <w:tcW w:w="906" w:type="dxa"/>
            <w:tcBorders>
              <w:top w:val="nil"/>
              <w:left w:val="nil"/>
              <w:right w:val="nil"/>
            </w:tcBorders>
            <w:shd w:val="clear" w:color="auto" w:fill="auto"/>
            <w:noWrap/>
            <w:vAlign w:val="bottom"/>
            <w:hideMark/>
          </w:tcPr>
          <w:p w14:paraId="78ACC0AD" w14:textId="77777777" w:rsidR="00B132D6" w:rsidRPr="00581288" w:rsidRDefault="00B132D6" w:rsidP="00721646">
            <w:pPr>
              <w:spacing w:line="240" w:lineRule="auto"/>
              <w:rPr>
                <w:b/>
                <w:bCs/>
                <w:sz w:val="18"/>
                <w:szCs w:val="18"/>
              </w:rPr>
            </w:pPr>
          </w:p>
        </w:tc>
        <w:tc>
          <w:tcPr>
            <w:tcW w:w="987" w:type="dxa"/>
            <w:tcBorders>
              <w:top w:val="nil"/>
              <w:left w:val="nil"/>
              <w:right w:val="nil"/>
            </w:tcBorders>
            <w:shd w:val="clear" w:color="auto" w:fill="auto"/>
            <w:noWrap/>
            <w:vAlign w:val="bottom"/>
            <w:hideMark/>
          </w:tcPr>
          <w:p w14:paraId="16689DFE" w14:textId="77777777" w:rsidR="00B132D6" w:rsidRPr="00581288" w:rsidRDefault="00B132D6" w:rsidP="00721646">
            <w:pPr>
              <w:spacing w:line="240" w:lineRule="auto"/>
              <w:rPr>
                <w:sz w:val="18"/>
                <w:szCs w:val="18"/>
              </w:rPr>
            </w:pPr>
          </w:p>
        </w:tc>
        <w:tc>
          <w:tcPr>
            <w:tcW w:w="996" w:type="dxa"/>
            <w:tcBorders>
              <w:top w:val="nil"/>
              <w:left w:val="nil"/>
              <w:right w:val="nil"/>
            </w:tcBorders>
            <w:shd w:val="clear" w:color="auto" w:fill="auto"/>
            <w:noWrap/>
            <w:vAlign w:val="bottom"/>
            <w:hideMark/>
          </w:tcPr>
          <w:p w14:paraId="4681D78A" w14:textId="77777777" w:rsidR="00B132D6" w:rsidRPr="00581288" w:rsidRDefault="00B132D6" w:rsidP="00721646">
            <w:pPr>
              <w:spacing w:line="240" w:lineRule="auto"/>
              <w:rPr>
                <w:sz w:val="18"/>
                <w:szCs w:val="18"/>
              </w:rPr>
            </w:pPr>
          </w:p>
        </w:tc>
        <w:tc>
          <w:tcPr>
            <w:tcW w:w="798" w:type="dxa"/>
            <w:tcBorders>
              <w:top w:val="nil"/>
              <w:left w:val="nil"/>
              <w:right w:val="nil"/>
            </w:tcBorders>
            <w:shd w:val="clear" w:color="auto" w:fill="auto"/>
            <w:noWrap/>
            <w:vAlign w:val="bottom"/>
            <w:hideMark/>
          </w:tcPr>
          <w:p w14:paraId="7E36A0CC" w14:textId="77777777" w:rsidR="00B132D6" w:rsidRPr="00581288" w:rsidRDefault="00B132D6" w:rsidP="00721646">
            <w:pPr>
              <w:spacing w:line="240" w:lineRule="auto"/>
              <w:rPr>
                <w:sz w:val="18"/>
                <w:szCs w:val="18"/>
              </w:rPr>
            </w:pPr>
          </w:p>
        </w:tc>
        <w:tc>
          <w:tcPr>
            <w:tcW w:w="850" w:type="dxa"/>
            <w:tcBorders>
              <w:top w:val="nil"/>
              <w:left w:val="nil"/>
              <w:right w:val="nil"/>
            </w:tcBorders>
            <w:shd w:val="clear" w:color="auto" w:fill="auto"/>
            <w:noWrap/>
            <w:vAlign w:val="bottom"/>
            <w:hideMark/>
          </w:tcPr>
          <w:p w14:paraId="10C39FE2" w14:textId="77777777" w:rsidR="00B132D6" w:rsidRPr="00581288" w:rsidRDefault="00B132D6" w:rsidP="00721646">
            <w:pPr>
              <w:spacing w:line="240" w:lineRule="auto"/>
              <w:rPr>
                <w:sz w:val="18"/>
                <w:szCs w:val="18"/>
              </w:rPr>
            </w:pPr>
          </w:p>
        </w:tc>
        <w:tc>
          <w:tcPr>
            <w:tcW w:w="992" w:type="dxa"/>
            <w:tcBorders>
              <w:top w:val="nil"/>
              <w:left w:val="nil"/>
              <w:right w:val="nil"/>
            </w:tcBorders>
            <w:shd w:val="clear" w:color="auto" w:fill="auto"/>
            <w:noWrap/>
            <w:vAlign w:val="bottom"/>
            <w:hideMark/>
          </w:tcPr>
          <w:p w14:paraId="3BD958A0" w14:textId="77777777" w:rsidR="00B132D6" w:rsidRPr="00581288" w:rsidRDefault="00B132D6" w:rsidP="00721646">
            <w:pPr>
              <w:spacing w:line="240" w:lineRule="auto"/>
              <w:rPr>
                <w:sz w:val="18"/>
                <w:szCs w:val="18"/>
              </w:rPr>
            </w:pPr>
          </w:p>
        </w:tc>
        <w:tc>
          <w:tcPr>
            <w:tcW w:w="709" w:type="dxa"/>
            <w:tcBorders>
              <w:top w:val="nil"/>
              <w:left w:val="nil"/>
              <w:right w:val="nil"/>
            </w:tcBorders>
            <w:shd w:val="clear" w:color="auto" w:fill="auto"/>
            <w:noWrap/>
            <w:vAlign w:val="bottom"/>
            <w:hideMark/>
          </w:tcPr>
          <w:p w14:paraId="1C29BC75" w14:textId="77777777" w:rsidR="00B132D6" w:rsidRPr="00581288" w:rsidRDefault="00B132D6" w:rsidP="00721646">
            <w:pPr>
              <w:spacing w:line="240" w:lineRule="auto"/>
              <w:rPr>
                <w:sz w:val="18"/>
                <w:szCs w:val="18"/>
              </w:rPr>
            </w:pPr>
          </w:p>
        </w:tc>
      </w:tr>
      <w:tr w:rsidR="00B132D6" w:rsidRPr="00581288" w14:paraId="4D2A99E5" w14:textId="77777777" w:rsidTr="00804970">
        <w:trPr>
          <w:trHeight w:val="420"/>
        </w:trPr>
        <w:tc>
          <w:tcPr>
            <w:tcW w:w="1108" w:type="dxa"/>
            <w:tcBorders>
              <w:top w:val="nil"/>
              <w:left w:val="nil"/>
              <w:bottom w:val="nil"/>
            </w:tcBorders>
            <w:shd w:val="clear" w:color="auto" w:fill="auto"/>
            <w:noWrap/>
            <w:vAlign w:val="bottom"/>
            <w:hideMark/>
          </w:tcPr>
          <w:p w14:paraId="23946D71" w14:textId="77777777" w:rsidR="00B132D6" w:rsidRPr="00581288" w:rsidRDefault="00B132D6" w:rsidP="00721646">
            <w:pPr>
              <w:spacing w:line="240" w:lineRule="auto"/>
              <w:rPr>
                <w:sz w:val="18"/>
                <w:szCs w:val="18"/>
              </w:rPr>
            </w:pPr>
            <w:r w:rsidRPr="00581288">
              <w:rPr>
                <w:sz w:val="18"/>
                <w:szCs w:val="18"/>
              </w:rPr>
              <w:t>Reference</w:t>
            </w:r>
          </w:p>
        </w:tc>
        <w:tc>
          <w:tcPr>
            <w:tcW w:w="639" w:type="dxa"/>
            <w:tcBorders>
              <w:bottom w:val="single" w:sz="4" w:space="0" w:color="auto"/>
              <w:right w:val="single" w:sz="4" w:space="0" w:color="auto"/>
            </w:tcBorders>
            <w:shd w:val="clear" w:color="auto" w:fill="auto"/>
            <w:noWrap/>
            <w:vAlign w:val="bottom"/>
            <w:hideMark/>
          </w:tcPr>
          <w:p w14:paraId="10375574" w14:textId="77777777" w:rsidR="00B132D6" w:rsidRPr="00581288" w:rsidRDefault="00B132D6" w:rsidP="00721646">
            <w:pPr>
              <w:spacing w:line="240" w:lineRule="auto"/>
              <w:rPr>
                <w:sz w:val="18"/>
                <w:szCs w:val="18"/>
              </w:rPr>
            </w:pPr>
            <w:r w:rsidRPr="00581288">
              <w:rPr>
                <w:sz w:val="18"/>
                <w:szCs w:val="18"/>
              </w:rPr>
              <w:t> </w:t>
            </w:r>
          </w:p>
        </w:tc>
        <w:tc>
          <w:tcPr>
            <w:tcW w:w="1088" w:type="dxa"/>
            <w:tcBorders>
              <w:left w:val="single" w:sz="4" w:space="0" w:color="auto"/>
              <w:bottom w:val="single" w:sz="4" w:space="0" w:color="auto"/>
            </w:tcBorders>
            <w:shd w:val="clear" w:color="auto" w:fill="auto"/>
            <w:noWrap/>
            <w:vAlign w:val="bottom"/>
            <w:hideMark/>
          </w:tcPr>
          <w:p w14:paraId="35D60EF8" w14:textId="77777777" w:rsidR="00B132D6" w:rsidRPr="00581288" w:rsidRDefault="00B132D6" w:rsidP="00721646">
            <w:pPr>
              <w:spacing w:line="240" w:lineRule="auto"/>
              <w:jc w:val="center"/>
              <w:rPr>
                <w:sz w:val="18"/>
                <w:szCs w:val="18"/>
              </w:rPr>
            </w:pPr>
            <w:proofErr w:type="spellStart"/>
            <w:r w:rsidRPr="00581288">
              <w:rPr>
                <w:sz w:val="18"/>
                <w:szCs w:val="18"/>
              </w:rPr>
              <w:t>Pred</w:t>
            </w:r>
            <w:proofErr w:type="spellEnd"/>
            <w:r w:rsidRPr="00581288">
              <w:rPr>
                <w:sz w:val="18"/>
                <w:szCs w:val="18"/>
              </w:rPr>
              <w:t>+</w:t>
            </w:r>
          </w:p>
        </w:tc>
        <w:tc>
          <w:tcPr>
            <w:tcW w:w="1276" w:type="dxa"/>
            <w:tcBorders>
              <w:bottom w:val="single" w:sz="4" w:space="0" w:color="auto"/>
            </w:tcBorders>
            <w:shd w:val="clear" w:color="auto" w:fill="auto"/>
            <w:noWrap/>
            <w:vAlign w:val="bottom"/>
            <w:hideMark/>
          </w:tcPr>
          <w:p w14:paraId="70091309" w14:textId="77777777" w:rsidR="00B132D6" w:rsidRPr="00581288" w:rsidRDefault="00B132D6" w:rsidP="00721646">
            <w:pPr>
              <w:spacing w:line="240" w:lineRule="auto"/>
              <w:jc w:val="center"/>
              <w:rPr>
                <w:sz w:val="18"/>
                <w:szCs w:val="18"/>
              </w:rPr>
            </w:pPr>
            <w:proofErr w:type="spellStart"/>
            <w:r w:rsidRPr="00581288">
              <w:rPr>
                <w:sz w:val="18"/>
                <w:szCs w:val="18"/>
              </w:rPr>
              <w:t>Pred</w:t>
            </w:r>
            <w:proofErr w:type="spellEnd"/>
            <w:r w:rsidRPr="00581288">
              <w:rPr>
                <w:sz w:val="18"/>
                <w:szCs w:val="18"/>
              </w:rPr>
              <w:t>-</w:t>
            </w:r>
          </w:p>
        </w:tc>
        <w:tc>
          <w:tcPr>
            <w:tcW w:w="1275" w:type="dxa"/>
            <w:tcBorders>
              <w:bottom w:val="single" w:sz="4" w:space="0" w:color="auto"/>
            </w:tcBorders>
            <w:shd w:val="clear" w:color="auto" w:fill="auto"/>
            <w:noWrap/>
            <w:vAlign w:val="bottom"/>
            <w:hideMark/>
          </w:tcPr>
          <w:p w14:paraId="272C4365" w14:textId="77777777" w:rsidR="00B132D6" w:rsidRPr="00581288" w:rsidRDefault="00B132D6" w:rsidP="00721646">
            <w:pPr>
              <w:spacing w:line="240" w:lineRule="auto"/>
              <w:rPr>
                <w:sz w:val="18"/>
                <w:szCs w:val="18"/>
              </w:rPr>
            </w:pPr>
            <w:r w:rsidRPr="00581288">
              <w:rPr>
                <w:sz w:val="18"/>
                <w:szCs w:val="18"/>
              </w:rPr>
              <w:t>Total</w:t>
            </w:r>
          </w:p>
        </w:tc>
        <w:tc>
          <w:tcPr>
            <w:tcW w:w="425" w:type="dxa"/>
            <w:tcBorders>
              <w:top w:val="nil"/>
              <w:left w:val="nil"/>
              <w:bottom w:val="nil"/>
            </w:tcBorders>
            <w:shd w:val="clear" w:color="auto" w:fill="auto"/>
            <w:noWrap/>
            <w:vAlign w:val="bottom"/>
            <w:hideMark/>
          </w:tcPr>
          <w:p w14:paraId="68224EBC" w14:textId="77777777" w:rsidR="00B132D6" w:rsidRPr="00581288" w:rsidRDefault="00B132D6" w:rsidP="00721646">
            <w:pPr>
              <w:spacing w:line="240" w:lineRule="auto"/>
              <w:rPr>
                <w:sz w:val="18"/>
                <w:szCs w:val="18"/>
              </w:rPr>
            </w:pPr>
          </w:p>
        </w:tc>
        <w:tc>
          <w:tcPr>
            <w:tcW w:w="906" w:type="dxa"/>
            <w:tcBorders>
              <w:bottom w:val="single" w:sz="4" w:space="0" w:color="auto"/>
            </w:tcBorders>
            <w:shd w:val="clear" w:color="auto" w:fill="auto"/>
            <w:noWrap/>
            <w:vAlign w:val="bottom"/>
            <w:hideMark/>
          </w:tcPr>
          <w:p w14:paraId="0733625C" w14:textId="77777777" w:rsidR="00B132D6" w:rsidRPr="00581288" w:rsidRDefault="00B132D6" w:rsidP="00721646">
            <w:pPr>
              <w:spacing w:line="240" w:lineRule="auto"/>
              <w:jc w:val="center"/>
              <w:rPr>
                <w:sz w:val="18"/>
                <w:szCs w:val="18"/>
              </w:rPr>
            </w:pPr>
            <w:r w:rsidRPr="00581288">
              <w:rPr>
                <w:sz w:val="18"/>
                <w:szCs w:val="18"/>
              </w:rPr>
              <w:t>Accuracy</w:t>
            </w:r>
          </w:p>
        </w:tc>
        <w:tc>
          <w:tcPr>
            <w:tcW w:w="987" w:type="dxa"/>
            <w:tcBorders>
              <w:bottom w:val="single" w:sz="4" w:space="0" w:color="auto"/>
            </w:tcBorders>
            <w:shd w:val="clear" w:color="auto" w:fill="auto"/>
            <w:noWrap/>
            <w:vAlign w:val="bottom"/>
            <w:hideMark/>
          </w:tcPr>
          <w:p w14:paraId="595111A7" w14:textId="77777777" w:rsidR="00B132D6" w:rsidRPr="00581288" w:rsidRDefault="00B132D6" w:rsidP="00721646">
            <w:pPr>
              <w:spacing w:line="240" w:lineRule="auto"/>
              <w:jc w:val="center"/>
              <w:rPr>
                <w:sz w:val="18"/>
                <w:szCs w:val="18"/>
              </w:rPr>
            </w:pPr>
            <w:r w:rsidRPr="00581288">
              <w:rPr>
                <w:sz w:val="18"/>
                <w:szCs w:val="18"/>
              </w:rPr>
              <w:t>Sensitivity</w:t>
            </w:r>
          </w:p>
        </w:tc>
        <w:tc>
          <w:tcPr>
            <w:tcW w:w="996" w:type="dxa"/>
            <w:tcBorders>
              <w:bottom w:val="single" w:sz="4" w:space="0" w:color="auto"/>
            </w:tcBorders>
            <w:shd w:val="clear" w:color="auto" w:fill="auto"/>
            <w:noWrap/>
            <w:vAlign w:val="bottom"/>
            <w:hideMark/>
          </w:tcPr>
          <w:p w14:paraId="161F1048" w14:textId="77777777" w:rsidR="00B132D6" w:rsidRPr="00581288" w:rsidRDefault="00B132D6" w:rsidP="00721646">
            <w:pPr>
              <w:spacing w:line="240" w:lineRule="auto"/>
              <w:jc w:val="center"/>
              <w:rPr>
                <w:sz w:val="18"/>
                <w:szCs w:val="18"/>
              </w:rPr>
            </w:pPr>
            <w:r w:rsidRPr="00581288">
              <w:rPr>
                <w:sz w:val="18"/>
                <w:szCs w:val="18"/>
              </w:rPr>
              <w:t>Specificity</w:t>
            </w:r>
          </w:p>
        </w:tc>
        <w:tc>
          <w:tcPr>
            <w:tcW w:w="798" w:type="dxa"/>
            <w:tcBorders>
              <w:bottom w:val="single" w:sz="4" w:space="0" w:color="auto"/>
            </w:tcBorders>
            <w:shd w:val="clear" w:color="auto" w:fill="auto"/>
            <w:noWrap/>
            <w:vAlign w:val="bottom"/>
            <w:hideMark/>
          </w:tcPr>
          <w:p w14:paraId="40C0611D" w14:textId="77777777" w:rsidR="00B132D6" w:rsidRPr="00581288" w:rsidRDefault="00B132D6" w:rsidP="00721646">
            <w:pPr>
              <w:spacing w:line="240" w:lineRule="auto"/>
              <w:jc w:val="center"/>
              <w:rPr>
                <w:sz w:val="18"/>
                <w:szCs w:val="18"/>
              </w:rPr>
            </w:pPr>
            <w:r w:rsidRPr="00581288">
              <w:rPr>
                <w:sz w:val="18"/>
                <w:szCs w:val="18"/>
              </w:rPr>
              <w:t>PPV</w:t>
            </w:r>
          </w:p>
        </w:tc>
        <w:tc>
          <w:tcPr>
            <w:tcW w:w="850" w:type="dxa"/>
            <w:tcBorders>
              <w:bottom w:val="single" w:sz="4" w:space="0" w:color="auto"/>
            </w:tcBorders>
            <w:shd w:val="clear" w:color="auto" w:fill="auto"/>
            <w:noWrap/>
            <w:vAlign w:val="bottom"/>
            <w:hideMark/>
          </w:tcPr>
          <w:p w14:paraId="2F5A6FE6" w14:textId="77777777" w:rsidR="00B132D6" w:rsidRPr="00581288" w:rsidRDefault="00B132D6" w:rsidP="00721646">
            <w:pPr>
              <w:spacing w:line="240" w:lineRule="auto"/>
              <w:jc w:val="center"/>
              <w:rPr>
                <w:sz w:val="18"/>
                <w:szCs w:val="18"/>
              </w:rPr>
            </w:pPr>
            <w:r w:rsidRPr="00581288">
              <w:rPr>
                <w:sz w:val="18"/>
                <w:szCs w:val="18"/>
              </w:rPr>
              <w:t>NPV</w:t>
            </w:r>
          </w:p>
        </w:tc>
        <w:tc>
          <w:tcPr>
            <w:tcW w:w="992" w:type="dxa"/>
            <w:tcBorders>
              <w:bottom w:val="single" w:sz="4" w:space="0" w:color="auto"/>
            </w:tcBorders>
            <w:shd w:val="clear" w:color="auto" w:fill="auto"/>
            <w:noWrap/>
            <w:vAlign w:val="bottom"/>
            <w:hideMark/>
          </w:tcPr>
          <w:p w14:paraId="3B83A6A4" w14:textId="77777777" w:rsidR="00B132D6" w:rsidRPr="00581288" w:rsidRDefault="00B132D6" w:rsidP="00721646">
            <w:pPr>
              <w:spacing w:line="240" w:lineRule="auto"/>
              <w:jc w:val="center"/>
              <w:rPr>
                <w:sz w:val="18"/>
                <w:szCs w:val="18"/>
              </w:rPr>
            </w:pPr>
            <w:r w:rsidRPr="00581288">
              <w:rPr>
                <w:sz w:val="18"/>
                <w:szCs w:val="18"/>
              </w:rPr>
              <w:t>Balanced accuracy</w:t>
            </w:r>
          </w:p>
        </w:tc>
        <w:tc>
          <w:tcPr>
            <w:tcW w:w="709" w:type="dxa"/>
            <w:tcBorders>
              <w:bottom w:val="single" w:sz="4" w:space="0" w:color="auto"/>
            </w:tcBorders>
            <w:shd w:val="clear" w:color="auto" w:fill="auto"/>
            <w:noWrap/>
            <w:vAlign w:val="bottom"/>
            <w:hideMark/>
          </w:tcPr>
          <w:p w14:paraId="449CC47C" w14:textId="77777777" w:rsidR="00B132D6" w:rsidRPr="00581288" w:rsidRDefault="00B132D6" w:rsidP="00721646">
            <w:pPr>
              <w:spacing w:line="240" w:lineRule="auto"/>
              <w:jc w:val="center"/>
              <w:rPr>
                <w:sz w:val="18"/>
                <w:szCs w:val="18"/>
              </w:rPr>
            </w:pPr>
            <w:r w:rsidRPr="00581288">
              <w:rPr>
                <w:sz w:val="18"/>
                <w:szCs w:val="18"/>
              </w:rPr>
              <w:t>AUC</w:t>
            </w:r>
          </w:p>
        </w:tc>
      </w:tr>
      <w:tr w:rsidR="00B132D6" w:rsidRPr="00581288" w14:paraId="01930276" w14:textId="77777777" w:rsidTr="00804970">
        <w:trPr>
          <w:trHeight w:val="405"/>
        </w:trPr>
        <w:tc>
          <w:tcPr>
            <w:tcW w:w="1108" w:type="dxa"/>
            <w:tcBorders>
              <w:top w:val="nil"/>
              <w:left w:val="nil"/>
              <w:bottom w:val="nil"/>
            </w:tcBorders>
            <w:shd w:val="clear" w:color="auto" w:fill="auto"/>
            <w:noWrap/>
            <w:vAlign w:val="bottom"/>
            <w:hideMark/>
          </w:tcPr>
          <w:p w14:paraId="765EBFA7" w14:textId="77777777" w:rsidR="00B132D6" w:rsidRPr="00581288" w:rsidRDefault="00B132D6" w:rsidP="00721646">
            <w:pPr>
              <w:spacing w:line="240" w:lineRule="auto"/>
              <w:jc w:val="center"/>
              <w:rPr>
                <w:sz w:val="18"/>
                <w:szCs w:val="18"/>
              </w:rPr>
            </w:pPr>
          </w:p>
        </w:tc>
        <w:tc>
          <w:tcPr>
            <w:tcW w:w="639" w:type="dxa"/>
            <w:tcBorders>
              <w:top w:val="single" w:sz="4" w:space="0" w:color="auto"/>
              <w:right w:val="single" w:sz="4" w:space="0" w:color="auto"/>
            </w:tcBorders>
            <w:shd w:val="clear" w:color="auto" w:fill="auto"/>
            <w:noWrap/>
            <w:vAlign w:val="bottom"/>
            <w:hideMark/>
          </w:tcPr>
          <w:p w14:paraId="2BEB653A" w14:textId="77777777" w:rsidR="00B132D6" w:rsidRPr="00581288" w:rsidRDefault="00B132D6" w:rsidP="00721646">
            <w:pPr>
              <w:spacing w:line="240" w:lineRule="auto"/>
              <w:rPr>
                <w:sz w:val="18"/>
                <w:szCs w:val="18"/>
              </w:rPr>
            </w:pPr>
            <w:r w:rsidRPr="00581288">
              <w:rPr>
                <w:sz w:val="18"/>
                <w:szCs w:val="18"/>
              </w:rPr>
              <w:t>Ref+</w:t>
            </w:r>
          </w:p>
        </w:tc>
        <w:tc>
          <w:tcPr>
            <w:tcW w:w="1088" w:type="dxa"/>
            <w:tcBorders>
              <w:top w:val="single" w:sz="4" w:space="0" w:color="auto"/>
              <w:left w:val="single" w:sz="4" w:space="0" w:color="auto"/>
              <w:bottom w:val="nil"/>
              <w:right w:val="nil"/>
            </w:tcBorders>
            <w:shd w:val="clear" w:color="auto" w:fill="auto"/>
            <w:noWrap/>
            <w:vAlign w:val="bottom"/>
            <w:hideMark/>
          </w:tcPr>
          <w:p w14:paraId="009729C8" w14:textId="0C3013DA" w:rsidR="00B132D6" w:rsidRPr="00581288" w:rsidRDefault="002E3799" w:rsidP="00721646">
            <w:pPr>
              <w:spacing w:line="240" w:lineRule="auto"/>
              <w:jc w:val="center"/>
              <w:rPr>
                <w:sz w:val="18"/>
                <w:szCs w:val="18"/>
              </w:rPr>
            </w:pPr>
            <w:r>
              <w:rPr>
                <w:sz w:val="18"/>
                <w:szCs w:val="18"/>
              </w:rPr>
              <w:t>6</w:t>
            </w:r>
            <w:r w:rsidR="00192B98">
              <w:rPr>
                <w:sz w:val="18"/>
                <w:szCs w:val="18"/>
              </w:rPr>
              <w:t>14</w:t>
            </w:r>
            <w:r w:rsidR="00B132D6" w:rsidRPr="00581288">
              <w:rPr>
                <w:sz w:val="18"/>
                <w:szCs w:val="18"/>
              </w:rPr>
              <w:t xml:space="preserve"> (7</w:t>
            </w:r>
            <w:r w:rsidR="00192B98">
              <w:rPr>
                <w:sz w:val="18"/>
                <w:szCs w:val="18"/>
              </w:rPr>
              <w:t>0</w:t>
            </w:r>
            <w:r w:rsidR="00B132D6" w:rsidRPr="00581288">
              <w:rPr>
                <w:sz w:val="18"/>
                <w:szCs w:val="18"/>
              </w:rPr>
              <w:t>%)</w:t>
            </w:r>
          </w:p>
        </w:tc>
        <w:tc>
          <w:tcPr>
            <w:tcW w:w="1276" w:type="dxa"/>
            <w:tcBorders>
              <w:top w:val="single" w:sz="4" w:space="0" w:color="auto"/>
              <w:left w:val="nil"/>
              <w:bottom w:val="nil"/>
              <w:right w:val="nil"/>
            </w:tcBorders>
            <w:shd w:val="clear" w:color="auto" w:fill="auto"/>
            <w:noWrap/>
            <w:vAlign w:val="bottom"/>
            <w:hideMark/>
          </w:tcPr>
          <w:p w14:paraId="422A8A9D" w14:textId="00C5BE79" w:rsidR="00B132D6" w:rsidRPr="00581288" w:rsidRDefault="002E3799" w:rsidP="00721646">
            <w:pPr>
              <w:spacing w:line="240" w:lineRule="auto"/>
              <w:jc w:val="center"/>
              <w:rPr>
                <w:sz w:val="18"/>
                <w:szCs w:val="18"/>
              </w:rPr>
            </w:pPr>
            <w:r>
              <w:rPr>
                <w:sz w:val="18"/>
                <w:szCs w:val="18"/>
              </w:rPr>
              <w:t>2</w:t>
            </w:r>
            <w:r w:rsidR="00192B98">
              <w:rPr>
                <w:sz w:val="18"/>
                <w:szCs w:val="18"/>
              </w:rPr>
              <w:t>5</w:t>
            </w:r>
            <w:r w:rsidR="00A34661">
              <w:rPr>
                <w:sz w:val="18"/>
                <w:szCs w:val="18"/>
              </w:rPr>
              <w:t>9</w:t>
            </w:r>
            <w:r w:rsidR="00B132D6" w:rsidRPr="00581288">
              <w:rPr>
                <w:sz w:val="18"/>
                <w:szCs w:val="18"/>
              </w:rPr>
              <w:t xml:space="preserve"> (</w:t>
            </w:r>
            <w:r w:rsidR="00192B98">
              <w:rPr>
                <w:sz w:val="18"/>
                <w:szCs w:val="18"/>
              </w:rPr>
              <w:t>30</w:t>
            </w:r>
            <w:r w:rsidR="00B132D6" w:rsidRPr="00581288">
              <w:rPr>
                <w:sz w:val="18"/>
                <w:szCs w:val="18"/>
              </w:rPr>
              <w:t>%)</w:t>
            </w:r>
          </w:p>
        </w:tc>
        <w:tc>
          <w:tcPr>
            <w:tcW w:w="1275" w:type="dxa"/>
            <w:tcBorders>
              <w:top w:val="single" w:sz="4" w:space="0" w:color="auto"/>
              <w:left w:val="nil"/>
              <w:bottom w:val="nil"/>
              <w:right w:val="nil"/>
            </w:tcBorders>
            <w:shd w:val="clear" w:color="auto" w:fill="auto"/>
            <w:noWrap/>
            <w:vAlign w:val="bottom"/>
            <w:hideMark/>
          </w:tcPr>
          <w:p w14:paraId="75148246" w14:textId="3D28C627" w:rsidR="00B132D6" w:rsidRPr="00581288" w:rsidRDefault="002E3799" w:rsidP="00721646">
            <w:pPr>
              <w:spacing w:line="240" w:lineRule="auto"/>
              <w:jc w:val="center"/>
              <w:rPr>
                <w:sz w:val="18"/>
                <w:szCs w:val="18"/>
              </w:rPr>
            </w:pPr>
            <w:r>
              <w:rPr>
                <w:sz w:val="18"/>
                <w:szCs w:val="18"/>
              </w:rPr>
              <w:t>8</w:t>
            </w:r>
            <w:r w:rsidR="00192B98">
              <w:rPr>
                <w:sz w:val="18"/>
                <w:szCs w:val="18"/>
              </w:rPr>
              <w:t>73</w:t>
            </w:r>
            <w:r w:rsidR="00B132D6" w:rsidRPr="00581288">
              <w:rPr>
                <w:sz w:val="18"/>
                <w:szCs w:val="18"/>
              </w:rPr>
              <w:t xml:space="preserve"> (100%)</w:t>
            </w:r>
          </w:p>
        </w:tc>
        <w:tc>
          <w:tcPr>
            <w:tcW w:w="425" w:type="dxa"/>
            <w:tcBorders>
              <w:left w:val="nil"/>
              <w:bottom w:val="nil"/>
              <w:right w:val="nil"/>
            </w:tcBorders>
            <w:shd w:val="clear" w:color="auto" w:fill="auto"/>
            <w:noWrap/>
            <w:vAlign w:val="bottom"/>
            <w:hideMark/>
          </w:tcPr>
          <w:p w14:paraId="2ED6A98C" w14:textId="77777777" w:rsidR="00B132D6" w:rsidRPr="00581288" w:rsidRDefault="00B132D6" w:rsidP="00721646">
            <w:pPr>
              <w:spacing w:line="240" w:lineRule="auto"/>
              <w:jc w:val="center"/>
              <w:rPr>
                <w:sz w:val="18"/>
                <w:szCs w:val="18"/>
              </w:rPr>
            </w:pPr>
          </w:p>
        </w:tc>
        <w:tc>
          <w:tcPr>
            <w:tcW w:w="906" w:type="dxa"/>
            <w:tcBorders>
              <w:top w:val="single" w:sz="4" w:space="0" w:color="auto"/>
              <w:left w:val="nil"/>
              <w:bottom w:val="nil"/>
              <w:right w:val="nil"/>
            </w:tcBorders>
            <w:shd w:val="clear" w:color="auto" w:fill="auto"/>
            <w:noWrap/>
            <w:vAlign w:val="bottom"/>
            <w:hideMark/>
          </w:tcPr>
          <w:p w14:paraId="7C332BE9" w14:textId="6046A7B9" w:rsidR="00B132D6" w:rsidRPr="00581288" w:rsidRDefault="00B132D6" w:rsidP="00721646">
            <w:pPr>
              <w:spacing w:line="240" w:lineRule="auto"/>
              <w:jc w:val="center"/>
              <w:rPr>
                <w:sz w:val="18"/>
                <w:szCs w:val="18"/>
              </w:rPr>
            </w:pPr>
            <w:r w:rsidRPr="00581288">
              <w:rPr>
                <w:sz w:val="18"/>
                <w:szCs w:val="18"/>
              </w:rPr>
              <w:t>0.</w:t>
            </w:r>
            <w:r w:rsidR="002E3799">
              <w:rPr>
                <w:sz w:val="18"/>
                <w:szCs w:val="18"/>
              </w:rPr>
              <w:t>89</w:t>
            </w:r>
          </w:p>
        </w:tc>
        <w:tc>
          <w:tcPr>
            <w:tcW w:w="987" w:type="dxa"/>
            <w:tcBorders>
              <w:top w:val="single" w:sz="4" w:space="0" w:color="auto"/>
              <w:left w:val="nil"/>
              <w:bottom w:val="nil"/>
              <w:right w:val="nil"/>
            </w:tcBorders>
            <w:shd w:val="clear" w:color="auto" w:fill="auto"/>
            <w:noWrap/>
            <w:vAlign w:val="bottom"/>
            <w:hideMark/>
          </w:tcPr>
          <w:p w14:paraId="5228717F" w14:textId="5CF40F65" w:rsidR="00B132D6" w:rsidRPr="00581288" w:rsidRDefault="00B132D6" w:rsidP="00721646">
            <w:pPr>
              <w:spacing w:line="240" w:lineRule="auto"/>
              <w:jc w:val="center"/>
              <w:rPr>
                <w:sz w:val="18"/>
                <w:szCs w:val="18"/>
              </w:rPr>
            </w:pPr>
            <w:r w:rsidRPr="00581288">
              <w:rPr>
                <w:sz w:val="18"/>
                <w:szCs w:val="18"/>
              </w:rPr>
              <w:t>0.7</w:t>
            </w:r>
            <w:r w:rsidR="00192B98">
              <w:rPr>
                <w:sz w:val="18"/>
                <w:szCs w:val="18"/>
              </w:rPr>
              <w:t>0</w:t>
            </w:r>
          </w:p>
        </w:tc>
        <w:tc>
          <w:tcPr>
            <w:tcW w:w="996" w:type="dxa"/>
            <w:tcBorders>
              <w:top w:val="single" w:sz="4" w:space="0" w:color="auto"/>
              <w:left w:val="nil"/>
              <w:bottom w:val="nil"/>
              <w:right w:val="nil"/>
            </w:tcBorders>
            <w:shd w:val="clear" w:color="auto" w:fill="auto"/>
            <w:noWrap/>
            <w:vAlign w:val="bottom"/>
            <w:hideMark/>
          </w:tcPr>
          <w:p w14:paraId="7496E5AF" w14:textId="78F0545B" w:rsidR="00B132D6" w:rsidRPr="00581288" w:rsidRDefault="00B132D6" w:rsidP="00721646">
            <w:pPr>
              <w:spacing w:line="240" w:lineRule="auto"/>
              <w:jc w:val="center"/>
              <w:rPr>
                <w:sz w:val="18"/>
                <w:szCs w:val="18"/>
              </w:rPr>
            </w:pPr>
            <w:r w:rsidRPr="00581288">
              <w:rPr>
                <w:sz w:val="18"/>
                <w:szCs w:val="18"/>
              </w:rPr>
              <w:t>0.9</w:t>
            </w:r>
            <w:r w:rsidR="002E3799">
              <w:rPr>
                <w:sz w:val="18"/>
                <w:szCs w:val="18"/>
              </w:rPr>
              <w:t>3</w:t>
            </w:r>
          </w:p>
        </w:tc>
        <w:tc>
          <w:tcPr>
            <w:tcW w:w="798" w:type="dxa"/>
            <w:tcBorders>
              <w:top w:val="single" w:sz="4" w:space="0" w:color="auto"/>
              <w:left w:val="nil"/>
              <w:bottom w:val="nil"/>
              <w:right w:val="nil"/>
            </w:tcBorders>
            <w:shd w:val="clear" w:color="auto" w:fill="auto"/>
            <w:noWrap/>
            <w:vAlign w:val="bottom"/>
            <w:hideMark/>
          </w:tcPr>
          <w:p w14:paraId="5BF64E87" w14:textId="783B952F" w:rsidR="00B132D6" w:rsidRPr="00581288" w:rsidRDefault="00B132D6" w:rsidP="00721646">
            <w:pPr>
              <w:spacing w:line="240" w:lineRule="auto"/>
              <w:jc w:val="center"/>
              <w:rPr>
                <w:sz w:val="18"/>
                <w:szCs w:val="18"/>
              </w:rPr>
            </w:pPr>
            <w:r w:rsidRPr="00581288">
              <w:rPr>
                <w:sz w:val="18"/>
                <w:szCs w:val="18"/>
              </w:rPr>
              <w:t>0.7</w:t>
            </w:r>
            <w:r w:rsidR="002E3799">
              <w:rPr>
                <w:sz w:val="18"/>
                <w:szCs w:val="18"/>
              </w:rPr>
              <w:t>4</w:t>
            </w:r>
          </w:p>
        </w:tc>
        <w:tc>
          <w:tcPr>
            <w:tcW w:w="850" w:type="dxa"/>
            <w:tcBorders>
              <w:top w:val="single" w:sz="4" w:space="0" w:color="auto"/>
              <w:left w:val="nil"/>
              <w:bottom w:val="nil"/>
              <w:right w:val="nil"/>
            </w:tcBorders>
            <w:shd w:val="clear" w:color="auto" w:fill="auto"/>
            <w:noWrap/>
            <w:vAlign w:val="bottom"/>
            <w:hideMark/>
          </w:tcPr>
          <w:p w14:paraId="132F76E0" w14:textId="20D71606" w:rsidR="00B132D6" w:rsidRPr="00581288" w:rsidRDefault="00B132D6" w:rsidP="00721646">
            <w:pPr>
              <w:spacing w:line="240" w:lineRule="auto"/>
              <w:jc w:val="center"/>
              <w:rPr>
                <w:sz w:val="18"/>
                <w:szCs w:val="18"/>
              </w:rPr>
            </w:pPr>
            <w:r w:rsidRPr="00581288">
              <w:rPr>
                <w:sz w:val="18"/>
                <w:szCs w:val="18"/>
              </w:rPr>
              <w:t>0.9</w:t>
            </w:r>
            <w:r w:rsidR="00192B98">
              <w:rPr>
                <w:sz w:val="18"/>
                <w:szCs w:val="18"/>
              </w:rPr>
              <w:t>2</w:t>
            </w:r>
          </w:p>
        </w:tc>
        <w:tc>
          <w:tcPr>
            <w:tcW w:w="992" w:type="dxa"/>
            <w:tcBorders>
              <w:top w:val="single" w:sz="4" w:space="0" w:color="auto"/>
              <w:left w:val="nil"/>
              <w:bottom w:val="nil"/>
              <w:right w:val="nil"/>
            </w:tcBorders>
            <w:shd w:val="clear" w:color="auto" w:fill="auto"/>
            <w:noWrap/>
            <w:vAlign w:val="bottom"/>
            <w:hideMark/>
          </w:tcPr>
          <w:p w14:paraId="1EF01D15" w14:textId="76C4A1D5" w:rsidR="00B132D6" w:rsidRPr="00581288" w:rsidRDefault="00B132D6" w:rsidP="00721646">
            <w:pPr>
              <w:spacing w:line="240" w:lineRule="auto"/>
              <w:jc w:val="center"/>
              <w:rPr>
                <w:sz w:val="18"/>
                <w:szCs w:val="18"/>
              </w:rPr>
            </w:pPr>
            <w:r w:rsidRPr="00581288">
              <w:rPr>
                <w:sz w:val="18"/>
                <w:szCs w:val="18"/>
              </w:rPr>
              <w:t>0.8</w:t>
            </w:r>
            <w:r w:rsidR="00192B98">
              <w:rPr>
                <w:sz w:val="18"/>
                <w:szCs w:val="18"/>
              </w:rPr>
              <w:t>2</w:t>
            </w:r>
          </w:p>
        </w:tc>
        <w:tc>
          <w:tcPr>
            <w:tcW w:w="709" w:type="dxa"/>
            <w:tcBorders>
              <w:top w:val="single" w:sz="4" w:space="0" w:color="auto"/>
              <w:left w:val="nil"/>
              <w:bottom w:val="nil"/>
              <w:right w:val="nil"/>
            </w:tcBorders>
            <w:shd w:val="clear" w:color="auto" w:fill="auto"/>
            <w:noWrap/>
            <w:vAlign w:val="bottom"/>
            <w:hideMark/>
          </w:tcPr>
          <w:p w14:paraId="7C9880D2" w14:textId="708158B2" w:rsidR="00B132D6" w:rsidRPr="00581288" w:rsidRDefault="00B132D6" w:rsidP="00721646">
            <w:pPr>
              <w:spacing w:line="240" w:lineRule="auto"/>
              <w:jc w:val="center"/>
              <w:rPr>
                <w:sz w:val="18"/>
                <w:szCs w:val="18"/>
              </w:rPr>
            </w:pPr>
            <w:r w:rsidRPr="00581288">
              <w:rPr>
                <w:sz w:val="18"/>
                <w:szCs w:val="18"/>
              </w:rPr>
              <w:t>0.8</w:t>
            </w:r>
            <w:r w:rsidR="00192B98">
              <w:rPr>
                <w:sz w:val="18"/>
                <w:szCs w:val="18"/>
              </w:rPr>
              <w:t>3</w:t>
            </w:r>
          </w:p>
        </w:tc>
      </w:tr>
      <w:tr w:rsidR="00B132D6" w:rsidRPr="00581288" w14:paraId="22C5C13A" w14:textId="77777777" w:rsidTr="00804970">
        <w:trPr>
          <w:trHeight w:val="405"/>
        </w:trPr>
        <w:tc>
          <w:tcPr>
            <w:tcW w:w="1108" w:type="dxa"/>
            <w:tcBorders>
              <w:top w:val="nil"/>
              <w:left w:val="nil"/>
              <w:bottom w:val="nil"/>
            </w:tcBorders>
            <w:shd w:val="clear" w:color="auto" w:fill="auto"/>
            <w:noWrap/>
            <w:vAlign w:val="bottom"/>
            <w:hideMark/>
          </w:tcPr>
          <w:p w14:paraId="7FD21A3E" w14:textId="77777777" w:rsidR="00B132D6" w:rsidRPr="00581288" w:rsidRDefault="00B132D6" w:rsidP="00721646">
            <w:pPr>
              <w:spacing w:line="240" w:lineRule="auto"/>
              <w:jc w:val="center"/>
              <w:rPr>
                <w:sz w:val="18"/>
                <w:szCs w:val="18"/>
              </w:rPr>
            </w:pPr>
          </w:p>
        </w:tc>
        <w:tc>
          <w:tcPr>
            <w:tcW w:w="639" w:type="dxa"/>
            <w:tcBorders>
              <w:top w:val="nil"/>
              <w:right w:val="single" w:sz="4" w:space="0" w:color="auto"/>
            </w:tcBorders>
            <w:shd w:val="clear" w:color="auto" w:fill="auto"/>
            <w:noWrap/>
            <w:vAlign w:val="bottom"/>
            <w:hideMark/>
          </w:tcPr>
          <w:p w14:paraId="3A45B143" w14:textId="77777777" w:rsidR="00B132D6" w:rsidRPr="00581288" w:rsidRDefault="00B132D6" w:rsidP="00721646">
            <w:pPr>
              <w:spacing w:line="240" w:lineRule="auto"/>
              <w:rPr>
                <w:sz w:val="18"/>
                <w:szCs w:val="18"/>
              </w:rPr>
            </w:pPr>
            <w:r w:rsidRPr="00581288">
              <w:rPr>
                <w:sz w:val="18"/>
                <w:szCs w:val="18"/>
              </w:rPr>
              <w:t>Ref-</w:t>
            </w:r>
          </w:p>
        </w:tc>
        <w:tc>
          <w:tcPr>
            <w:tcW w:w="1088" w:type="dxa"/>
            <w:tcBorders>
              <w:top w:val="nil"/>
              <w:left w:val="single" w:sz="4" w:space="0" w:color="auto"/>
              <w:bottom w:val="nil"/>
              <w:right w:val="nil"/>
            </w:tcBorders>
            <w:shd w:val="clear" w:color="auto" w:fill="auto"/>
            <w:noWrap/>
            <w:vAlign w:val="bottom"/>
            <w:hideMark/>
          </w:tcPr>
          <w:p w14:paraId="1EAE3C92" w14:textId="548F0335" w:rsidR="00B132D6" w:rsidRPr="00581288" w:rsidRDefault="002E3799" w:rsidP="00721646">
            <w:pPr>
              <w:spacing w:line="240" w:lineRule="auto"/>
              <w:jc w:val="center"/>
              <w:rPr>
                <w:sz w:val="18"/>
                <w:szCs w:val="18"/>
              </w:rPr>
            </w:pPr>
            <w:r>
              <w:rPr>
                <w:sz w:val="18"/>
                <w:szCs w:val="18"/>
              </w:rPr>
              <w:t>2</w:t>
            </w:r>
            <w:r w:rsidR="00192B98">
              <w:rPr>
                <w:sz w:val="18"/>
                <w:szCs w:val="18"/>
              </w:rPr>
              <w:t>14</w:t>
            </w:r>
            <w:r w:rsidR="00B132D6" w:rsidRPr="00581288">
              <w:rPr>
                <w:sz w:val="18"/>
                <w:szCs w:val="18"/>
              </w:rPr>
              <w:t xml:space="preserve"> (</w:t>
            </w:r>
            <w:r w:rsidR="004346AA">
              <w:rPr>
                <w:sz w:val="18"/>
                <w:szCs w:val="18"/>
              </w:rPr>
              <w:t>7</w:t>
            </w:r>
            <w:r w:rsidR="00B132D6" w:rsidRPr="00581288">
              <w:rPr>
                <w:sz w:val="18"/>
                <w:szCs w:val="18"/>
              </w:rPr>
              <w:t>%)</w:t>
            </w:r>
          </w:p>
        </w:tc>
        <w:tc>
          <w:tcPr>
            <w:tcW w:w="1276" w:type="dxa"/>
            <w:tcBorders>
              <w:top w:val="nil"/>
              <w:left w:val="nil"/>
              <w:bottom w:val="nil"/>
              <w:right w:val="nil"/>
            </w:tcBorders>
            <w:shd w:val="clear" w:color="auto" w:fill="auto"/>
            <w:noWrap/>
            <w:vAlign w:val="bottom"/>
            <w:hideMark/>
          </w:tcPr>
          <w:p w14:paraId="1D566FBA" w14:textId="5FAE6211" w:rsidR="00B132D6" w:rsidRPr="00581288" w:rsidRDefault="002E3799" w:rsidP="00721646">
            <w:pPr>
              <w:spacing w:line="240" w:lineRule="auto"/>
              <w:jc w:val="center"/>
              <w:rPr>
                <w:sz w:val="18"/>
                <w:szCs w:val="18"/>
              </w:rPr>
            </w:pPr>
            <w:r>
              <w:rPr>
                <w:sz w:val="18"/>
                <w:szCs w:val="18"/>
              </w:rPr>
              <w:t>3 0</w:t>
            </w:r>
            <w:r w:rsidR="00192B98">
              <w:rPr>
                <w:sz w:val="18"/>
                <w:szCs w:val="18"/>
              </w:rPr>
              <w:t>66</w:t>
            </w:r>
            <w:r w:rsidR="00B132D6" w:rsidRPr="00581288">
              <w:rPr>
                <w:sz w:val="18"/>
                <w:szCs w:val="18"/>
              </w:rPr>
              <w:t xml:space="preserve"> (9</w:t>
            </w:r>
            <w:r w:rsidR="004346AA">
              <w:rPr>
                <w:sz w:val="18"/>
                <w:szCs w:val="18"/>
              </w:rPr>
              <w:t>3</w:t>
            </w:r>
            <w:r w:rsidR="00B132D6" w:rsidRPr="00581288">
              <w:rPr>
                <w:sz w:val="18"/>
                <w:szCs w:val="18"/>
              </w:rPr>
              <w:t>%)</w:t>
            </w:r>
          </w:p>
        </w:tc>
        <w:tc>
          <w:tcPr>
            <w:tcW w:w="1275" w:type="dxa"/>
            <w:tcBorders>
              <w:top w:val="nil"/>
              <w:left w:val="nil"/>
              <w:bottom w:val="nil"/>
              <w:right w:val="nil"/>
            </w:tcBorders>
            <w:shd w:val="clear" w:color="auto" w:fill="auto"/>
            <w:noWrap/>
            <w:vAlign w:val="bottom"/>
            <w:hideMark/>
          </w:tcPr>
          <w:p w14:paraId="1808FF60" w14:textId="39279BEC" w:rsidR="00B132D6" w:rsidRPr="00581288" w:rsidRDefault="002E3799" w:rsidP="00721646">
            <w:pPr>
              <w:spacing w:line="240" w:lineRule="auto"/>
              <w:jc w:val="center"/>
              <w:rPr>
                <w:sz w:val="18"/>
                <w:szCs w:val="18"/>
              </w:rPr>
            </w:pPr>
            <w:r>
              <w:rPr>
                <w:sz w:val="18"/>
                <w:szCs w:val="18"/>
              </w:rPr>
              <w:t xml:space="preserve">3 </w:t>
            </w:r>
            <w:r w:rsidR="00192B98">
              <w:rPr>
                <w:sz w:val="18"/>
                <w:szCs w:val="18"/>
              </w:rPr>
              <w:t>280</w:t>
            </w:r>
            <w:r w:rsidR="00B132D6" w:rsidRPr="00581288">
              <w:rPr>
                <w:sz w:val="18"/>
                <w:szCs w:val="18"/>
              </w:rPr>
              <w:t xml:space="preserve"> (100%)</w:t>
            </w:r>
          </w:p>
        </w:tc>
        <w:tc>
          <w:tcPr>
            <w:tcW w:w="425" w:type="dxa"/>
            <w:tcBorders>
              <w:top w:val="nil"/>
              <w:left w:val="nil"/>
              <w:bottom w:val="nil"/>
              <w:right w:val="nil"/>
            </w:tcBorders>
            <w:shd w:val="clear" w:color="auto" w:fill="auto"/>
            <w:noWrap/>
            <w:vAlign w:val="bottom"/>
            <w:hideMark/>
          </w:tcPr>
          <w:p w14:paraId="2C39C052" w14:textId="77777777" w:rsidR="00B132D6" w:rsidRPr="00581288" w:rsidRDefault="00B132D6" w:rsidP="00721646">
            <w:pPr>
              <w:spacing w:line="240" w:lineRule="auto"/>
              <w:jc w:val="center"/>
              <w:rPr>
                <w:sz w:val="18"/>
                <w:szCs w:val="18"/>
              </w:rPr>
            </w:pPr>
          </w:p>
        </w:tc>
        <w:tc>
          <w:tcPr>
            <w:tcW w:w="906" w:type="dxa"/>
            <w:tcBorders>
              <w:top w:val="nil"/>
              <w:left w:val="nil"/>
              <w:bottom w:val="nil"/>
              <w:right w:val="nil"/>
            </w:tcBorders>
            <w:shd w:val="clear" w:color="auto" w:fill="auto"/>
            <w:noWrap/>
            <w:vAlign w:val="bottom"/>
            <w:hideMark/>
          </w:tcPr>
          <w:p w14:paraId="3E93D757" w14:textId="77777777" w:rsidR="00B132D6" w:rsidRPr="00581288" w:rsidRDefault="00B132D6" w:rsidP="00721646">
            <w:pPr>
              <w:spacing w:line="240" w:lineRule="auto"/>
              <w:rPr>
                <w:sz w:val="18"/>
                <w:szCs w:val="18"/>
              </w:rPr>
            </w:pPr>
          </w:p>
        </w:tc>
        <w:tc>
          <w:tcPr>
            <w:tcW w:w="987" w:type="dxa"/>
            <w:tcBorders>
              <w:top w:val="nil"/>
              <w:left w:val="nil"/>
              <w:bottom w:val="nil"/>
              <w:right w:val="nil"/>
            </w:tcBorders>
            <w:shd w:val="clear" w:color="auto" w:fill="auto"/>
            <w:noWrap/>
            <w:vAlign w:val="bottom"/>
            <w:hideMark/>
          </w:tcPr>
          <w:p w14:paraId="48B8FE5F" w14:textId="77777777" w:rsidR="00B132D6" w:rsidRPr="00581288" w:rsidRDefault="00B132D6" w:rsidP="00721646">
            <w:pPr>
              <w:spacing w:line="240" w:lineRule="auto"/>
              <w:rPr>
                <w:sz w:val="18"/>
                <w:szCs w:val="18"/>
              </w:rPr>
            </w:pPr>
          </w:p>
        </w:tc>
        <w:tc>
          <w:tcPr>
            <w:tcW w:w="996" w:type="dxa"/>
            <w:tcBorders>
              <w:top w:val="nil"/>
              <w:left w:val="nil"/>
              <w:bottom w:val="nil"/>
              <w:right w:val="nil"/>
            </w:tcBorders>
            <w:shd w:val="clear" w:color="auto" w:fill="auto"/>
            <w:noWrap/>
            <w:vAlign w:val="bottom"/>
            <w:hideMark/>
          </w:tcPr>
          <w:p w14:paraId="7C034D36" w14:textId="77777777" w:rsidR="00B132D6" w:rsidRPr="00581288" w:rsidRDefault="00B132D6" w:rsidP="00721646">
            <w:pPr>
              <w:spacing w:line="240" w:lineRule="auto"/>
              <w:rPr>
                <w:sz w:val="18"/>
                <w:szCs w:val="18"/>
              </w:rPr>
            </w:pPr>
          </w:p>
        </w:tc>
        <w:tc>
          <w:tcPr>
            <w:tcW w:w="798" w:type="dxa"/>
            <w:tcBorders>
              <w:top w:val="nil"/>
              <w:left w:val="nil"/>
              <w:bottom w:val="nil"/>
              <w:right w:val="nil"/>
            </w:tcBorders>
            <w:shd w:val="clear" w:color="auto" w:fill="auto"/>
            <w:noWrap/>
            <w:vAlign w:val="bottom"/>
            <w:hideMark/>
          </w:tcPr>
          <w:p w14:paraId="25B6147E" w14:textId="77777777" w:rsidR="00B132D6" w:rsidRPr="00581288" w:rsidRDefault="00B132D6" w:rsidP="00721646">
            <w:pPr>
              <w:spacing w:line="240" w:lineRule="auto"/>
              <w:rPr>
                <w:sz w:val="18"/>
                <w:szCs w:val="18"/>
              </w:rPr>
            </w:pPr>
          </w:p>
        </w:tc>
        <w:tc>
          <w:tcPr>
            <w:tcW w:w="850" w:type="dxa"/>
            <w:tcBorders>
              <w:top w:val="nil"/>
              <w:left w:val="nil"/>
              <w:bottom w:val="nil"/>
              <w:right w:val="nil"/>
            </w:tcBorders>
            <w:shd w:val="clear" w:color="auto" w:fill="auto"/>
            <w:noWrap/>
            <w:vAlign w:val="bottom"/>
            <w:hideMark/>
          </w:tcPr>
          <w:p w14:paraId="553CF39F" w14:textId="77777777" w:rsidR="00B132D6" w:rsidRPr="00581288" w:rsidRDefault="00B132D6" w:rsidP="00721646">
            <w:pPr>
              <w:spacing w:line="240" w:lineRule="auto"/>
              <w:rPr>
                <w:sz w:val="18"/>
                <w:szCs w:val="18"/>
              </w:rPr>
            </w:pPr>
          </w:p>
        </w:tc>
        <w:tc>
          <w:tcPr>
            <w:tcW w:w="992" w:type="dxa"/>
            <w:tcBorders>
              <w:top w:val="nil"/>
              <w:left w:val="nil"/>
              <w:bottom w:val="nil"/>
              <w:right w:val="nil"/>
            </w:tcBorders>
            <w:shd w:val="clear" w:color="auto" w:fill="auto"/>
            <w:noWrap/>
            <w:vAlign w:val="bottom"/>
            <w:hideMark/>
          </w:tcPr>
          <w:p w14:paraId="1E5B1067" w14:textId="77777777" w:rsidR="00B132D6" w:rsidRPr="00581288" w:rsidRDefault="00B132D6" w:rsidP="00721646">
            <w:pPr>
              <w:spacing w:line="240" w:lineRule="auto"/>
              <w:rPr>
                <w:sz w:val="18"/>
                <w:szCs w:val="18"/>
              </w:rPr>
            </w:pPr>
          </w:p>
        </w:tc>
        <w:tc>
          <w:tcPr>
            <w:tcW w:w="709" w:type="dxa"/>
            <w:tcBorders>
              <w:top w:val="nil"/>
              <w:left w:val="nil"/>
              <w:bottom w:val="nil"/>
              <w:right w:val="nil"/>
            </w:tcBorders>
            <w:shd w:val="clear" w:color="auto" w:fill="auto"/>
            <w:noWrap/>
            <w:vAlign w:val="bottom"/>
            <w:hideMark/>
          </w:tcPr>
          <w:p w14:paraId="2690F9A4" w14:textId="77777777" w:rsidR="00B132D6" w:rsidRPr="00581288" w:rsidRDefault="00B132D6" w:rsidP="00721646">
            <w:pPr>
              <w:spacing w:line="240" w:lineRule="auto"/>
              <w:rPr>
                <w:sz w:val="18"/>
                <w:szCs w:val="18"/>
              </w:rPr>
            </w:pPr>
          </w:p>
        </w:tc>
      </w:tr>
      <w:tr w:rsidR="00B132D6" w:rsidRPr="00581288" w14:paraId="6CAAC3C7" w14:textId="77777777" w:rsidTr="00804970">
        <w:trPr>
          <w:trHeight w:val="405"/>
        </w:trPr>
        <w:tc>
          <w:tcPr>
            <w:tcW w:w="1108" w:type="dxa"/>
            <w:tcBorders>
              <w:top w:val="nil"/>
              <w:left w:val="nil"/>
              <w:bottom w:val="nil"/>
            </w:tcBorders>
            <w:shd w:val="clear" w:color="auto" w:fill="auto"/>
            <w:noWrap/>
            <w:vAlign w:val="bottom"/>
            <w:hideMark/>
          </w:tcPr>
          <w:p w14:paraId="17928DD6" w14:textId="77777777" w:rsidR="00B132D6" w:rsidRPr="00581288" w:rsidRDefault="00B132D6" w:rsidP="00721646">
            <w:pPr>
              <w:spacing w:line="240" w:lineRule="auto"/>
              <w:rPr>
                <w:sz w:val="18"/>
                <w:szCs w:val="18"/>
              </w:rPr>
            </w:pPr>
          </w:p>
        </w:tc>
        <w:tc>
          <w:tcPr>
            <w:tcW w:w="639" w:type="dxa"/>
            <w:tcBorders>
              <w:top w:val="nil"/>
              <w:right w:val="single" w:sz="4" w:space="0" w:color="auto"/>
            </w:tcBorders>
            <w:shd w:val="clear" w:color="auto" w:fill="auto"/>
            <w:noWrap/>
            <w:vAlign w:val="bottom"/>
            <w:hideMark/>
          </w:tcPr>
          <w:p w14:paraId="6C581452" w14:textId="77777777" w:rsidR="00B132D6" w:rsidRPr="00581288" w:rsidRDefault="00B132D6" w:rsidP="00721646">
            <w:pPr>
              <w:spacing w:line="240" w:lineRule="auto"/>
              <w:rPr>
                <w:sz w:val="18"/>
                <w:szCs w:val="18"/>
              </w:rPr>
            </w:pPr>
            <w:r w:rsidRPr="00581288">
              <w:rPr>
                <w:sz w:val="18"/>
                <w:szCs w:val="18"/>
              </w:rPr>
              <w:t>Total</w:t>
            </w:r>
          </w:p>
        </w:tc>
        <w:tc>
          <w:tcPr>
            <w:tcW w:w="1088" w:type="dxa"/>
            <w:tcBorders>
              <w:top w:val="nil"/>
              <w:left w:val="single" w:sz="4" w:space="0" w:color="auto"/>
              <w:bottom w:val="nil"/>
              <w:right w:val="nil"/>
            </w:tcBorders>
            <w:shd w:val="clear" w:color="auto" w:fill="auto"/>
            <w:noWrap/>
            <w:vAlign w:val="bottom"/>
            <w:hideMark/>
          </w:tcPr>
          <w:p w14:paraId="0A1075DE" w14:textId="6513B5B0" w:rsidR="00B132D6" w:rsidRPr="00581288" w:rsidRDefault="002E3799" w:rsidP="00721646">
            <w:pPr>
              <w:spacing w:line="240" w:lineRule="auto"/>
              <w:jc w:val="center"/>
              <w:rPr>
                <w:sz w:val="18"/>
                <w:szCs w:val="18"/>
              </w:rPr>
            </w:pPr>
            <w:r>
              <w:rPr>
                <w:sz w:val="18"/>
                <w:szCs w:val="18"/>
              </w:rPr>
              <w:t>8</w:t>
            </w:r>
            <w:r w:rsidR="00192B98">
              <w:rPr>
                <w:sz w:val="18"/>
                <w:szCs w:val="18"/>
              </w:rPr>
              <w:t>28</w:t>
            </w:r>
            <w:r w:rsidR="00B132D6" w:rsidRPr="00581288">
              <w:rPr>
                <w:sz w:val="18"/>
                <w:szCs w:val="18"/>
              </w:rPr>
              <w:t xml:space="preserve"> (2</w:t>
            </w:r>
            <w:r w:rsidR="00192B98">
              <w:rPr>
                <w:sz w:val="18"/>
                <w:szCs w:val="18"/>
              </w:rPr>
              <w:t>0</w:t>
            </w:r>
            <w:r w:rsidR="00B132D6" w:rsidRPr="00581288">
              <w:rPr>
                <w:sz w:val="18"/>
                <w:szCs w:val="18"/>
              </w:rPr>
              <w:t>%)</w:t>
            </w:r>
          </w:p>
        </w:tc>
        <w:tc>
          <w:tcPr>
            <w:tcW w:w="1276" w:type="dxa"/>
            <w:tcBorders>
              <w:top w:val="nil"/>
              <w:left w:val="nil"/>
              <w:bottom w:val="nil"/>
              <w:right w:val="nil"/>
            </w:tcBorders>
            <w:shd w:val="clear" w:color="auto" w:fill="auto"/>
            <w:noWrap/>
            <w:vAlign w:val="bottom"/>
            <w:hideMark/>
          </w:tcPr>
          <w:p w14:paraId="348684AA" w14:textId="3FB54D8F" w:rsidR="00B132D6" w:rsidRPr="00581288" w:rsidRDefault="002E3799" w:rsidP="00721646">
            <w:pPr>
              <w:spacing w:line="240" w:lineRule="auto"/>
              <w:jc w:val="center"/>
              <w:rPr>
                <w:sz w:val="18"/>
                <w:szCs w:val="18"/>
              </w:rPr>
            </w:pPr>
            <w:r>
              <w:rPr>
                <w:sz w:val="18"/>
                <w:szCs w:val="18"/>
              </w:rPr>
              <w:t xml:space="preserve">3 </w:t>
            </w:r>
            <w:r w:rsidR="00192B98">
              <w:rPr>
                <w:sz w:val="18"/>
                <w:szCs w:val="18"/>
              </w:rPr>
              <w:t>325</w:t>
            </w:r>
            <w:r w:rsidR="00B132D6" w:rsidRPr="00581288">
              <w:rPr>
                <w:sz w:val="18"/>
                <w:szCs w:val="18"/>
              </w:rPr>
              <w:t xml:space="preserve"> (</w:t>
            </w:r>
            <w:r w:rsidR="00192B98">
              <w:rPr>
                <w:sz w:val="18"/>
                <w:szCs w:val="18"/>
              </w:rPr>
              <w:t>80</w:t>
            </w:r>
            <w:r w:rsidR="00B132D6" w:rsidRPr="00581288">
              <w:rPr>
                <w:sz w:val="18"/>
                <w:szCs w:val="18"/>
              </w:rPr>
              <w:t>%)</w:t>
            </w:r>
          </w:p>
        </w:tc>
        <w:tc>
          <w:tcPr>
            <w:tcW w:w="1275" w:type="dxa"/>
            <w:tcBorders>
              <w:top w:val="nil"/>
              <w:left w:val="nil"/>
              <w:bottom w:val="nil"/>
              <w:right w:val="nil"/>
            </w:tcBorders>
            <w:shd w:val="clear" w:color="auto" w:fill="auto"/>
            <w:noWrap/>
            <w:vAlign w:val="bottom"/>
            <w:hideMark/>
          </w:tcPr>
          <w:p w14:paraId="279C3E62" w14:textId="18FACB26" w:rsidR="00B132D6" w:rsidRPr="00581288" w:rsidRDefault="002E3799" w:rsidP="00721646">
            <w:pPr>
              <w:spacing w:line="240" w:lineRule="auto"/>
              <w:jc w:val="center"/>
              <w:rPr>
                <w:sz w:val="18"/>
                <w:szCs w:val="18"/>
              </w:rPr>
            </w:pPr>
            <w:r>
              <w:rPr>
                <w:sz w:val="18"/>
                <w:szCs w:val="18"/>
              </w:rPr>
              <w:t xml:space="preserve">4 </w:t>
            </w:r>
            <w:r w:rsidR="00192B98">
              <w:rPr>
                <w:sz w:val="18"/>
                <w:szCs w:val="18"/>
              </w:rPr>
              <w:t>153</w:t>
            </w:r>
            <w:r w:rsidR="00B132D6" w:rsidRPr="00581288">
              <w:rPr>
                <w:sz w:val="18"/>
                <w:szCs w:val="18"/>
              </w:rPr>
              <w:t xml:space="preserve"> (100%)</w:t>
            </w:r>
          </w:p>
        </w:tc>
        <w:tc>
          <w:tcPr>
            <w:tcW w:w="425" w:type="dxa"/>
            <w:tcBorders>
              <w:top w:val="nil"/>
              <w:left w:val="nil"/>
              <w:bottom w:val="nil"/>
              <w:right w:val="nil"/>
            </w:tcBorders>
            <w:shd w:val="clear" w:color="auto" w:fill="auto"/>
            <w:noWrap/>
            <w:vAlign w:val="bottom"/>
            <w:hideMark/>
          </w:tcPr>
          <w:p w14:paraId="3011FA2A" w14:textId="77777777" w:rsidR="00B132D6" w:rsidRPr="00581288" w:rsidRDefault="00B132D6" w:rsidP="00721646">
            <w:pPr>
              <w:spacing w:line="240" w:lineRule="auto"/>
              <w:jc w:val="center"/>
              <w:rPr>
                <w:sz w:val="18"/>
                <w:szCs w:val="18"/>
              </w:rPr>
            </w:pPr>
          </w:p>
        </w:tc>
        <w:tc>
          <w:tcPr>
            <w:tcW w:w="906" w:type="dxa"/>
            <w:tcBorders>
              <w:top w:val="nil"/>
              <w:left w:val="nil"/>
              <w:bottom w:val="nil"/>
              <w:right w:val="nil"/>
            </w:tcBorders>
            <w:shd w:val="clear" w:color="auto" w:fill="auto"/>
            <w:noWrap/>
            <w:vAlign w:val="bottom"/>
            <w:hideMark/>
          </w:tcPr>
          <w:p w14:paraId="3CB6D874" w14:textId="77777777" w:rsidR="00B132D6" w:rsidRPr="00581288" w:rsidRDefault="00B132D6" w:rsidP="00721646">
            <w:pPr>
              <w:spacing w:line="240" w:lineRule="auto"/>
              <w:rPr>
                <w:sz w:val="18"/>
                <w:szCs w:val="18"/>
              </w:rPr>
            </w:pPr>
          </w:p>
        </w:tc>
        <w:tc>
          <w:tcPr>
            <w:tcW w:w="987" w:type="dxa"/>
            <w:tcBorders>
              <w:top w:val="nil"/>
              <w:left w:val="nil"/>
              <w:bottom w:val="nil"/>
              <w:right w:val="nil"/>
            </w:tcBorders>
            <w:shd w:val="clear" w:color="auto" w:fill="auto"/>
            <w:noWrap/>
            <w:vAlign w:val="bottom"/>
            <w:hideMark/>
          </w:tcPr>
          <w:p w14:paraId="4D9AA0A6" w14:textId="77777777" w:rsidR="00B132D6" w:rsidRPr="00581288" w:rsidRDefault="00B132D6" w:rsidP="00721646">
            <w:pPr>
              <w:spacing w:line="240" w:lineRule="auto"/>
              <w:rPr>
                <w:sz w:val="18"/>
                <w:szCs w:val="18"/>
              </w:rPr>
            </w:pPr>
          </w:p>
        </w:tc>
        <w:tc>
          <w:tcPr>
            <w:tcW w:w="996" w:type="dxa"/>
            <w:tcBorders>
              <w:top w:val="nil"/>
              <w:left w:val="nil"/>
              <w:bottom w:val="nil"/>
              <w:right w:val="nil"/>
            </w:tcBorders>
            <w:shd w:val="clear" w:color="auto" w:fill="auto"/>
            <w:noWrap/>
            <w:vAlign w:val="bottom"/>
            <w:hideMark/>
          </w:tcPr>
          <w:p w14:paraId="4011D739" w14:textId="77777777" w:rsidR="00B132D6" w:rsidRPr="00581288" w:rsidRDefault="00B132D6" w:rsidP="00721646">
            <w:pPr>
              <w:spacing w:line="240" w:lineRule="auto"/>
              <w:rPr>
                <w:sz w:val="18"/>
                <w:szCs w:val="18"/>
              </w:rPr>
            </w:pPr>
          </w:p>
        </w:tc>
        <w:tc>
          <w:tcPr>
            <w:tcW w:w="798" w:type="dxa"/>
            <w:tcBorders>
              <w:top w:val="nil"/>
              <w:left w:val="nil"/>
              <w:bottom w:val="nil"/>
              <w:right w:val="nil"/>
            </w:tcBorders>
            <w:shd w:val="clear" w:color="auto" w:fill="auto"/>
            <w:noWrap/>
            <w:vAlign w:val="bottom"/>
            <w:hideMark/>
          </w:tcPr>
          <w:p w14:paraId="077A7429" w14:textId="77777777" w:rsidR="00B132D6" w:rsidRPr="00581288" w:rsidRDefault="00B132D6" w:rsidP="00721646">
            <w:pPr>
              <w:spacing w:line="240" w:lineRule="auto"/>
              <w:rPr>
                <w:sz w:val="18"/>
                <w:szCs w:val="18"/>
              </w:rPr>
            </w:pPr>
          </w:p>
        </w:tc>
        <w:tc>
          <w:tcPr>
            <w:tcW w:w="850" w:type="dxa"/>
            <w:tcBorders>
              <w:top w:val="nil"/>
              <w:left w:val="nil"/>
              <w:bottom w:val="nil"/>
              <w:right w:val="nil"/>
            </w:tcBorders>
            <w:shd w:val="clear" w:color="auto" w:fill="auto"/>
            <w:noWrap/>
            <w:vAlign w:val="bottom"/>
            <w:hideMark/>
          </w:tcPr>
          <w:p w14:paraId="7FC7032F" w14:textId="77777777" w:rsidR="00B132D6" w:rsidRPr="00581288" w:rsidRDefault="00B132D6" w:rsidP="00721646">
            <w:pPr>
              <w:spacing w:line="240" w:lineRule="auto"/>
              <w:rPr>
                <w:sz w:val="18"/>
                <w:szCs w:val="18"/>
              </w:rPr>
            </w:pPr>
          </w:p>
        </w:tc>
        <w:tc>
          <w:tcPr>
            <w:tcW w:w="992" w:type="dxa"/>
            <w:tcBorders>
              <w:top w:val="nil"/>
              <w:left w:val="nil"/>
              <w:bottom w:val="nil"/>
              <w:right w:val="nil"/>
            </w:tcBorders>
            <w:shd w:val="clear" w:color="auto" w:fill="auto"/>
            <w:noWrap/>
            <w:vAlign w:val="bottom"/>
            <w:hideMark/>
          </w:tcPr>
          <w:p w14:paraId="10D22E6B" w14:textId="77777777" w:rsidR="00B132D6" w:rsidRPr="00581288" w:rsidRDefault="00B132D6" w:rsidP="00721646">
            <w:pPr>
              <w:spacing w:line="240" w:lineRule="auto"/>
              <w:rPr>
                <w:sz w:val="18"/>
                <w:szCs w:val="18"/>
              </w:rPr>
            </w:pPr>
          </w:p>
        </w:tc>
        <w:tc>
          <w:tcPr>
            <w:tcW w:w="709" w:type="dxa"/>
            <w:tcBorders>
              <w:top w:val="nil"/>
              <w:left w:val="nil"/>
              <w:bottom w:val="nil"/>
              <w:right w:val="nil"/>
            </w:tcBorders>
            <w:shd w:val="clear" w:color="auto" w:fill="auto"/>
            <w:noWrap/>
            <w:vAlign w:val="bottom"/>
            <w:hideMark/>
          </w:tcPr>
          <w:p w14:paraId="6A4B7A96" w14:textId="77777777" w:rsidR="00B132D6" w:rsidRPr="00581288" w:rsidRDefault="00B132D6" w:rsidP="00721646">
            <w:pPr>
              <w:spacing w:line="240" w:lineRule="auto"/>
              <w:rPr>
                <w:sz w:val="18"/>
                <w:szCs w:val="18"/>
              </w:rPr>
            </w:pPr>
          </w:p>
        </w:tc>
      </w:tr>
      <w:tr w:rsidR="00B132D6" w:rsidRPr="00581288" w14:paraId="3C106533" w14:textId="77777777" w:rsidTr="00804970">
        <w:trPr>
          <w:trHeight w:val="375"/>
        </w:trPr>
        <w:tc>
          <w:tcPr>
            <w:tcW w:w="1108" w:type="dxa"/>
            <w:tcBorders>
              <w:top w:val="nil"/>
              <w:left w:val="nil"/>
              <w:bottom w:val="nil"/>
              <w:right w:val="nil"/>
            </w:tcBorders>
            <w:shd w:val="clear" w:color="auto" w:fill="auto"/>
            <w:noWrap/>
            <w:vAlign w:val="bottom"/>
            <w:hideMark/>
          </w:tcPr>
          <w:p w14:paraId="6E2589B9" w14:textId="77777777" w:rsidR="00B132D6" w:rsidRPr="00581288" w:rsidRDefault="00B132D6" w:rsidP="00721646">
            <w:pPr>
              <w:spacing w:line="240" w:lineRule="auto"/>
              <w:rPr>
                <w:sz w:val="18"/>
                <w:szCs w:val="18"/>
              </w:rPr>
            </w:pPr>
          </w:p>
        </w:tc>
        <w:tc>
          <w:tcPr>
            <w:tcW w:w="639" w:type="dxa"/>
            <w:tcBorders>
              <w:left w:val="nil"/>
              <w:bottom w:val="nil"/>
              <w:right w:val="nil"/>
            </w:tcBorders>
            <w:shd w:val="clear" w:color="auto" w:fill="auto"/>
            <w:noWrap/>
            <w:vAlign w:val="bottom"/>
            <w:hideMark/>
          </w:tcPr>
          <w:p w14:paraId="312175B8" w14:textId="77777777" w:rsidR="00B132D6" w:rsidRPr="00581288" w:rsidRDefault="00B132D6" w:rsidP="00721646">
            <w:pPr>
              <w:spacing w:line="240" w:lineRule="auto"/>
              <w:rPr>
                <w:sz w:val="18"/>
                <w:szCs w:val="18"/>
              </w:rPr>
            </w:pPr>
          </w:p>
        </w:tc>
        <w:tc>
          <w:tcPr>
            <w:tcW w:w="1088" w:type="dxa"/>
            <w:tcBorders>
              <w:top w:val="nil"/>
              <w:left w:val="nil"/>
              <w:bottom w:val="nil"/>
              <w:right w:val="nil"/>
            </w:tcBorders>
            <w:shd w:val="clear" w:color="auto" w:fill="auto"/>
            <w:noWrap/>
            <w:vAlign w:val="bottom"/>
            <w:hideMark/>
          </w:tcPr>
          <w:p w14:paraId="6BADE2E4" w14:textId="77777777" w:rsidR="00B132D6" w:rsidRPr="00581288" w:rsidRDefault="00B132D6" w:rsidP="00721646">
            <w:pPr>
              <w:spacing w:line="240" w:lineRule="auto"/>
              <w:rPr>
                <w:sz w:val="18"/>
                <w:szCs w:val="18"/>
              </w:rPr>
            </w:pPr>
          </w:p>
        </w:tc>
        <w:tc>
          <w:tcPr>
            <w:tcW w:w="1276" w:type="dxa"/>
            <w:tcBorders>
              <w:top w:val="nil"/>
              <w:left w:val="nil"/>
              <w:bottom w:val="nil"/>
              <w:right w:val="nil"/>
            </w:tcBorders>
            <w:shd w:val="clear" w:color="auto" w:fill="auto"/>
            <w:noWrap/>
            <w:vAlign w:val="bottom"/>
            <w:hideMark/>
          </w:tcPr>
          <w:p w14:paraId="08E636DF" w14:textId="77777777" w:rsidR="00B132D6" w:rsidRPr="00581288" w:rsidRDefault="00B132D6" w:rsidP="00721646">
            <w:pPr>
              <w:spacing w:line="240" w:lineRule="auto"/>
              <w:rPr>
                <w:sz w:val="18"/>
                <w:szCs w:val="18"/>
              </w:rPr>
            </w:pPr>
          </w:p>
        </w:tc>
        <w:tc>
          <w:tcPr>
            <w:tcW w:w="1275" w:type="dxa"/>
            <w:tcBorders>
              <w:top w:val="nil"/>
              <w:left w:val="nil"/>
              <w:bottom w:val="nil"/>
              <w:right w:val="nil"/>
            </w:tcBorders>
            <w:shd w:val="clear" w:color="auto" w:fill="auto"/>
            <w:noWrap/>
            <w:vAlign w:val="bottom"/>
            <w:hideMark/>
          </w:tcPr>
          <w:p w14:paraId="02D3CE2D" w14:textId="77777777" w:rsidR="00B132D6" w:rsidRPr="00581288" w:rsidRDefault="00B132D6" w:rsidP="00721646">
            <w:pPr>
              <w:spacing w:line="240" w:lineRule="auto"/>
              <w:rPr>
                <w:sz w:val="18"/>
                <w:szCs w:val="18"/>
              </w:rPr>
            </w:pPr>
          </w:p>
        </w:tc>
        <w:tc>
          <w:tcPr>
            <w:tcW w:w="425" w:type="dxa"/>
            <w:tcBorders>
              <w:top w:val="nil"/>
              <w:left w:val="nil"/>
              <w:bottom w:val="nil"/>
              <w:right w:val="nil"/>
            </w:tcBorders>
            <w:shd w:val="clear" w:color="auto" w:fill="auto"/>
            <w:noWrap/>
            <w:vAlign w:val="bottom"/>
            <w:hideMark/>
          </w:tcPr>
          <w:p w14:paraId="12993A90" w14:textId="77777777" w:rsidR="00B132D6" w:rsidRPr="00581288" w:rsidRDefault="00B132D6" w:rsidP="00721646">
            <w:pPr>
              <w:spacing w:line="240" w:lineRule="auto"/>
              <w:rPr>
                <w:sz w:val="18"/>
                <w:szCs w:val="18"/>
              </w:rPr>
            </w:pPr>
          </w:p>
        </w:tc>
        <w:tc>
          <w:tcPr>
            <w:tcW w:w="906" w:type="dxa"/>
            <w:tcBorders>
              <w:top w:val="nil"/>
              <w:left w:val="nil"/>
              <w:bottom w:val="nil"/>
              <w:right w:val="nil"/>
            </w:tcBorders>
            <w:shd w:val="clear" w:color="auto" w:fill="auto"/>
            <w:noWrap/>
            <w:vAlign w:val="bottom"/>
            <w:hideMark/>
          </w:tcPr>
          <w:p w14:paraId="1B687238" w14:textId="77777777" w:rsidR="00B132D6" w:rsidRPr="00581288" w:rsidRDefault="00B132D6" w:rsidP="00721646">
            <w:pPr>
              <w:spacing w:line="240" w:lineRule="auto"/>
              <w:rPr>
                <w:sz w:val="18"/>
                <w:szCs w:val="18"/>
              </w:rPr>
            </w:pPr>
          </w:p>
        </w:tc>
        <w:tc>
          <w:tcPr>
            <w:tcW w:w="987" w:type="dxa"/>
            <w:tcBorders>
              <w:top w:val="nil"/>
              <w:left w:val="nil"/>
              <w:bottom w:val="nil"/>
              <w:right w:val="nil"/>
            </w:tcBorders>
            <w:shd w:val="clear" w:color="auto" w:fill="auto"/>
            <w:noWrap/>
            <w:vAlign w:val="bottom"/>
            <w:hideMark/>
          </w:tcPr>
          <w:p w14:paraId="10F298E7" w14:textId="77777777" w:rsidR="00B132D6" w:rsidRPr="00581288" w:rsidRDefault="00B132D6" w:rsidP="00721646">
            <w:pPr>
              <w:spacing w:line="240" w:lineRule="auto"/>
              <w:rPr>
                <w:sz w:val="18"/>
                <w:szCs w:val="18"/>
              </w:rPr>
            </w:pPr>
          </w:p>
        </w:tc>
        <w:tc>
          <w:tcPr>
            <w:tcW w:w="996" w:type="dxa"/>
            <w:tcBorders>
              <w:top w:val="nil"/>
              <w:left w:val="nil"/>
              <w:bottom w:val="nil"/>
              <w:right w:val="nil"/>
            </w:tcBorders>
            <w:shd w:val="clear" w:color="auto" w:fill="auto"/>
            <w:noWrap/>
            <w:vAlign w:val="bottom"/>
            <w:hideMark/>
          </w:tcPr>
          <w:p w14:paraId="45E07F21" w14:textId="77777777" w:rsidR="00B132D6" w:rsidRPr="00581288" w:rsidRDefault="00B132D6" w:rsidP="00721646">
            <w:pPr>
              <w:spacing w:line="240" w:lineRule="auto"/>
              <w:rPr>
                <w:sz w:val="18"/>
                <w:szCs w:val="18"/>
              </w:rPr>
            </w:pPr>
          </w:p>
        </w:tc>
        <w:tc>
          <w:tcPr>
            <w:tcW w:w="798" w:type="dxa"/>
            <w:tcBorders>
              <w:top w:val="nil"/>
              <w:left w:val="nil"/>
              <w:bottom w:val="nil"/>
              <w:right w:val="nil"/>
            </w:tcBorders>
            <w:shd w:val="clear" w:color="auto" w:fill="auto"/>
            <w:noWrap/>
            <w:vAlign w:val="bottom"/>
            <w:hideMark/>
          </w:tcPr>
          <w:p w14:paraId="5079EB15" w14:textId="77777777" w:rsidR="00B132D6" w:rsidRPr="00581288" w:rsidRDefault="00B132D6" w:rsidP="00721646">
            <w:pPr>
              <w:spacing w:line="240" w:lineRule="auto"/>
              <w:rPr>
                <w:sz w:val="18"/>
                <w:szCs w:val="18"/>
              </w:rPr>
            </w:pPr>
          </w:p>
        </w:tc>
        <w:tc>
          <w:tcPr>
            <w:tcW w:w="850" w:type="dxa"/>
            <w:tcBorders>
              <w:top w:val="nil"/>
              <w:left w:val="nil"/>
              <w:bottom w:val="nil"/>
              <w:right w:val="nil"/>
            </w:tcBorders>
            <w:shd w:val="clear" w:color="auto" w:fill="auto"/>
            <w:noWrap/>
            <w:vAlign w:val="bottom"/>
            <w:hideMark/>
          </w:tcPr>
          <w:p w14:paraId="703C5327" w14:textId="77777777" w:rsidR="00B132D6" w:rsidRPr="00581288" w:rsidRDefault="00B132D6" w:rsidP="00721646">
            <w:pPr>
              <w:spacing w:line="240" w:lineRule="auto"/>
              <w:rPr>
                <w:sz w:val="18"/>
                <w:szCs w:val="18"/>
              </w:rPr>
            </w:pPr>
          </w:p>
        </w:tc>
        <w:tc>
          <w:tcPr>
            <w:tcW w:w="992" w:type="dxa"/>
            <w:tcBorders>
              <w:top w:val="nil"/>
              <w:left w:val="nil"/>
              <w:bottom w:val="nil"/>
              <w:right w:val="nil"/>
            </w:tcBorders>
            <w:shd w:val="clear" w:color="auto" w:fill="auto"/>
            <w:noWrap/>
            <w:vAlign w:val="bottom"/>
            <w:hideMark/>
          </w:tcPr>
          <w:p w14:paraId="554EE6CB" w14:textId="77777777" w:rsidR="00B132D6" w:rsidRPr="00581288" w:rsidRDefault="00B132D6" w:rsidP="00721646">
            <w:pPr>
              <w:spacing w:line="240" w:lineRule="auto"/>
              <w:rPr>
                <w:sz w:val="18"/>
                <w:szCs w:val="18"/>
              </w:rPr>
            </w:pPr>
          </w:p>
        </w:tc>
        <w:tc>
          <w:tcPr>
            <w:tcW w:w="709" w:type="dxa"/>
            <w:tcBorders>
              <w:top w:val="nil"/>
              <w:left w:val="nil"/>
              <w:bottom w:val="nil"/>
              <w:right w:val="nil"/>
            </w:tcBorders>
            <w:shd w:val="clear" w:color="auto" w:fill="auto"/>
            <w:noWrap/>
            <w:vAlign w:val="bottom"/>
            <w:hideMark/>
          </w:tcPr>
          <w:p w14:paraId="4EF8DBAD" w14:textId="77777777" w:rsidR="00B132D6" w:rsidRPr="00581288" w:rsidRDefault="00B132D6" w:rsidP="00721646">
            <w:pPr>
              <w:spacing w:line="240" w:lineRule="auto"/>
              <w:rPr>
                <w:sz w:val="18"/>
                <w:szCs w:val="18"/>
              </w:rPr>
            </w:pPr>
          </w:p>
        </w:tc>
      </w:tr>
      <w:tr w:rsidR="00B132D6" w:rsidRPr="00581288" w14:paraId="723C5108" w14:textId="77777777" w:rsidTr="00804970">
        <w:trPr>
          <w:trHeight w:val="405"/>
        </w:trPr>
        <w:tc>
          <w:tcPr>
            <w:tcW w:w="1108" w:type="dxa"/>
            <w:tcBorders>
              <w:top w:val="nil"/>
              <w:left w:val="nil"/>
              <w:bottom w:val="nil"/>
              <w:right w:val="nil"/>
            </w:tcBorders>
            <w:shd w:val="clear" w:color="auto" w:fill="auto"/>
            <w:noWrap/>
            <w:vAlign w:val="bottom"/>
            <w:hideMark/>
          </w:tcPr>
          <w:p w14:paraId="5C0717D6" w14:textId="77777777" w:rsidR="00B132D6" w:rsidRPr="00581288" w:rsidRDefault="00B132D6" w:rsidP="00721646">
            <w:pPr>
              <w:spacing w:line="240" w:lineRule="auto"/>
              <w:rPr>
                <w:b/>
                <w:bCs/>
                <w:sz w:val="18"/>
                <w:szCs w:val="18"/>
              </w:rPr>
            </w:pPr>
            <w:r w:rsidRPr="00581288">
              <w:rPr>
                <w:b/>
                <w:bCs/>
                <w:sz w:val="18"/>
                <w:szCs w:val="18"/>
              </w:rPr>
              <w:t>c</w:t>
            </w:r>
          </w:p>
        </w:tc>
        <w:tc>
          <w:tcPr>
            <w:tcW w:w="639" w:type="dxa"/>
            <w:tcBorders>
              <w:top w:val="nil"/>
              <w:left w:val="nil"/>
              <w:right w:val="nil"/>
            </w:tcBorders>
            <w:shd w:val="clear" w:color="auto" w:fill="auto"/>
            <w:noWrap/>
            <w:vAlign w:val="bottom"/>
            <w:hideMark/>
          </w:tcPr>
          <w:p w14:paraId="172A636E" w14:textId="77777777" w:rsidR="00B132D6" w:rsidRPr="00581288" w:rsidRDefault="00B132D6" w:rsidP="00721646">
            <w:pPr>
              <w:spacing w:line="240" w:lineRule="auto"/>
              <w:rPr>
                <w:b/>
                <w:bCs/>
                <w:sz w:val="18"/>
                <w:szCs w:val="18"/>
              </w:rPr>
            </w:pPr>
          </w:p>
        </w:tc>
        <w:tc>
          <w:tcPr>
            <w:tcW w:w="2364" w:type="dxa"/>
            <w:gridSpan w:val="2"/>
            <w:tcBorders>
              <w:top w:val="nil"/>
              <w:left w:val="nil"/>
              <w:right w:val="nil"/>
            </w:tcBorders>
            <w:shd w:val="clear" w:color="auto" w:fill="auto"/>
            <w:noWrap/>
            <w:vAlign w:val="bottom"/>
            <w:hideMark/>
          </w:tcPr>
          <w:p w14:paraId="50354202" w14:textId="77777777" w:rsidR="00B132D6" w:rsidRPr="00581288" w:rsidRDefault="00B132D6" w:rsidP="00721646">
            <w:pPr>
              <w:spacing w:line="240" w:lineRule="auto"/>
              <w:jc w:val="center"/>
              <w:rPr>
                <w:sz w:val="18"/>
                <w:szCs w:val="18"/>
              </w:rPr>
            </w:pPr>
            <w:r w:rsidRPr="00581288">
              <w:rPr>
                <w:sz w:val="18"/>
                <w:szCs w:val="18"/>
              </w:rPr>
              <w:t>Prediction</w:t>
            </w:r>
          </w:p>
        </w:tc>
        <w:tc>
          <w:tcPr>
            <w:tcW w:w="1275" w:type="dxa"/>
            <w:tcBorders>
              <w:top w:val="nil"/>
              <w:left w:val="nil"/>
              <w:right w:val="nil"/>
            </w:tcBorders>
            <w:shd w:val="clear" w:color="auto" w:fill="auto"/>
            <w:noWrap/>
            <w:vAlign w:val="bottom"/>
            <w:hideMark/>
          </w:tcPr>
          <w:p w14:paraId="263238C5" w14:textId="77777777" w:rsidR="00B132D6" w:rsidRPr="00581288" w:rsidRDefault="00B132D6" w:rsidP="00721646">
            <w:pPr>
              <w:spacing w:line="240" w:lineRule="auto"/>
              <w:jc w:val="center"/>
              <w:rPr>
                <w:sz w:val="18"/>
                <w:szCs w:val="18"/>
              </w:rPr>
            </w:pPr>
          </w:p>
        </w:tc>
        <w:tc>
          <w:tcPr>
            <w:tcW w:w="425" w:type="dxa"/>
            <w:tcBorders>
              <w:top w:val="nil"/>
              <w:left w:val="nil"/>
              <w:right w:val="nil"/>
            </w:tcBorders>
            <w:shd w:val="clear" w:color="auto" w:fill="auto"/>
            <w:noWrap/>
            <w:vAlign w:val="bottom"/>
            <w:hideMark/>
          </w:tcPr>
          <w:p w14:paraId="6FB8A293" w14:textId="77777777" w:rsidR="00B132D6" w:rsidRPr="00581288" w:rsidRDefault="00B132D6" w:rsidP="00721646">
            <w:pPr>
              <w:spacing w:line="240" w:lineRule="auto"/>
              <w:rPr>
                <w:b/>
                <w:bCs/>
                <w:sz w:val="18"/>
                <w:szCs w:val="18"/>
              </w:rPr>
            </w:pPr>
            <w:r w:rsidRPr="00581288">
              <w:rPr>
                <w:b/>
                <w:bCs/>
                <w:sz w:val="18"/>
                <w:szCs w:val="18"/>
              </w:rPr>
              <w:t>d</w:t>
            </w:r>
          </w:p>
        </w:tc>
        <w:tc>
          <w:tcPr>
            <w:tcW w:w="906" w:type="dxa"/>
            <w:tcBorders>
              <w:top w:val="nil"/>
              <w:left w:val="nil"/>
              <w:right w:val="nil"/>
            </w:tcBorders>
            <w:shd w:val="clear" w:color="auto" w:fill="auto"/>
            <w:noWrap/>
            <w:vAlign w:val="bottom"/>
            <w:hideMark/>
          </w:tcPr>
          <w:p w14:paraId="1941C669" w14:textId="77777777" w:rsidR="00B132D6" w:rsidRPr="00581288" w:rsidRDefault="00B132D6" w:rsidP="00721646">
            <w:pPr>
              <w:spacing w:line="240" w:lineRule="auto"/>
              <w:rPr>
                <w:b/>
                <w:bCs/>
                <w:sz w:val="18"/>
                <w:szCs w:val="18"/>
              </w:rPr>
            </w:pPr>
          </w:p>
        </w:tc>
        <w:tc>
          <w:tcPr>
            <w:tcW w:w="987" w:type="dxa"/>
            <w:tcBorders>
              <w:top w:val="nil"/>
              <w:left w:val="nil"/>
              <w:right w:val="nil"/>
            </w:tcBorders>
            <w:shd w:val="clear" w:color="auto" w:fill="auto"/>
            <w:noWrap/>
            <w:vAlign w:val="bottom"/>
            <w:hideMark/>
          </w:tcPr>
          <w:p w14:paraId="0B6557EE" w14:textId="77777777" w:rsidR="00B132D6" w:rsidRPr="00581288" w:rsidRDefault="00B132D6" w:rsidP="00721646">
            <w:pPr>
              <w:spacing w:line="240" w:lineRule="auto"/>
              <w:rPr>
                <w:sz w:val="18"/>
                <w:szCs w:val="18"/>
              </w:rPr>
            </w:pPr>
          </w:p>
        </w:tc>
        <w:tc>
          <w:tcPr>
            <w:tcW w:w="996" w:type="dxa"/>
            <w:tcBorders>
              <w:top w:val="nil"/>
              <w:left w:val="nil"/>
              <w:right w:val="nil"/>
            </w:tcBorders>
            <w:shd w:val="clear" w:color="auto" w:fill="auto"/>
            <w:noWrap/>
            <w:vAlign w:val="bottom"/>
            <w:hideMark/>
          </w:tcPr>
          <w:p w14:paraId="49EAF843" w14:textId="77777777" w:rsidR="00B132D6" w:rsidRPr="00581288" w:rsidRDefault="00B132D6" w:rsidP="00721646">
            <w:pPr>
              <w:spacing w:line="240" w:lineRule="auto"/>
              <w:rPr>
                <w:sz w:val="18"/>
                <w:szCs w:val="18"/>
              </w:rPr>
            </w:pPr>
          </w:p>
        </w:tc>
        <w:tc>
          <w:tcPr>
            <w:tcW w:w="798" w:type="dxa"/>
            <w:tcBorders>
              <w:top w:val="nil"/>
              <w:left w:val="nil"/>
              <w:right w:val="nil"/>
            </w:tcBorders>
            <w:shd w:val="clear" w:color="auto" w:fill="auto"/>
            <w:noWrap/>
            <w:vAlign w:val="bottom"/>
            <w:hideMark/>
          </w:tcPr>
          <w:p w14:paraId="56430206" w14:textId="77777777" w:rsidR="00B132D6" w:rsidRPr="00581288" w:rsidRDefault="00B132D6" w:rsidP="00721646">
            <w:pPr>
              <w:spacing w:line="240" w:lineRule="auto"/>
              <w:rPr>
                <w:sz w:val="18"/>
                <w:szCs w:val="18"/>
              </w:rPr>
            </w:pPr>
          </w:p>
        </w:tc>
        <w:tc>
          <w:tcPr>
            <w:tcW w:w="850" w:type="dxa"/>
            <w:tcBorders>
              <w:top w:val="nil"/>
              <w:left w:val="nil"/>
              <w:right w:val="nil"/>
            </w:tcBorders>
            <w:shd w:val="clear" w:color="auto" w:fill="auto"/>
            <w:noWrap/>
            <w:vAlign w:val="bottom"/>
            <w:hideMark/>
          </w:tcPr>
          <w:p w14:paraId="63B1784B" w14:textId="77777777" w:rsidR="00B132D6" w:rsidRPr="00581288" w:rsidRDefault="00B132D6" w:rsidP="00721646">
            <w:pPr>
              <w:spacing w:line="240" w:lineRule="auto"/>
              <w:rPr>
                <w:sz w:val="18"/>
                <w:szCs w:val="18"/>
              </w:rPr>
            </w:pPr>
          </w:p>
        </w:tc>
        <w:tc>
          <w:tcPr>
            <w:tcW w:w="992" w:type="dxa"/>
            <w:tcBorders>
              <w:top w:val="nil"/>
              <w:left w:val="nil"/>
              <w:right w:val="nil"/>
            </w:tcBorders>
            <w:shd w:val="clear" w:color="auto" w:fill="auto"/>
            <w:noWrap/>
            <w:vAlign w:val="bottom"/>
            <w:hideMark/>
          </w:tcPr>
          <w:p w14:paraId="2A60C677" w14:textId="77777777" w:rsidR="00B132D6" w:rsidRPr="00581288" w:rsidRDefault="00B132D6" w:rsidP="00721646">
            <w:pPr>
              <w:spacing w:line="240" w:lineRule="auto"/>
              <w:rPr>
                <w:sz w:val="18"/>
                <w:szCs w:val="18"/>
              </w:rPr>
            </w:pPr>
          </w:p>
        </w:tc>
        <w:tc>
          <w:tcPr>
            <w:tcW w:w="709" w:type="dxa"/>
            <w:tcBorders>
              <w:top w:val="nil"/>
              <w:left w:val="nil"/>
              <w:right w:val="nil"/>
            </w:tcBorders>
            <w:shd w:val="clear" w:color="auto" w:fill="auto"/>
            <w:noWrap/>
            <w:vAlign w:val="bottom"/>
            <w:hideMark/>
          </w:tcPr>
          <w:p w14:paraId="5DAA8850" w14:textId="77777777" w:rsidR="00B132D6" w:rsidRPr="00581288" w:rsidRDefault="00B132D6" w:rsidP="00721646">
            <w:pPr>
              <w:spacing w:line="240" w:lineRule="auto"/>
              <w:rPr>
                <w:sz w:val="18"/>
                <w:szCs w:val="18"/>
              </w:rPr>
            </w:pPr>
          </w:p>
        </w:tc>
      </w:tr>
      <w:tr w:rsidR="00B132D6" w:rsidRPr="00581288" w14:paraId="3E654008" w14:textId="77777777" w:rsidTr="00804970">
        <w:trPr>
          <w:trHeight w:val="405"/>
        </w:trPr>
        <w:tc>
          <w:tcPr>
            <w:tcW w:w="1108" w:type="dxa"/>
            <w:tcBorders>
              <w:top w:val="nil"/>
              <w:left w:val="nil"/>
              <w:bottom w:val="nil"/>
            </w:tcBorders>
            <w:shd w:val="clear" w:color="auto" w:fill="auto"/>
            <w:noWrap/>
            <w:vAlign w:val="bottom"/>
            <w:hideMark/>
          </w:tcPr>
          <w:p w14:paraId="0EFD964C" w14:textId="77777777" w:rsidR="00B132D6" w:rsidRPr="00581288" w:rsidRDefault="00B132D6" w:rsidP="00721646">
            <w:pPr>
              <w:spacing w:line="240" w:lineRule="auto"/>
              <w:rPr>
                <w:sz w:val="18"/>
                <w:szCs w:val="18"/>
              </w:rPr>
            </w:pPr>
            <w:r w:rsidRPr="00581288">
              <w:rPr>
                <w:sz w:val="18"/>
                <w:szCs w:val="18"/>
              </w:rPr>
              <w:t>Reference</w:t>
            </w:r>
          </w:p>
        </w:tc>
        <w:tc>
          <w:tcPr>
            <w:tcW w:w="639" w:type="dxa"/>
            <w:tcBorders>
              <w:bottom w:val="single" w:sz="4" w:space="0" w:color="auto"/>
              <w:right w:val="single" w:sz="4" w:space="0" w:color="auto"/>
            </w:tcBorders>
            <w:shd w:val="clear" w:color="auto" w:fill="auto"/>
            <w:noWrap/>
            <w:vAlign w:val="bottom"/>
            <w:hideMark/>
          </w:tcPr>
          <w:p w14:paraId="317B94C9" w14:textId="77777777" w:rsidR="00B132D6" w:rsidRPr="00581288" w:rsidRDefault="00B132D6" w:rsidP="00721646">
            <w:pPr>
              <w:spacing w:line="240" w:lineRule="auto"/>
              <w:rPr>
                <w:sz w:val="18"/>
                <w:szCs w:val="18"/>
              </w:rPr>
            </w:pPr>
            <w:r w:rsidRPr="00581288">
              <w:rPr>
                <w:sz w:val="18"/>
                <w:szCs w:val="18"/>
              </w:rPr>
              <w:t> </w:t>
            </w:r>
          </w:p>
        </w:tc>
        <w:tc>
          <w:tcPr>
            <w:tcW w:w="1088" w:type="dxa"/>
            <w:tcBorders>
              <w:left w:val="single" w:sz="4" w:space="0" w:color="auto"/>
              <w:bottom w:val="single" w:sz="4" w:space="0" w:color="auto"/>
            </w:tcBorders>
            <w:shd w:val="clear" w:color="auto" w:fill="auto"/>
            <w:noWrap/>
            <w:vAlign w:val="bottom"/>
            <w:hideMark/>
          </w:tcPr>
          <w:p w14:paraId="6D07BF2E" w14:textId="77777777" w:rsidR="00B132D6" w:rsidRPr="00581288" w:rsidRDefault="00B132D6" w:rsidP="00721646">
            <w:pPr>
              <w:spacing w:line="240" w:lineRule="auto"/>
              <w:jc w:val="center"/>
              <w:rPr>
                <w:sz w:val="18"/>
                <w:szCs w:val="18"/>
              </w:rPr>
            </w:pPr>
            <w:proofErr w:type="spellStart"/>
            <w:r w:rsidRPr="00581288">
              <w:rPr>
                <w:sz w:val="18"/>
                <w:szCs w:val="18"/>
              </w:rPr>
              <w:t>Pred</w:t>
            </w:r>
            <w:proofErr w:type="spellEnd"/>
            <w:r w:rsidRPr="00581288">
              <w:rPr>
                <w:sz w:val="18"/>
                <w:szCs w:val="18"/>
              </w:rPr>
              <w:t>+</w:t>
            </w:r>
          </w:p>
        </w:tc>
        <w:tc>
          <w:tcPr>
            <w:tcW w:w="1276" w:type="dxa"/>
            <w:tcBorders>
              <w:bottom w:val="single" w:sz="4" w:space="0" w:color="auto"/>
            </w:tcBorders>
            <w:shd w:val="clear" w:color="auto" w:fill="auto"/>
            <w:noWrap/>
            <w:vAlign w:val="bottom"/>
            <w:hideMark/>
          </w:tcPr>
          <w:p w14:paraId="5D3E3195" w14:textId="77777777" w:rsidR="00B132D6" w:rsidRPr="00581288" w:rsidRDefault="00B132D6" w:rsidP="00721646">
            <w:pPr>
              <w:spacing w:line="240" w:lineRule="auto"/>
              <w:jc w:val="center"/>
              <w:rPr>
                <w:sz w:val="18"/>
                <w:szCs w:val="18"/>
              </w:rPr>
            </w:pPr>
            <w:proofErr w:type="spellStart"/>
            <w:r w:rsidRPr="00581288">
              <w:rPr>
                <w:sz w:val="18"/>
                <w:szCs w:val="18"/>
              </w:rPr>
              <w:t>Pred</w:t>
            </w:r>
            <w:proofErr w:type="spellEnd"/>
            <w:r w:rsidRPr="00581288">
              <w:rPr>
                <w:sz w:val="18"/>
                <w:szCs w:val="18"/>
              </w:rPr>
              <w:t>-</w:t>
            </w:r>
          </w:p>
        </w:tc>
        <w:tc>
          <w:tcPr>
            <w:tcW w:w="1275" w:type="dxa"/>
            <w:tcBorders>
              <w:bottom w:val="single" w:sz="4" w:space="0" w:color="auto"/>
            </w:tcBorders>
            <w:shd w:val="clear" w:color="auto" w:fill="auto"/>
            <w:noWrap/>
            <w:vAlign w:val="bottom"/>
            <w:hideMark/>
          </w:tcPr>
          <w:p w14:paraId="3601144B" w14:textId="77777777" w:rsidR="00B132D6" w:rsidRPr="00581288" w:rsidRDefault="00B132D6" w:rsidP="00721646">
            <w:pPr>
              <w:spacing w:line="240" w:lineRule="auto"/>
              <w:rPr>
                <w:sz w:val="18"/>
                <w:szCs w:val="18"/>
              </w:rPr>
            </w:pPr>
            <w:r w:rsidRPr="00581288">
              <w:rPr>
                <w:sz w:val="18"/>
                <w:szCs w:val="18"/>
              </w:rPr>
              <w:t>Total</w:t>
            </w:r>
          </w:p>
        </w:tc>
        <w:tc>
          <w:tcPr>
            <w:tcW w:w="425" w:type="dxa"/>
            <w:tcBorders>
              <w:top w:val="nil"/>
              <w:left w:val="nil"/>
              <w:bottom w:val="nil"/>
            </w:tcBorders>
            <w:shd w:val="clear" w:color="auto" w:fill="auto"/>
            <w:noWrap/>
            <w:vAlign w:val="bottom"/>
            <w:hideMark/>
          </w:tcPr>
          <w:p w14:paraId="6274620D" w14:textId="77777777" w:rsidR="00B132D6" w:rsidRPr="00581288" w:rsidRDefault="00B132D6" w:rsidP="00721646">
            <w:pPr>
              <w:spacing w:line="240" w:lineRule="auto"/>
              <w:rPr>
                <w:sz w:val="18"/>
                <w:szCs w:val="18"/>
              </w:rPr>
            </w:pPr>
          </w:p>
        </w:tc>
        <w:tc>
          <w:tcPr>
            <w:tcW w:w="906" w:type="dxa"/>
            <w:tcBorders>
              <w:bottom w:val="single" w:sz="4" w:space="0" w:color="auto"/>
            </w:tcBorders>
            <w:shd w:val="clear" w:color="auto" w:fill="auto"/>
            <w:noWrap/>
            <w:vAlign w:val="bottom"/>
            <w:hideMark/>
          </w:tcPr>
          <w:p w14:paraId="25E280A3" w14:textId="77777777" w:rsidR="00B132D6" w:rsidRPr="00581288" w:rsidRDefault="00B132D6" w:rsidP="00721646">
            <w:pPr>
              <w:spacing w:line="240" w:lineRule="auto"/>
              <w:jc w:val="center"/>
              <w:rPr>
                <w:sz w:val="18"/>
                <w:szCs w:val="18"/>
              </w:rPr>
            </w:pPr>
            <w:r w:rsidRPr="00581288">
              <w:rPr>
                <w:sz w:val="18"/>
                <w:szCs w:val="18"/>
              </w:rPr>
              <w:t>Accuracy</w:t>
            </w:r>
          </w:p>
        </w:tc>
        <w:tc>
          <w:tcPr>
            <w:tcW w:w="987" w:type="dxa"/>
            <w:tcBorders>
              <w:bottom w:val="single" w:sz="4" w:space="0" w:color="auto"/>
            </w:tcBorders>
            <w:shd w:val="clear" w:color="auto" w:fill="auto"/>
            <w:noWrap/>
            <w:vAlign w:val="bottom"/>
            <w:hideMark/>
          </w:tcPr>
          <w:p w14:paraId="7D6DC6FA" w14:textId="77777777" w:rsidR="00B132D6" w:rsidRPr="00581288" w:rsidRDefault="00B132D6" w:rsidP="00721646">
            <w:pPr>
              <w:spacing w:line="240" w:lineRule="auto"/>
              <w:jc w:val="center"/>
              <w:rPr>
                <w:sz w:val="18"/>
                <w:szCs w:val="18"/>
              </w:rPr>
            </w:pPr>
            <w:r w:rsidRPr="00581288">
              <w:rPr>
                <w:sz w:val="18"/>
                <w:szCs w:val="18"/>
              </w:rPr>
              <w:t>Sensitivity</w:t>
            </w:r>
          </w:p>
        </w:tc>
        <w:tc>
          <w:tcPr>
            <w:tcW w:w="996" w:type="dxa"/>
            <w:tcBorders>
              <w:bottom w:val="single" w:sz="4" w:space="0" w:color="auto"/>
            </w:tcBorders>
            <w:shd w:val="clear" w:color="auto" w:fill="auto"/>
            <w:noWrap/>
            <w:vAlign w:val="bottom"/>
            <w:hideMark/>
          </w:tcPr>
          <w:p w14:paraId="777755E2" w14:textId="77777777" w:rsidR="00B132D6" w:rsidRPr="00581288" w:rsidRDefault="00B132D6" w:rsidP="00721646">
            <w:pPr>
              <w:spacing w:line="240" w:lineRule="auto"/>
              <w:jc w:val="center"/>
              <w:rPr>
                <w:sz w:val="18"/>
                <w:szCs w:val="18"/>
              </w:rPr>
            </w:pPr>
            <w:r w:rsidRPr="00581288">
              <w:rPr>
                <w:sz w:val="18"/>
                <w:szCs w:val="18"/>
              </w:rPr>
              <w:t>Specificity</w:t>
            </w:r>
          </w:p>
        </w:tc>
        <w:tc>
          <w:tcPr>
            <w:tcW w:w="798" w:type="dxa"/>
            <w:tcBorders>
              <w:bottom w:val="single" w:sz="4" w:space="0" w:color="auto"/>
            </w:tcBorders>
            <w:shd w:val="clear" w:color="auto" w:fill="auto"/>
            <w:noWrap/>
            <w:vAlign w:val="bottom"/>
            <w:hideMark/>
          </w:tcPr>
          <w:p w14:paraId="3826C30D" w14:textId="77777777" w:rsidR="00B132D6" w:rsidRPr="00581288" w:rsidRDefault="00B132D6" w:rsidP="00721646">
            <w:pPr>
              <w:spacing w:line="240" w:lineRule="auto"/>
              <w:jc w:val="center"/>
              <w:rPr>
                <w:sz w:val="18"/>
                <w:szCs w:val="18"/>
              </w:rPr>
            </w:pPr>
            <w:r w:rsidRPr="00581288">
              <w:rPr>
                <w:sz w:val="18"/>
                <w:szCs w:val="18"/>
              </w:rPr>
              <w:t>PPV</w:t>
            </w:r>
          </w:p>
        </w:tc>
        <w:tc>
          <w:tcPr>
            <w:tcW w:w="850" w:type="dxa"/>
            <w:tcBorders>
              <w:bottom w:val="single" w:sz="4" w:space="0" w:color="auto"/>
            </w:tcBorders>
            <w:shd w:val="clear" w:color="auto" w:fill="auto"/>
            <w:noWrap/>
            <w:vAlign w:val="bottom"/>
            <w:hideMark/>
          </w:tcPr>
          <w:p w14:paraId="42159E9E" w14:textId="77777777" w:rsidR="00B132D6" w:rsidRPr="00581288" w:rsidRDefault="00B132D6" w:rsidP="00721646">
            <w:pPr>
              <w:spacing w:line="240" w:lineRule="auto"/>
              <w:jc w:val="center"/>
              <w:rPr>
                <w:sz w:val="18"/>
                <w:szCs w:val="18"/>
              </w:rPr>
            </w:pPr>
            <w:r w:rsidRPr="00581288">
              <w:rPr>
                <w:sz w:val="18"/>
                <w:szCs w:val="18"/>
              </w:rPr>
              <w:t>NPV</w:t>
            </w:r>
          </w:p>
        </w:tc>
        <w:tc>
          <w:tcPr>
            <w:tcW w:w="992" w:type="dxa"/>
            <w:tcBorders>
              <w:bottom w:val="single" w:sz="4" w:space="0" w:color="auto"/>
            </w:tcBorders>
            <w:shd w:val="clear" w:color="auto" w:fill="auto"/>
            <w:noWrap/>
            <w:vAlign w:val="bottom"/>
            <w:hideMark/>
          </w:tcPr>
          <w:p w14:paraId="5272E585" w14:textId="77777777" w:rsidR="00B132D6" w:rsidRPr="00581288" w:rsidRDefault="00B132D6" w:rsidP="00721646">
            <w:pPr>
              <w:spacing w:line="240" w:lineRule="auto"/>
              <w:jc w:val="center"/>
              <w:rPr>
                <w:sz w:val="18"/>
                <w:szCs w:val="18"/>
              </w:rPr>
            </w:pPr>
            <w:r w:rsidRPr="00581288">
              <w:rPr>
                <w:sz w:val="18"/>
                <w:szCs w:val="18"/>
              </w:rPr>
              <w:t>Balanced accuracy</w:t>
            </w:r>
          </w:p>
        </w:tc>
        <w:tc>
          <w:tcPr>
            <w:tcW w:w="709" w:type="dxa"/>
            <w:tcBorders>
              <w:bottom w:val="single" w:sz="4" w:space="0" w:color="auto"/>
            </w:tcBorders>
            <w:shd w:val="clear" w:color="auto" w:fill="auto"/>
            <w:noWrap/>
            <w:vAlign w:val="bottom"/>
            <w:hideMark/>
          </w:tcPr>
          <w:p w14:paraId="1CDBFC28" w14:textId="77777777" w:rsidR="00B132D6" w:rsidRPr="00581288" w:rsidRDefault="00B132D6" w:rsidP="00721646">
            <w:pPr>
              <w:spacing w:line="240" w:lineRule="auto"/>
              <w:jc w:val="center"/>
              <w:rPr>
                <w:sz w:val="18"/>
                <w:szCs w:val="18"/>
              </w:rPr>
            </w:pPr>
            <w:r w:rsidRPr="00581288">
              <w:rPr>
                <w:sz w:val="18"/>
                <w:szCs w:val="18"/>
              </w:rPr>
              <w:t>AUC</w:t>
            </w:r>
          </w:p>
        </w:tc>
      </w:tr>
      <w:tr w:rsidR="00B132D6" w:rsidRPr="00581288" w14:paraId="5A7E325E" w14:textId="77777777" w:rsidTr="00804970">
        <w:trPr>
          <w:trHeight w:val="405"/>
        </w:trPr>
        <w:tc>
          <w:tcPr>
            <w:tcW w:w="1108" w:type="dxa"/>
            <w:tcBorders>
              <w:top w:val="nil"/>
              <w:left w:val="nil"/>
              <w:bottom w:val="nil"/>
            </w:tcBorders>
            <w:shd w:val="clear" w:color="auto" w:fill="auto"/>
            <w:noWrap/>
            <w:vAlign w:val="bottom"/>
            <w:hideMark/>
          </w:tcPr>
          <w:p w14:paraId="4D5640E8" w14:textId="77777777" w:rsidR="00B132D6" w:rsidRPr="00581288" w:rsidRDefault="00B132D6" w:rsidP="00721646">
            <w:pPr>
              <w:spacing w:line="240" w:lineRule="auto"/>
              <w:jc w:val="center"/>
              <w:rPr>
                <w:sz w:val="18"/>
                <w:szCs w:val="18"/>
              </w:rPr>
            </w:pPr>
          </w:p>
        </w:tc>
        <w:tc>
          <w:tcPr>
            <w:tcW w:w="639" w:type="dxa"/>
            <w:tcBorders>
              <w:top w:val="single" w:sz="4" w:space="0" w:color="auto"/>
              <w:right w:val="single" w:sz="4" w:space="0" w:color="auto"/>
            </w:tcBorders>
            <w:shd w:val="clear" w:color="auto" w:fill="auto"/>
            <w:noWrap/>
            <w:vAlign w:val="bottom"/>
            <w:hideMark/>
          </w:tcPr>
          <w:p w14:paraId="0104E17F" w14:textId="77777777" w:rsidR="00B132D6" w:rsidRPr="00581288" w:rsidRDefault="00B132D6" w:rsidP="00721646">
            <w:pPr>
              <w:spacing w:line="240" w:lineRule="auto"/>
              <w:rPr>
                <w:sz w:val="18"/>
                <w:szCs w:val="18"/>
              </w:rPr>
            </w:pPr>
            <w:r w:rsidRPr="00581288">
              <w:rPr>
                <w:sz w:val="18"/>
                <w:szCs w:val="18"/>
              </w:rPr>
              <w:t>Ref+</w:t>
            </w:r>
          </w:p>
        </w:tc>
        <w:tc>
          <w:tcPr>
            <w:tcW w:w="1088" w:type="dxa"/>
            <w:tcBorders>
              <w:top w:val="single" w:sz="4" w:space="0" w:color="auto"/>
              <w:left w:val="single" w:sz="4" w:space="0" w:color="auto"/>
              <w:bottom w:val="nil"/>
              <w:right w:val="nil"/>
            </w:tcBorders>
            <w:shd w:val="clear" w:color="auto" w:fill="auto"/>
            <w:noWrap/>
            <w:vAlign w:val="bottom"/>
            <w:hideMark/>
          </w:tcPr>
          <w:p w14:paraId="334B771D" w14:textId="0E52BC70" w:rsidR="00B132D6" w:rsidRPr="00581288" w:rsidRDefault="00B132D6" w:rsidP="00721646">
            <w:pPr>
              <w:spacing w:line="240" w:lineRule="auto"/>
              <w:jc w:val="center"/>
              <w:rPr>
                <w:sz w:val="18"/>
                <w:szCs w:val="18"/>
              </w:rPr>
            </w:pPr>
            <w:r w:rsidRPr="00581288">
              <w:rPr>
                <w:sz w:val="18"/>
                <w:szCs w:val="18"/>
              </w:rPr>
              <w:t>2</w:t>
            </w:r>
            <w:r w:rsidR="00422D12">
              <w:rPr>
                <w:sz w:val="18"/>
                <w:szCs w:val="18"/>
              </w:rPr>
              <w:t>65</w:t>
            </w:r>
            <w:r w:rsidRPr="00581288">
              <w:rPr>
                <w:sz w:val="18"/>
                <w:szCs w:val="18"/>
              </w:rPr>
              <w:t xml:space="preserve"> (7</w:t>
            </w:r>
            <w:r w:rsidR="00422D12">
              <w:rPr>
                <w:sz w:val="18"/>
                <w:szCs w:val="18"/>
              </w:rPr>
              <w:t>1</w:t>
            </w:r>
            <w:r w:rsidRPr="00581288">
              <w:rPr>
                <w:sz w:val="18"/>
                <w:szCs w:val="18"/>
              </w:rPr>
              <w:t>%)</w:t>
            </w:r>
          </w:p>
        </w:tc>
        <w:tc>
          <w:tcPr>
            <w:tcW w:w="1276" w:type="dxa"/>
            <w:tcBorders>
              <w:top w:val="single" w:sz="4" w:space="0" w:color="auto"/>
              <w:left w:val="nil"/>
              <w:bottom w:val="nil"/>
              <w:right w:val="nil"/>
            </w:tcBorders>
            <w:shd w:val="clear" w:color="auto" w:fill="auto"/>
            <w:noWrap/>
            <w:vAlign w:val="bottom"/>
            <w:hideMark/>
          </w:tcPr>
          <w:p w14:paraId="7125734B" w14:textId="0CB04CBD" w:rsidR="00B132D6" w:rsidRPr="00581288" w:rsidRDefault="00522F69" w:rsidP="00721646">
            <w:pPr>
              <w:spacing w:line="240" w:lineRule="auto"/>
              <w:jc w:val="center"/>
              <w:rPr>
                <w:sz w:val="18"/>
                <w:szCs w:val="18"/>
              </w:rPr>
            </w:pPr>
            <w:r w:rsidRPr="00581288">
              <w:rPr>
                <w:sz w:val="18"/>
                <w:szCs w:val="18"/>
              </w:rPr>
              <w:t>10</w:t>
            </w:r>
            <w:r w:rsidR="00422D12">
              <w:rPr>
                <w:sz w:val="18"/>
                <w:szCs w:val="18"/>
              </w:rPr>
              <w:t>8</w:t>
            </w:r>
            <w:r w:rsidR="00B132D6" w:rsidRPr="00581288">
              <w:rPr>
                <w:sz w:val="18"/>
                <w:szCs w:val="18"/>
              </w:rPr>
              <w:t xml:space="preserve"> (2</w:t>
            </w:r>
            <w:r w:rsidR="00422D12">
              <w:rPr>
                <w:sz w:val="18"/>
                <w:szCs w:val="18"/>
              </w:rPr>
              <w:t>9</w:t>
            </w:r>
            <w:r w:rsidR="00B132D6" w:rsidRPr="00581288">
              <w:rPr>
                <w:sz w:val="18"/>
                <w:szCs w:val="18"/>
              </w:rPr>
              <w:t>%)</w:t>
            </w:r>
          </w:p>
        </w:tc>
        <w:tc>
          <w:tcPr>
            <w:tcW w:w="1275" w:type="dxa"/>
            <w:tcBorders>
              <w:top w:val="single" w:sz="4" w:space="0" w:color="auto"/>
              <w:left w:val="nil"/>
              <w:bottom w:val="nil"/>
              <w:right w:val="nil"/>
            </w:tcBorders>
            <w:shd w:val="clear" w:color="auto" w:fill="auto"/>
            <w:noWrap/>
            <w:vAlign w:val="bottom"/>
            <w:hideMark/>
          </w:tcPr>
          <w:p w14:paraId="44C4EED5" w14:textId="03D618FC" w:rsidR="00B132D6" w:rsidRPr="00581288" w:rsidRDefault="00522F69" w:rsidP="00721646">
            <w:pPr>
              <w:spacing w:line="240" w:lineRule="auto"/>
              <w:jc w:val="center"/>
              <w:rPr>
                <w:sz w:val="18"/>
                <w:szCs w:val="18"/>
              </w:rPr>
            </w:pPr>
            <w:r w:rsidRPr="00581288">
              <w:rPr>
                <w:sz w:val="18"/>
                <w:szCs w:val="18"/>
              </w:rPr>
              <w:t>373</w:t>
            </w:r>
            <w:r w:rsidR="00B132D6" w:rsidRPr="00581288">
              <w:rPr>
                <w:sz w:val="18"/>
                <w:szCs w:val="18"/>
              </w:rPr>
              <w:t xml:space="preserve"> (100%)</w:t>
            </w:r>
          </w:p>
        </w:tc>
        <w:tc>
          <w:tcPr>
            <w:tcW w:w="425" w:type="dxa"/>
            <w:tcBorders>
              <w:left w:val="nil"/>
              <w:bottom w:val="nil"/>
              <w:right w:val="nil"/>
            </w:tcBorders>
            <w:shd w:val="clear" w:color="auto" w:fill="auto"/>
            <w:noWrap/>
            <w:vAlign w:val="bottom"/>
            <w:hideMark/>
          </w:tcPr>
          <w:p w14:paraId="520B36DF" w14:textId="77777777" w:rsidR="00B132D6" w:rsidRPr="00581288" w:rsidRDefault="00B132D6" w:rsidP="00721646">
            <w:pPr>
              <w:spacing w:line="240" w:lineRule="auto"/>
              <w:jc w:val="center"/>
              <w:rPr>
                <w:sz w:val="18"/>
                <w:szCs w:val="18"/>
              </w:rPr>
            </w:pPr>
          </w:p>
        </w:tc>
        <w:tc>
          <w:tcPr>
            <w:tcW w:w="906" w:type="dxa"/>
            <w:tcBorders>
              <w:top w:val="single" w:sz="4" w:space="0" w:color="auto"/>
              <w:left w:val="nil"/>
              <w:bottom w:val="nil"/>
              <w:right w:val="nil"/>
            </w:tcBorders>
            <w:shd w:val="clear" w:color="auto" w:fill="auto"/>
            <w:noWrap/>
            <w:vAlign w:val="bottom"/>
            <w:hideMark/>
          </w:tcPr>
          <w:p w14:paraId="1344EC85" w14:textId="6C062130" w:rsidR="00B132D6" w:rsidRPr="00581288" w:rsidRDefault="00B132D6" w:rsidP="00721646">
            <w:pPr>
              <w:spacing w:line="240" w:lineRule="auto"/>
              <w:jc w:val="center"/>
              <w:rPr>
                <w:sz w:val="18"/>
                <w:szCs w:val="18"/>
              </w:rPr>
            </w:pPr>
            <w:r w:rsidRPr="00581288">
              <w:rPr>
                <w:sz w:val="18"/>
                <w:szCs w:val="18"/>
              </w:rPr>
              <w:t>0.9</w:t>
            </w:r>
            <w:r w:rsidR="00B91D07">
              <w:rPr>
                <w:sz w:val="18"/>
                <w:szCs w:val="18"/>
              </w:rPr>
              <w:t>2</w:t>
            </w:r>
          </w:p>
        </w:tc>
        <w:tc>
          <w:tcPr>
            <w:tcW w:w="987" w:type="dxa"/>
            <w:tcBorders>
              <w:top w:val="single" w:sz="4" w:space="0" w:color="auto"/>
              <w:left w:val="nil"/>
              <w:bottom w:val="nil"/>
              <w:right w:val="nil"/>
            </w:tcBorders>
            <w:shd w:val="clear" w:color="auto" w:fill="auto"/>
            <w:noWrap/>
            <w:vAlign w:val="bottom"/>
            <w:hideMark/>
          </w:tcPr>
          <w:p w14:paraId="5632662F" w14:textId="6317225E" w:rsidR="00B132D6" w:rsidRPr="00581288" w:rsidRDefault="00B132D6" w:rsidP="00721646">
            <w:pPr>
              <w:spacing w:line="240" w:lineRule="auto"/>
              <w:jc w:val="center"/>
              <w:rPr>
                <w:sz w:val="18"/>
                <w:szCs w:val="18"/>
              </w:rPr>
            </w:pPr>
            <w:r w:rsidRPr="00581288">
              <w:rPr>
                <w:sz w:val="18"/>
                <w:szCs w:val="18"/>
              </w:rPr>
              <w:t>0.7</w:t>
            </w:r>
            <w:r w:rsidR="00422D12">
              <w:rPr>
                <w:sz w:val="18"/>
                <w:szCs w:val="18"/>
              </w:rPr>
              <w:t>1</w:t>
            </w:r>
          </w:p>
        </w:tc>
        <w:tc>
          <w:tcPr>
            <w:tcW w:w="996" w:type="dxa"/>
            <w:tcBorders>
              <w:top w:val="single" w:sz="4" w:space="0" w:color="auto"/>
              <w:left w:val="nil"/>
              <w:bottom w:val="nil"/>
              <w:right w:val="nil"/>
            </w:tcBorders>
            <w:shd w:val="clear" w:color="auto" w:fill="auto"/>
            <w:noWrap/>
            <w:vAlign w:val="bottom"/>
            <w:hideMark/>
          </w:tcPr>
          <w:p w14:paraId="6686F7EE" w14:textId="77777777" w:rsidR="00B132D6" w:rsidRPr="00581288" w:rsidRDefault="00B132D6" w:rsidP="00721646">
            <w:pPr>
              <w:spacing w:line="240" w:lineRule="auto"/>
              <w:jc w:val="center"/>
              <w:rPr>
                <w:sz w:val="18"/>
                <w:szCs w:val="18"/>
              </w:rPr>
            </w:pPr>
            <w:r w:rsidRPr="00581288">
              <w:rPr>
                <w:sz w:val="18"/>
                <w:szCs w:val="18"/>
              </w:rPr>
              <w:t>0.96</w:t>
            </w:r>
          </w:p>
        </w:tc>
        <w:tc>
          <w:tcPr>
            <w:tcW w:w="798" w:type="dxa"/>
            <w:tcBorders>
              <w:top w:val="single" w:sz="4" w:space="0" w:color="auto"/>
              <w:left w:val="nil"/>
              <w:bottom w:val="nil"/>
              <w:right w:val="nil"/>
            </w:tcBorders>
            <w:shd w:val="clear" w:color="auto" w:fill="auto"/>
            <w:noWrap/>
            <w:vAlign w:val="bottom"/>
            <w:hideMark/>
          </w:tcPr>
          <w:p w14:paraId="62E26403" w14:textId="6641A315" w:rsidR="00B132D6" w:rsidRPr="00581288" w:rsidRDefault="00B132D6" w:rsidP="00721646">
            <w:pPr>
              <w:spacing w:line="240" w:lineRule="auto"/>
              <w:jc w:val="center"/>
              <w:rPr>
                <w:sz w:val="18"/>
                <w:szCs w:val="18"/>
              </w:rPr>
            </w:pPr>
            <w:r w:rsidRPr="00581288">
              <w:rPr>
                <w:sz w:val="18"/>
                <w:szCs w:val="18"/>
              </w:rPr>
              <w:t>0.7</w:t>
            </w:r>
            <w:r w:rsidR="00B91D07">
              <w:rPr>
                <w:sz w:val="18"/>
                <w:szCs w:val="18"/>
              </w:rPr>
              <w:t>8</w:t>
            </w:r>
          </w:p>
        </w:tc>
        <w:tc>
          <w:tcPr>
            <w:tcW w:w="850" w:type="dxa"/>
            <w:tcBorders>
              <w:top w:val="single" w:sz="4" w:space="0" w:color="auto"/>
              <w:left w:val="nil"/>
              <w:bottom w:val="nil"/>
              <w:right w:val="nil"/>
            </w:tcBorders>
            <w:shd w:val="clear" w:color="auto" w:fill="auto"/>
            <w:noWrap/>
            <w:vAlign w:val="bottom"/>
            <w:hideMark/>
          </w:tcPr>
          <w:p w14:paraId="2223BF47" w14:textId="77777777" w:rsidR="00B132D6" w:rsidRPr="00581288" w:rsidRDefault="00B132D6" w:rsidP="00721646">
            <w:pPr>
              <w:spacing w:line="240" w:lineRule="auto"/>
              <w:jc w:val="center"/>
              <w:rPr>
                <w:sz w:val="18"/>
                <w:szCs w:val="18"/>
              </w:rPr>
            </w:pPr>
            <w:r w:rsidRPr="00581288">
              <w:rPr>
                <w:sz w:val="18"/>
                <w:szCs w:val="18"/>
              </w:rPr>
              <w:t>0.94</w:t>
            </w:r>
          </w:p>
        </w:tc>
        <w:tc>
          <w:tcPr>
            <w:tcW w:w="992" w:type="dxa"/>
            <w:tcBorders>
              <w:top w:val="single" w:sz="4" w:space="0" w:color="auto"/>
              <w:left w:val="nil"/>
              <w:bottom w:val="nil"/>
              <w:right w:val="nil"/>
            </w:tcBorders>
            <w:shd w:val="clear" w:color="auto" w:fill="auto"/>
            <w:noWrap/>
            <w:vAlign w:val="bottom"/>
            <w:hideMark/>
          </w:tcPr>
          <w:p w14:paraId="506DC7C1" w14:textId="349C2ADB" w:rsidR="00B132D6" w:rsidRPr="00581288" w:rsidRDefault="00B132D6" w:rsidP="00721646">
            <w:pPr>
              <w:spacing w:line="240" w:lineRule="auto"/>
              <w:jc w:val="center"/>
              <w:rPr>
                <w:sz w:val="18"/>
                <w:szCs w:val="18"/>
              </w:rPr>
            </w:pPr>
            <w:r w:rsidRPr="00581288">
              <w:rPr>
                <w:sz w:val="18"/>
                <w:szCs w:val="18"/>
              </w:rPr>
              <w:t>0.8</w:t>
            </w:r>
            <w:r w:rsidR="00422D12">
              <w:rPr>
                <w:sz w:val="18"/>
                <w:szCs w:val="18"/>
              </w:rPr>
              <w:t>3</w:t>
            </w:r>
          </w:p>
        </w:tc>
        <w:tc>
          <w:tcPr>
            <w:tcW w:w="709" w:type="dxa"/>
            <w:tcBorders>
              <w:top w:val="single" w:sz="4" w:space="0" w:color="auto"/>
              <w:left w:val="nil"/>
              <w:bottom w:val="nil"/>
              <w:right w:val="nil"/>
            </w:tcBorders>
            <w:shd w:val="clear" w:color="auto" w:fill="auto"/>
            <w:noWrap/>
            <w:vAlign w:val="bottom"/>
            <w:hideMark/>
          </w:tcPr>
          <w:p w14:paraId="1E952376" w14:textId="315DF79C" w:rsidR="00B132D6" w:rsidRPr="00581288" w:rsidRDefault="00B132D6" w:rsidP="00721646">
            <w:pPr>
              <w:spacing w:line="240" w:lineRule="auto"/>
              <w:jc w:val="center"/>
              <w:rPr>
                <w:sz w:val="18"/>
                <w:szCs w:val="18"/>
              </w:rPr>
            </w:pPr>
            <w:r w:rsidRPr="00581288">
              <w:rPr>
                <w:sz w:val="18"/>
                <w:szCs w:val="18"/>
              </w:rPr>
              <w:t>0.8</w:t>
            </w:r>
            <w:r w:rsidR="00422D12">
              <w:rPr>
                <w:sz w:val="18"/>
                <w:szCs w:val="18"/>
              </w:rPr>
              <w:t>5</w:t>
            </w:r>
          </w:p>
        </w:tc>
      </w:tr>
      <w:tr w:rsidR="00B132D6" w:rsidRPr="00581288" w14:paraId="15F9B7D0" w14:textId="77777777" w:rsidTr="00804970">
        <w:trPr>
          <w:trHeight w:val="405"/>
        </w:trPr>
        <w:tc>
          <w:tcPr>
            <w:tcW w:w="1108" w:type="dxa"/>
            <w:tcBorders>
              <w:top w:val="nil"/>
              <w:left w:val="nil"/>
              <w:bottom w:val="nil"/>
            </w:tcBorders>
            <w:shd w:val="clear" w:color="auto" w:fill="auto"/>
            <w:noWrap/>
            <w:vAlign w:val="bottom"/>
            <w:hideMark/>
          </w:tcPr>
          <w:p w14:paraId="365F2B72" w14:textId="77777777" w:rsidR="00B132D6" w:rsidRPr="00581288" w:rsidRDefault="00B132D6" w:rsidP="00721646">
            <w:pPr>
              <w:spacing w:line="240" w:lineRule="auto"/>
              <w:jc w:val="center"/>
              <w:rPr>
                <w:sz w:val="18"/>
                <w:szCs w:val="18"/>
              </w:rPr>
            </w:pPr>
          </w:p>
        </w:tc>
        <w:tc>
          <w:tcPr>
            <w:tcW w:w="639" w:type="dxa"/>
            <w:tcBorders>
              <w:top w:val="nil"/>
              <w:right w:val="single" w:sz="4" w:space="0" w:color="auto"/>
            </w:tcBorders>
            <w:shd w:val="clear" w:color="auto" w:fill="auto"/>
            <w:noWrap/>
            <w:vAlign w:val="bottom"/>
            <w:hideMark/>
          </w:tcPr>
          <w:p w14:paraId="7C129272" w14:textId="77777777" w:rsidR="00B132D6" w:rsidRPr="00581288" w:rsidRDefault="00B132D6" w:rsidP="00721646">
            <w:pPr>
              <w:spacing w:line="240" w:lineRule="auto"/>
              <w:rPr>
                <w:sz w:val="18"/>
                <w:szCs w:val="18"/>
              </w:rPr>
            </w:pPr>
            <w:r w:rsidRPr="00581288">
              <w:rPr>
                <w:sz w:val="18"/>
                <w:szCs w:val="18"/>
              </w:rPr>
              <w:t>Ref-</w:t>
            </w:r>
          </w:p>
        </w:tc>
        <w:tc>
          <w:tcPr>
            <w:tcW w:w="1088" w:type="dxa"/>
            <w:tcBorders>
              <w:top w:val="nil"/>
              <w:left w:val="single" w:sz="4" w:space="0" w:color="auto"/>
              <w:bottom w:val="nil"/>
              <w:right w:val="nil"/>
            </w:tcBorders>
            <w:shd w:val="clear" w:color="auto" w:fill="auto"/>
            <w:noWrap/>
            <w:vAlign w:val="bottom"/>
            <w:hideMark/>
          </w:tcPr>
          <w:p w14:paraId="6F891E0A" w14:textId="00C91EBF" w:rsidR="00B132D6" w:rsidRPr="00581288" w:rsidRDefault="007A59ED" w:rsidP="00721646">
            <w:pPr>
              <w:spacing w:line="240" w:lineRule="auto"/>
              <w:jc w:val="center"/>
              <w:rPr>
                <w:sz w:val="18"/>
                <w:szCs w:val="18"/>
              </w:rPr>
            </w:pPr>
            <w:r>
              <w:rPr>
                <w:sz w:val="18"/>
                <w:szCs w:val="18"/>
              </w:rPr>
              <w:t>76</w:t>
            </w:r>
            <w:r w:rsidR="00B132D6" w:rsidRPr="00581288">
              <w:rPr>
                <w:sz w:val="18"/>
                <w:szCs w:val="18"/>
              </w:rPr>
              <w:t xml:space="preserve"> (4%)</w:t>
            </w:r>
          </w:p>
        </w:tc>
        <w:tc>
          <w:tcPr>
            <w:tcW w:w="1276" w:type="dxa"/>
            <w:tcBorders>
              <w:top w:val="nil"/>
              <w:left w:val="nil"/>
              <w:bottom w:val="nil"/>
              <w:right w:val="nil"/>
            </w:tcBorders>
            <w:shd w:val="clear" w:color="auto" w:fill="auto"/>
            <w:noWrap/>
            <w:vAlign w:val="bottom"/>
            <w:hideMark/>
          </w:tcPr>
          <w:p w14:paraId="7A5264EF" w14:textId="3E7E2883" w:rsidR="00B132D6" w:rsidRPr="00581288" w:rsidRDefault="00B132D6" w:rsidP="00721646">
            <w:pPr>
              <w:spacing w:line="240" w:lineRule="auto"/>
              <w:jc w:val="center"/>
              <w:rPr>
                <w:sz w:val="18"/>
                <w:szCs w:val="18"/>
              </w:rPr>
            </w:pPr>
            <w:r w:rsidRPr="00581288">
              <w:rPr>
                <w:sz w:val="18"/>
                <w:szCs w:val="18"/>
              </w:rPr>
              <w:t>1</w:t>
            </w:r>
            <w:r w:rsidR="00522F69" w:rsidRPr="00581288">
              <w:rPr>
                <w:sz w:val="18"/>
                <w:szCs w:val="18"/>
              </w:rPr>
              <w:t xml:space="preserve"> 7</w:t>
            </w:r>
            <w:r w:rsidR="00422D12">
              <w:rPr>
                <w:sz w:val="18"/>
                <w:szCs w:val="18"/>
              </w:rPr>
              <w:t>2</w:t>
            </w:r>
            <w:r w:rsidR="007A59ED">
              <w:rPr>
                <w:sz w:val="18"/>
                <w:szCs w:val="18"/>
              </w:rPr>
              <w:t>8</w:t>
            </w:r>
            <w:r w:rsidRPr="00581288">
              <w:rPr>
                <w:sz w:val="18"/>
                <w:szCs w:val="18"/>
              </w:rPr>
              <w:t xml:space="preserve"> (96%)</w:t>
            </w:r>
          </w:p>
        </w:tc>
        <w:tc>
          <w:tcPr>
            <w:tcW w:w="1275" w:type="dxa"/>
            <w:tcBorders>
              <w:top w:val="nil"/>
              <w:left w:val="nil"/>
              <w:bottom w:val="nil"/>
              <w:right w:val="nil"/>
            </w:tcBorders>
            <w:shd w:val="clear" w:color="auto" w:fill="auto"/>
            <w:noWrap/>
            <w:vAlign w:val="bottom"/>
            <w:hideMark/>
          </w:tcPr>
          <w:p w14:paraId="45F7160A" w14:textId="08E4EC0E" w:rsidR="00B132D6" w:rsidRPr="00581288" w:rsidRDefault="00B132D6" w:rsidP="00721646">
            <w:pPr>
              <w:spacing w:line="240" w:lineRule="auto"/>
              <w:jc w:val="center"/>
              <w:rPr>
                <w:sz w:val="18"/>
                <w:szCs w:val="18"/>
              </w:rPr>
            </w:pPr>
            <w:r w:rsidRPr="00581288">
              <w:rPr>
                <w:sz w:val="18"/>
                <w:szCs w:val="18"/>
              </w:rPr>
              <w:t>1</w:t>
            </w:r>
            <w:r w:rsidR="00522F69" w:rsidRPr="00581288">
              <w:rPr>
                <w:sz w:val="18"/>
                <w:szCs w:val="18"/>
              </w:rPr>
              <w:t xml:space="preserve"> 80</w:t>
            </w:r>
            <w:r w:rsidR="007A59ED">
              <w:rPr>
                <w:sz w:val="18"/>
                <w:szCs w:val="18"/>
              </w:rPr>
              <w:t>4</w:t>
            </w:r>
            <w:r w:rsidRPr="00581288">
              <w:rPr>
                <w:sz w:val="18"/>
                <w:szCs w:val="18"/>
              </w:rPr>
              <w:t xml:space="preserve"> (100%)</w:t>
            </w:r>
          </w:p>
        </w:tc>
        <w:tc>
          <w:tcPr>
            <w:tcW w:w="425" w:type="dxa"/>
            <w:tcBorders>
              <w:top w:val="nil"/>
              <w:left w:val="nil"/>
              <w:bottom w:val="nil"/>
              <w:right w:val="nil"/>
            </w:tcBorders>
            <w:shd w:val="clear" w:color="auto" w:fill="auto"/>
            <w:noWrap/>
            <w:vAlign w:val="bottom"/>
            <w:hideMark/>
          </w:tcPr>
          <w:p w14:paraId="33156928" w14:textId="77777777" w:rsidR="00B132D6" w:rsidRPr="00581288" w:rsidRDefault="00B132D6" w:rsidP="00721646">
            <w:pPr>
              <w:spacing w:line="240" w:lineRule="auto"/>
              <w:jc w:val="center"/>
              <w:rPr>
                <w:sz w:val="18"/>
                <w:szCs w:val="18"/>
              </w:rPr>
            </w:pPr>
          </w:p>
        </w:tc>
        <w:tc>
          <w:tcPr>
            <w:tcW w:w="906" w:type="dxa"/>
            <w:tcBorders>
              <w:top w:val="nil"/>
              <w:left w:val="nil"/>
              <w:bottom w:val="nil"/>
              <w:right w:val="nil"/>
            </w:tcBorders>
            <w:shd w:val="clear" w:color="auto" w:fill="auto"/>
            <w:noWrap/>
            <w:vAlign w:val="bottom"/>
            <w:hideMark/>
          </w:tcPr>
          <w:p w14:paraId="576FF01B" w14:textId="77777777" w:rsidR="00B132D6" w:rsidRPr="00581288" w:rsidRDefault="00B132D6" w:rsidP="00721646">
            <w:pPr>
              <w:spacing w:line="240" w:lineRule="auto"/>
              <w:rPr>
                <w:sz w:val="18"/>
                <w:szCs w:val="18"/>
              </w:rPr>
            </w:pPr>
          </w:p>
        </w:tc>
        <w:tc>
          <w:tcPr>
            <w:tcW w:w="987" w:type="dxa"/>
            <w:tcBorders>
              <w:top w:val="nil"/>
              <w:left w:val="nil"/>
              <w:bottom w:val="nil"/>
              <w:right w:val="nil"/>
            </w:tcBorders>
            <w:shd w:val="clear" w:color="auto" w:fill="auto"/>
            <w:noWrap/>
            <w:vAlign w:val="bottom"/>
            <w:hideMark/>
          </w:tcPr>
          <w:p w14:paraId="7C5B2E12" w14:textId="77777777" w:rsidR="00B132D6" w:rsidRPr="00581288" w:rsidRDefault="00B132D6" w:rsidP="00721646">
            <w:pPr>
              <w:spacing w:line="240" w:lineRule="auto"/>
              <w:rPr>
                <w:sz w:val="18"/>
                <w:szCs w:val="18"/>
              </w:rPr>
            </w:pPr>
          </w:p>
        </w:tc>
        <w:tc>
          <w:tcPr>
            <w:tcW w:w="996" w:type="dxa"/>
            <w:tcBorders>
              <w:top w:val="nil"/>
              <w:left w:val="nil"/>
              <w:bottom w:val="nil"/>
              <w:right w:val="nil"/>
            </w:tcBorders>
            <w:shd w:val="clear" w:color="auto" w:fill="auto"/>
            <w:noWrap/>
            <w:vAlign w:val="bottom"/>
            <w:hideMark/>
          </w:tcPr>
          <w:p w14:paraId="510368D1" w14:textId="77777777" w:rsidR="00B132D6" w:rsidRPr="00581288" w:rsidRDefault="00B132D6" w:rsidP="00721646">
            <w:pPr>
              <w:spacing w:line="240" w:lineRule="auto"/>
              <w:rPr>
                <w:sz w:val="18"/>
                <w:szCs w:val="18"/>
              </w:rPr>
            </w:pPr>
          </w:p>
        </w:tc>
        <w:tc>
          <w:tcPr>
            <w:tcW w:w="798" w:type="dxa"/>
            <w:tcBorders>
              <w:top w:val="nil"/>
              <w:left w:val="nil"/>
              <w:bottom w:val="nil"/>
              <w:right w:val="nil"/>
            </w:tcBorders>
            <w:shd w:val="clear" w:color="auto" w:fill="auto"/>
            <w:noWrap/>
            <w:vAlign w:val="bottom"/>
            <w:hideMark/>
          </w:tcPr>
          <w:p w14:paraId="0AD8F292" w14:textId="77777777" w:rsidR="00B132D6" w:rsidRPr="00581288" w:rsidRDefault="00B132D6" w:rsidP="00721646">
            <w:pPr>
              <w:spacing w:line="240" w:lineRule="auto"/>
              <w:rPr>
                <w:sz w:val="18"/>
                <w:szCs w:val="18"/>
              </w:rPr>
            </w:pPr>
          </w:p>
        </w:tc>
        <w:tc>
          <w:tcPr>
            <w:tcW w:w="850" w:type="dxa"/>
            <w:tcBorders>
              <w:top w:val="nil"/>
              <w:left w:val="nil"/>
              <w:bottom w:val="nil"/>
              <w:right w:val="nil"/>
            </w:tcBorders>
            <w:shd w:val="clear" w:color="auto" w:fill="auto"/>
            <w:noWrap/>
            <w:vAlign w:val="bottom"/>
            <w:hideMark/>
          </w:tcPr>
          <w:p w14:paraId="3FDE79F2" w14:textId="77777777" w:rsidR="00B132D6" w:rsidRPr="00581288" w:rsidRDefault="00B132D6" w:rsidP="00721646">
            <w:pPr>
              <w:spacing w:line="240" w:lineRule="auto"/>
              <w:rPr>
                <w:sz w:val="18"/>
                <w:szCs w:val="18"/>
              </w:rPr>
            </w:pPr>
          </w:p>
        </w:tc>
        <w:tc>
          <w:tcPr>
            <w:tcW w:w="992" w:type="dxa"/>
            <w:tcBorders>
              <w:top w:val="nil"/>
              <w:left w:val="nil"/>
              <w:bottom w:val="nil"/>
              <w:right w:val="nil"/>
            </w:tcBorders>
            <w:shd w:val="clear" w:color="auto" w:fill="auto"/>
            <w:noWrap/>
            <w:vAlign w:val="bottom"/>
            <w:hideMark/>
          </w:tcPr>
          <w:p w14:paraId="54F90783" w14:textId="77777777" w:rsidR="00B132D6" w:rsidRPr="00581288" w:rsidRDefault="00B132D6" w:rsidP="00721646">
            <w:pPr>
              <w:spacing w:line="240" w:lineRule="auto"/>
              <w:rPr>
                <w:sz w:val="18"/>
                <w:szCs w:val="18"/>
              </w:rPr>
            </w:pPr>
          </w:p>
        </w:tc>
        <w:tc>
          <w:tcPr>
            <w:tcW w:w="709" w:type="dxa"/>
            <w:tcBorders>
              <w:top w:val="nil"/>
              <w:left w:val="nil"/>
              <w:bottom w:val="nil"/>
              <w:right w:val="nil"/>
            </w:tcBorders>
            <w:shd w:val="clear" w:color="auto" w:fill="auto"/>
            <w:noWrap/>
            <w:vAlign w:val="bottom"/>
            <w:hideMark/>
          </w:tcPr>
          <w:p w14:paraId="70A21B2E" w14:textId="77777777" w:rsidR="00B132D6" w:rsidRPr="00581288" w:rsidRDefault="00B132D6" w:rsidP="00721646">
            <w:pPr>
              <w:spacing w:line="240" w:lineRule="auto"/>
              <w:rPr>
                <w:sz w:val="18"/>
                <w:szCs w:val="18"/>
              </w:rPr>
            </w:pPr>
          </w:p>
        </w:tc>
      </w:tr>
      <w:tr w:rsidR="00B132D6" w:rsidRPr="00581288" w14:paraId="7DFEA408" w14:textId="77777777" w:rsidTr="00804970">
        <w:trPr>
          <w:trHeight w:val="405"/>
        </w:trPr>
        <w:tc>
          <w:tcPr>
            <w:tcW w:w="1108" w:type="dxa"/>
            <w:tcBorders>
              <w:top w:val="nil"/>
              <w:left w:val="nil"/>
              <w:bottom w:val="nil"/>
            </w:tcBorders>
            <w:shd w:val="clear" w:color="auto" w:fill="auto"/>
            <w:noWrap/>
            <w:vAlign w:val="bottom"/>
            <w:hideMark/>
          </w:tcPr>
          <w:p w14:paraId="280D6308" w14:textId="77777777" w:rsidR="00B132D6" w:rsidRPr="00581288" w:rsidRDefault="00B132D6" w:rsidP="00721646">
            <w:pPr>
              <w:spacing w:line="240" w:lineRule="auto"/>
              <w:rPr>
                <w:sz w:val="18"/>
                <w:szCs w:val="18"/>
              </w:rPr>
            </w:pPr>
          </w:p>
        </w:tc>
        <w:tc>
          <w:tcPr>
            <w:tcW w:w="639" w:type="dxa"/>
            <w:tcBorders>
              <w:top w:val="nil"/>
              <w:right w:val="single" w:sz="4" w:space="0" w:color="auto"/>
            </w:tcBorders>
            <w:shd w:val="clear" w:color="auto" w:fill="auto"/>
            <w:noWrap/>
            <w:vAlign w:val="bottom"/>
            <w:hideMark/>
          </w:tcPr>
          <w:p w14:paraId="249CF3CA" w14:textId="77777777" w:rsidR="00B132D6" w:rsidRPr="00581288" w:rsidRDefault="00B132D6" w:rsidP="00721646">
            <w:pPr>
              <w:spacing w:line="240" w:lineRule="auto"/>
              <w:rPr>
                <w:sz w:val="18"/>
                <w:szCs w:val="18"/>
              </w:rPr>
            </w:pPr>
            <w:r w:rsidRPr="00581288">
              <w:rPr>
                <w:sz w:val="18"/>
                <w:szCs w:val="18"/>
              </w:rPr>
              <w:t>Total</w:t>
            </w:r>
          </w:p>
        </w:tc>
        <w:tc>
          <w:tcPr>
            <w:tcW w:w="1088" w:type="dxa"/>
            <w:tcBorders>
              <w:top w:val="nil"/>
              <w:left w:val="single" w:sz="4" w:space="0" w:color="auto"/>
              <w:bottom w:val="nil"/>
              <w:right w:val="nil"/>
            </w:tcBorders>
            <w:shd w:val="clear" w:color="auto" w:fill="auto"/>
            <w:noWrap/>
            <w:vAlign w:val="bottom"/>
            <w:hideMark/>
          </w:tcPr>
          <w:p w14:paraId="3441439B" w14:textId="51408CFB" w:rsidR="00B132D6" w:rsidRPr="00581288" w:rsidRDefault="00522F69" w:rsidP="00721646">
            <w:pPr>
              <w:spacing w:line="240" w:lineRule="auto"/>
              <w:jc w:val="center"/>
              <w:rPr>
                <w:sz w:val="18"/>
                <w:szCs w:val="18"/>
              </w:rPr>
            </w:pPr>
            <w:r w:rsidRPr="00581288">
              <w:rPr>
                <w:sz w:val="18"/>
                <w:szCs w:val="18"/>
              </w:rPr>
              <w:t>34</w:t>
            </w:r>
            <w:r w:rsidR="00B91D07">
              <w:rPr>
                <w:sz w:val="18"/>
                <w:szCs w:val="18"/>
              </w:rPr>
              <w:t>1</w:t>
            </w:r>
            <w:r w:rsidR="00B132D6" w:rsidRPr="00581288">
              <w:rPr>
                <w:sz w:val="18"/>
                <w:szCs w:val="18"/>
              </w:rPr>
              <w:t xml:space="preserve"> (1</w:t>
            </w:r>
            <w:r w:rsidRPr="00581288">
              <w:rPr>
                <w:sz w:val="18"/>
                <w:szCs w:val="18"/>
              </w:rPr>
              <w:t>6</w:t>
            </w:r>
            <w:r w:rsidR="00B132D6" w:rsidRPr="00581288">
              <w:rPr>
                <w:sz w:val="18"/>
                <w:szCs w:val="18"/>
              </w:rPr>
              <w:t>%)</w:t>
            </w:r>
          </w:p>
        </w:tc>
        <w:tc>
          <w:tcPr>
            <w:tcW w:w="1276" w:type="dxa"/>
            <w:tcBorders>
              <w:top w:val="nil"/>
              <w:left w:val="nil"/>
              <w:bottom w:val="nil"/>
              <w:right w:val="nil"/>
            </w:tcBorders>
            <w:shd w:val="clear" w:color="auto" w:fill="auto"/>
            <w:noWrap/>
            <w:vAlign w:val="bottom"/>
            <w:hideMark/>
          </w:tcPr>
          <w:p w14:paraId="46CB6621" w14:textId="346D665B" w:rsidR="00B132D6" w:rsidRPr="00581288" w:rsidRDefault="00B132D6" w:rsidP="00721646">
            <w:pPr>
              <w:spacing w:line="240" w:lineRule="auto"/>
              <w:jc w:val="center"/>
              <w:rPr>
                <w:sz w:val="18"/>
                <w:szCs w:val="18"/>
              </w:rPr>
            </w:pPr>
            <w:r w:rsidRPr="00581288">
              <w:rPr>
                <w:sz w:val="18"/>
                <w:szCs w:val="18"/>
              </w:rPr>
              <w:t>1</w:t>
            </w:r>
            <w:r w:rsidR="00522F69" w:rsidRPr="00581288">
              <w:rPr>
                <w:sz w:val="18"/>
                <w:szCs w:val="18"/>
              </w:rPr>
              <w:t xml:space="preserve"> 83</w:t>
            </w:r>
            <w:r w:rsidR="00B91D07">
              <w:rPr>
                <w:sz w:val="18"/>
                <w:szCs w:val="18"/>
              </w:rPr>
              <w:t>6</w:t>
            </w:r>
            <w:r w:rsidRPr="00581288">
              <w:rPr>
                <w:sz w:val="18"/>
                <w:szCs w:val="18"/>
              </w:rPr>
              <w:t xml:space="preserve"> (8</w:t>
            </w:r>
            <w:r w:rsidR="00522F69" w:rsidRPr="00581288">
              <w:rPr>
                <w:sz w:val="18"/>
                <w:szCs w:val="18"/>
              </w:rPr>
              <w:t>4</w:t>
            </w:r>
            <w:r w:rsidRPr="00581288">
              <w:rPr>
                <w:sz w:val="18"/>
                <w:szCs w:val="18"/>
              </w:rPr>
              <w:t>%)</w:t>
            </w:r>
          </w:p>
        </w:tc>
        <w:tc>
          <w:tcPr>
            <w:tcW w:w="1275" w:type="dxa"/>
            <w:tcBorders>
              <w:top w:val="nil"/>
              <w:left w:val="nil"/>
              <w:bottom w:val="nil"/>
              <w:right w:val="nil"/>
            </w:tcBorders>
            <w:shd w:val="clear" w:color="auto" w:fill="auto"/>
            <w:noWrap/>
            <w:vAlign w:val="bottom"/>
            <w:hideMark/>
          </w:tcPr>
          <w:p w14:paraId="0419CB25" w14:textId="63FC7D7C" w:rsidR="00B132D6" w:rsidRPr="00581288" w:rsidRDefault="00522F69" w:rsidP="00721646">
            <w:pPr>
              <w:spacing w:line="240" w:lineRule="auto"/>
              <w:jc w:val="center"/>
              <w:rPr>
                <w:sz w:val="18"/>
                <w:szCs w:val="18"/>
              </w:rPr>
            </w:pPr>
            <w:r w:rsidRPr="00581288">
              <w:rPr>
                <w:sz w:val="18"/>
                <w:szCs w:val="18"/>
              </w:rPr>
              <w:t>2 17</w:t>
            </w:r>
            <w:r w:rsidR="00B91D07">
              <w:rPr>
                <w:sz w:val="18"/>
                <w:szCs w:val="18"/>
              </w:rPr>
              <w:t>7</w:t>
            </w:r>
            <w:r w:rsidR="00B132D6" w:rsidRPr="00581288">
              <w:rPr>
                <w:sz w:val="18"/>
                <w:szCs w:val="18"/>
              </w:rPr>
              <w:t xml:space="preserve"> (100%)</w:t>
            </w:r>
          </w:p>
        </w:tc>
        <w:tc>
          <w:tcPr>
            <w:tcW w:w="425" w:type="dxa"/>
            <w:tcBorders>
              <w:top w:val="nil"/>
              <w:left w:val="nil"/>
              <w:bottom w:val="nil"/>
              <w:right w:val="nil"/>
            </w:tcBorders>
            <w:shd w:val="clear" w:color="auto" w:fill="auto"/>
            <w:noWrap/>
            <w:vAlign w:val="bottom"/>
            <w:hideMark/>
          </w:tcPr>
          <w:p w14:paraId="6C930508" w14:textId="77777777" w:rsidR="00B132D6" w:rsidRPr="00581288" w:rsidRDefault="00B132D6" w:rsidP="00721646">
            <w:pPr>
              <w:spacing w:line="240" w:lineRule="auto"/>
              <w:jc w:val="center"/>
              <w:rPr>
                <w:sz w:val="18"/>
                <w:szCs w:val="18"/>
              </w:rPr>
            </w:pPr>
          </w:p>
        </w:tc>
        <w:tc>
          <w:tcPr>
            <w:tcW w:w="906" w:type="dxa"/>
            <w:tcBorders>
              <w:top w:val="nil"/>
              <w:left w:val="nil"/>
              <w:bottom w:val="nil"/>
              <w:right w:val="nil"/>
            </w:tcBorders>
            <w:shd w:val="clear" w:color="auto" w:fill="auto"/>
            <w:noWrap/>
            <w:vAlign w:val="bottom"/>
            <w:hideMark/>
          </w:tcPr>
          <w:p w14:paraId="5F3505C1" w14:textId="77777777" w:rsidR="00B132D6" w:rsidRPr="00581288" w:rsidRDefault="00B132D6" w:rsidP="00721646">
            <w:pPr>
              <w:spacing w:line="240" w:lineRule="auto"/>
              <w:rPr>
                <w:sz w:val="18"/>
                <w:szCs w:val="18"/>
              </w:rPr>
            </w:pPr>
          </w:p>
        </w:tc>
        <w:tc>
          <w:tcPr>
            <w:tcW w:w="987" w:type="dxa"/>
            <w:tcBorders>
              <w:top w:val="nil"/>
              <w:left w:val="nil"/>
              <w:bottom w:val="nil"/>
              <w:right w:val="nil"/>
            </w:tcBorders>
            <w:shd w:val="clear" w:color="auto" w:fill="auto"/>
            <w:noWrap/>
            <w:vAlign w:val="bottom"/>
            <w:hideMark/>
          </w:tcPr>
          <w:p w14:paraId="102AB514" w14:textId="77777777" w:rsidR="00B132D6" w:rsidRPr="00581288" w:rsidRDefault="00B132D6" w:rsidP="00721646">
            <w:pPr>
              <w:spacing w:line="240" w:lineRule="auto"/>
              <w:rPr>
                <w:sz w:val="18"/>
                <w:szCs w:val="18"/>
              </w:rPr>
            </w:pPr>
          </w:p>
        </w:tc>
        <w:tc>
          <w:tcPr>
            <w:tcW w:w="996" w:type="dxa"/>
            <w:tcBorders>
              <w:top w:val="nil"/>
              <w:left w:val="nil"/>
              <w:bottom w:val="nil"/>
              <w:right w:val="nil"/>
            </w:tcBorders>
            <w:shd w:val="clear" w:color="auto" w:fill="auto"/>
            <w:noWrap/>
            <w:vAlign w:val="bottom"/>
            <w:hideMark/>
          </w:tcPr>
          <w:p w14:paraId="51716C53" w14:textId="77777777" w:rsidR="00B132D6" w:rsidRPr="00581288" w:rsidRDefault="00B132D6" w:rsidP="00721646">
            <w:pPr>
              <w:spacing w:line="240" w:lineRule="auto"/>
              <w:rPr>
                <w:sz w:val="18"/>
                <w:szCs w:val="18"/>
              </w:rPr>
            </w:pPr>
          </w:p>
        </w:tc>
        <w:tc>
          <w:tcPr>
            <w:tcW w:w="798" w:type="dxa"/>
            <w:tcBorders>
              <w:top w:val="nil"/>
              <w:left w:val="nil"/>
              <w:bottom w:val="nil"/>
              <w:right w:val="nil"/>
            </w:tcBorders>
            <w:shd w:val="clear" w:color="auto" w:fill="auto"/>
            <w:noWrap/>
            <w:vAlign w:val="bottom"/>
            <w:hideMark/>
          </w:tcPr>
          <w:p w14:paraId="07557E81" w14:textId="77777777" w:rsidR="00B132D6" w:rsidRPr="00581288" w:rsidRDefault="00B132D6" w:rsidP="00721646">
            <w:pPr>
              <w:spacing w:line="240" w:lineRule="auto"/>
              <w:rPr>
                <w:sz w:val="18"/>
                <w:szCs w:val="18"/>
              </w:rPr>
            </w:pPr>
          </w:p>
        </w:tc>
        <w:tc>
          <w:tcPr>
            <w:tcW w:w="850" w:type="dxa"/>
            <w:tcBorders>
              <w:top w:val="nil"/>
              <w:left w:val="nil"/>
              <w:bottom w:val="nil"/>
              <w:right w:val="nil"/>
            </w:tcBorders>
            <w:shd w:val="clear" w:color="auto" w:fill="auto"/>
            <w:noWrap/>
            <w:vAlign w:val="bottom"/>
            <w:hideMark/>
          </w:tcPr>
          <w:p w14:paraId="75E2BFE0" w14:textId="77777777" w:rsidR="00B132D6" w:rsidRPr="00581288" w:rsidRDefault="00B132D6" w:rsidP="00721646">
            <w:pPr>
              <w:spacing w:line="240" w:lineRule="auto"/>
              <w:rPr>
                <w:sz w:val="18"/>
                <w:szCs w:val="18"/>
              </w:rPr>
            </w:pPr>
          </w:p>
        </w:tc>
        <w:tc>
          <w:tcPr>
            <w:tcW w:w="992" w:type="dxa"/>
            <w:tcBorders>
              <w:top w:val="nil"/>
              <w:left w:val="nil"/>
              <w:bottom w:val="nil"/>
              <w:right w:val="nil"/>
            </w:tcBorders>
            <w:shd w:val="clear" w:color="auto" w:fill="auto"/>
            <w:noWrap/>
            <w:vAlign w:val="bottom"/>
            <w:hideMark/>
          </w:tcPr>
          <w:p w14:paraId="16E7EA3D" w14:textId="77777777" w:rsidR="00B132D6" w:rsidRPr="00581288" w:rsidRDefault="00B132D6" w:rsidP="00721646">
            <w:pPr>
              <w:spacing w:line="240" w:lineRule="auto"/>
              <w:rPr>
                <w:sz w:val="18"/>
                <w:szCs w:val="18"/>
              </w:rPr>
            </w:pPr>
          </w:p>
        </w:tc>
        <w:tc>
          <w:tcPr>
            <w:tcW w:w="709" w:type="dxa"/>
            <w:tcBorders>
              <w:top w:val="nil"/>
              <w:left w:val="nil"/>
              <w:bottom w:val="nil"/>
              <w:right w:val="nil"/>
            </w:tcBorders>
            <w:shd w:val="clear" w:color="auto" w:fill="auto"/>
            <w:noWrap/>
            <w:vAlign w:val="bottom"/>
            <w:hideMark/>
          </w:tcPr>
          <w:p w14:paraId="5A11F55C" w14:textId="77777777" w:rsidR="00B132D6" w:rsidRPr="00581288" w:rsidRDefault="00B132D6" w:rsidP="00721646">
            <w:pPr>
              <w:spacing w:line="240" w:lineRule="auto"/>
              <w:rPr>
                <w:sz w:val="18"/>
                <w:szCs w:val="18"/>
              </w:rPr>
            </w:pPr>
          </w:p>
        </w:tc>
      </w:tr>
    </w:tbl>
    <w:p w14:paraId="625FCFEE" w14:textId="77777777" w:rsidR="00A50574" w:rsidRPr="00581288" w:rsidRDefault="00A50574" w:rsidP="000075CC">
      <w:pPr>
        <w:pStyle w:val="Caption"/>
        <w:keepNext/>
        <w:spacing w:after="0" w:line="480" w:lineRule="auto"/>
        <w:sectPr w:rsidR="00A50574" w:rsidRPr="00581288" w:rsidSect="000851CB">
          <w:type w:val="nextColumn"/>
          <w:pgSz w:w="15840" w:h="12240" w:orient="landscape"/>
          <w:pgMar w:top="1440" w:right="1588" w:bottom="1588" w:left="1588" w:header="720" w:footer="720" w:gutter="0"/>
          <w:lnNumType w:countBy="1" w:restart="continuous"/>
          <w:cols w:space="720"/>
          <w:docGrid w:linePitch="326"/>
        </w:sectPr>
      </w:pPr>
    </w:p>
    <w:p w14:paraId="2D76DF93" w14:textId="6C724307" w:rsidR="009B7A31" w:rsidRPr="00581288" w:rsidRDefault="00B13461" w:rsidP="000075CC">
      <w:pPr>
        <w:pStyle w:val="Caption"/>
        <w:keepNext/>
        <w:spacing w:after="0" w:line="480" w:lineRule="auto"/>
      </w:pPr>
      <w:r w:rsidRPr="00581288">
        <w:lastRenderedPageBreak/>
        <w:t>Table 2</w:t>
      </w:r>
      <w:r w:rsidR="00B132D6" w:rsidRPr="00581288">
        <w:t xml:space="preserve"> a) Random forest confusion matrix originally calculated on the 20% </w:t>
      </w:r>
      <w:r w:rsidR="00C240F9" w:rsidRPr="00581288">
        <w:t xml:space="preserve">of </w:t>
      </w:r>
      <w:r w:rsidR="00B132D6" w:rsidRPr="00581288">
        <w:t xml:space="preserve">2012-2019 </w:t>
      </w:r>
      <w:r w:rsidR="00C240F9" w:rsidRPr="00581288">
        <w:t xml:space="preserve">testing </w:t>
      </w:r>
      <w:r w:rsidR="00B132D6" w:rsidRPr="00581288">
        <w:t>dataset (Test 1</w:t>
      </w:r>
      <w:r w:rsidR="00C240F9" w:rsidRPr="00581288">
        <w:t>),</w:t>
      </w:r>
      <w:r w:rsidR="00455589" w:rsidRPr="00581288">
        <w:t xml:space="preserve"> showing the reference (Ref) and prediction values (</w:t>
      </w:r>
      <w:proofErr w:type="spellStart"/>
      <w:r w:rsidR="00455589" w:rsidRPr="00581288">
        <w:t>Pred</w:t>
      </w:r>
      <w:proofErr w:type="spellEnd"/>
      <w:r w:rsidR="00455589" w:rsidRPr="00581288">
        <w:t>)</w:t>
      </w:r>
      <w:r w:rsidR="00C240F9" w:rsidRPr="00581288">
        <w:t xml:space="preserve"> </w:t>
      </w:r>
      <w:r w:rsidR="00455589" w:rsidRPr="00581288">
        <w:t>for outcome “Yes” (“+”) and “No” (“</w:t>
      </w:r>
      <w:proofErr w:type="gramStart"/>
      <w:r w:rsidR="00455589" w:rsidRPr="00581288">
        <w:t>-“</w:t>
      </w:r>
      <w:proofErr w:type="gramEnd"/>
      <w:r w:rsidR="00455589" w:rsidRPr="00581288">
        <w:t>).</w:t>
      </w:r>
      <w:r w:rsidR="00B132D6" w:rsidRPr="00581288">
        <w:t xml:space="preserve"> b) Predictive performance of the classification tree analysis in the same Test 1 dataset</w:t>
      </w:r>
      <w:r w:rsidR="00DB01CA" w:rsidRPr="00581288">
        <w:t>.</w:t>
      </w:r>
      <w:r w:rsidR="002A2DC8" w:rsidRPr="00581288">
        <w:t xml:space="preserve"> </w:t>
      </w:r>
    </w:p>
    <w:tbl>
      <w:tblPr>
        <w:tblW w:w="12333" w:type="dxa"/>
        <w:tblLook w:val="04A0" w:firstRow="1" w:lastRow="0" w:firstColumn="1" w:lastColumn="0" w:noHBand="0" w:noVBand="1"/>
      </w:tblPr>
      <w:tblGrid>
        <w:gridCol w:w="1027"/>
        <w:gridCol w:w="639"/>
        <w:gridCol w:w="1453"/>
        <w:gridCol w:w="1276"/>
        <w:gridCol w:w="1275"/>
        <w:gridCol w:w="426"/>
        <w:gridCol w:w="983"/>
        <w:gridCol w:w="1072"/>
        <w:gridCol w:w="1083"/>
        <w:gridCol w:w="689"/>
        <w:gridCol w:w="709"/>
        <w:gridCol w:w="992"/>
        <w:gridCol w:w="709"/>
      </w:tblGrid>
      <w:tr w:rsidR="00B132D6" w:rsidRPr="00581288" w14:paraId="47CD2D7B" w14:textId="77777777" w:rsidTr="0039150C">
        <w:trPr>
          <w:trHeight w:val="405"/>
        </w:trPr>
        <w:tc>
          <w:tcPr>
            <w:tcW w:w="1027" w:type="dxa"/>
            <w:tcBorders>
              <w:top w:val="nil"/>
              <w:left w:val="nil"/>
              <w:bottom w:val="nil"/>
              <w:right w:val="nil"/>
            </w:tcBorders>
            <w:shd w:val="clear" w:color="auto" w:fill="auto"/>
            <w:noWrap/>
            <w:vAlign w:val="bottom"/>
            <w:hideMark/>
          </w:tcPr>
          <w:p w14:paraId="55437B47" w14:textId="77777777" w:rsidR="00B132D6" w:rsidRPr="00581288" w:rsidRDefault="00B132D6" w:rsidP="00721646">
            <w:pPr>
              <w:spacing w:line="240" w:lineRule="auto"/>
              <w:rPr>
                <w:b/>
                <w:bCs/>
                <w:sz w:val="18"/>
                <w:szCs w:val="18"/>
              </w:rPr>
            </w:pPr>
            <w:r w:rsidRPr="00581288">
              <w:rPr>
                <w:b/>
                <w:bCs/>
                <w:sz w:val="18"/>
                <w:szCs w:val="18"/>
              </w:rPr>
              <w:t>a</w:t>
            </w:r>
          </w:p>
        </w:tc>
        <w:tc>
          <w:tcPr>
            <w:tcW w:w="639" w:type="dxa"/>
            <w:tcBorders>
              <w:top w:val="nil"/>
              <w:left w:val="nil"/>
              <w:right w:val="nil"/>
            </w:tcBorders>
            <w:shd w:val="clear" w:color="auto" w:fill="auto"/>
            <w:noWrap/>
            <w:vAlign w:val="bottom"/>
            <w:hideMark/>
          </w:tcPr>
          <w:p w14:paraId="18DD382C" w14:textId="77777777" w:rsidR="00B132D6" w:rsidRPr="00581288" w:rsidRDefault="00B132D6" w:rsidP="00721646">
            <w:pPr>
              <w:spacing w:line="240" w:lineRule="auto"/>
              <w:rPr>
                <w:b/>
                <w:bCs/>
                <w:sz w:val="18"/>
                <w:szCs w:val="18"/>
              </w:rPr>
            </w:pPr>
          </w:p>
        </w:tc>
        <w:tc>
          <w:tcPr>
            <w:tcW w:w="2729" w:type="dxa"/>
            <w:gridSpan w:val="2"/>
            <w:tcBorders>
              <w:top w:val="nil"/>
              <w:left w:val="nil"/>
              <w:right w:val="nil"/>
            </w:tcBorders>
            <w:shd w:val="clear" w:color="auto" w:fill="auto"/>
            <w:noWrap/>
            <w:vAlign w:val="bottom"/>
            <w:hideMark/>
          </w:tcPr>
          <w:p w14:paraId="79C0C09B" w14:textId="77777777" w:rsidR="00B132D6" w:rsidRPr="00581288" w:rsidRDefault="00B132D6" w:rsidP="00721646">
            <w:pPr>
              <w:spacing w:line="240" w:lineRule="auto"/>
              <w:jc w:val="center"/>
              <w:rPr>
                <w:sz w:val="18"/>
                <w:szCs w:val="18"/>
              </w:rPr>
            </w:pPr>
            <w:r w:rsidRPr="00581288">
              <w:rPr>
                <w:sz w:val="18"/>
                <w:szCs w:val="18"/>
              </w:rPr>
              <w:t>Prediction</w:t>
            </w:r>
          </w:p>
        </w:tc>
        <w:tc>
          <w:tcPr>
            <w:tcW w:w="1275" w:type="dxa"/>
            <w:tcBorders>
              <w:top w:val="nil"/>
              <w:left w:val="nil"/>
              <w:right w:val="nil"/>
            </w:tcBorders>
            <w:shd w:val="clear" w:color="auto" w:fill="auto"/>
            <w:noWrap/>
            <w:vAlign w:val="bottom"/>
            <w:hideMark/>
          </w:tcPr>
          <w:p w14:paraId="72A9E53A" w14:textId="77777777" w:rsidR="00B132D6" w:rsidRPr="00581288" w:rsidRDefault="00B132D6" w:rsidP="00721646">
            <w:pPr>
              <w:spacing w:line="240" w:lineRule="auto"/>
              <w:jc w:val="center"/>
              <w:rPr>
                <w:sz w:val="18"/>
                <w:szCs w:val="18"/>
              </w:rPr>
            </w:pPr>
          </w:p>
        </w:tc>
        <w:tc>
          <w:tcPr>
            <w:tcW w:w="426" w:type="dxa"/>
            <w:tcBorders>
              <w:top w:val="nil"/>
              <w:left w:val="nil"/>
              <w:right w:val="nil"/>
            </w:tcBorders>
            <w:shd w:val="clear" w:color="auto" w:fill="auto"/>
            <w:noWrap/>
            <w:vAlign w:val="bottom"/>
            <w:hideMark/>
          </w:tcPr>
          <w:p w14:paraId="7ACBEA10" w14:textId="77777777" w:rsidR="00B132D6" w:rsidRPr="00581288" w:rsidRDefault="00B132D6" w:rsidP="00721646">
            <w:pPr>
              <w:spacing w:line="240" w:lineRule="auto"/>
              <w:rPr>
                <w:b/>
                <w:bCs/>
                <w:sz w:val="18"/>
                <w:szCs w:val="18"/>
              </w:rPr>
            </w:pPr>
            <w:r w:rsidRPr="00581288">
              <w:rPr>
                <w:b/>
                <w:bCs/>
                <w:sz w:val="18"/>
                <w:szCs w:val="18"/>
              </w:rPr>
              <w:t>b</w:t>
            </w:r>
          </w:p>
        </w:tc>
        <w:tc>
          <w:tcPr>
            <w:tcW w:w="983" w:type="dxa"/>
            <w:tcBorders>
              <w:top w:val="nil"/>
              <w:left w:val="nil"/>
              <w:right w:val="nil"/>
            </w:tcBorders>
            <w:shd w:val="clear" w:color="auto" w:fill="auto"/>
            <w:noWrap/>
            <w:vAlign w:val="bottom"/>
            <w:hideMark/>
          </w:tcPr>
          <w:p w14:paraId="7BDF5BB9" w14:textId="77777777" w:rsidR="00B132D6" w:rsidRPr="00581288" w:rsidRDefault="00B132D6" w:rsidP="00721646">
            <w:pPr>
              <w:spacing w:line="240" w:lineRule="auto"/>
              <w:rPr>
                <w:b/>
                <w:bCs/>
                <w:sz w:val="18"/>
                <w:szCs w:val="18"/>
              </w:rPr>
            </w:pPr>
          </w:p>
        </w:tc>
        <w:tc>
          <w:tcPr>
            <w:tcW w:w="1072" w:type="dxa"/>
            <w:tcBorders>
              <w:top w:val="nil"/>
              <w:left w:val="nil"/>
              <w:right w:val="nil"/>
            </w:tcBorders>
            <w:shd w:val="clear" w:color="auto" w:fill="auto"/>
            <w:noWrap/>
            <w:vAlign w:val="bottom"/>
            <w:hideMark/>
          </w:tcPr>
          <w:p w14:paraId="42CEC869" w14:textId="77777777" w:rsidR="00B132D6" w:rsidRPr="00581288" w:rsidRDefault="00B132D6" w:rsidP="00721646">
            <w:pPr>
              <w:spacing w:line="240" w:lineRule="auto"/>
              <w:rPr>
                <w:sz w:val="18"/>
                <w:szCs w:val="18"/>
              </w:rPr>
            </w:pPr>
          </w:p>
        </w:tc>
        <w:tc>
          <w:tcPr>
            <w:tcW w:w="1083" w:type="dxa"/>
            <w:tcBorders>
              <w:top w:val="nil"/>
              <w:left w:val="nil"/>
              <w:right w:val="nil"/>
            </w:tcBorders>
            <w:shd w:val="clear" w:color="auto" w:fill="auto"/>
            <w:noWrap/>
            <w:vAlign w:val="bottom"/>
            <w:hideMark/>
          </w:tcPr>
          <w:p w14:paraId="11EB35E5" w14:textId="77777777" w:rsidR="00B132D6" w:rsidRPr="00581288" w:rsidRDefault="00B132D6" w:rsidP="00721646">
            <w:pPr>
              <w:spacing w:line="240" w:lineRule="auto"/>
              <w:rPr>
                <w:sz w:val="18"/>
                <w:szCs w:val="18"/>
              </w:rPr>
            </w:pPr>
          </w:p>
        </w:tc>
        <w:tc>
          <w:tcPr>
            <w:tcW w:w="689" w:type="dxa"/>
            <w:tcBorders>
              <w:top w:val="nil"/>
              <w:left w:val="nil"/>
              <w:right w:val="nil"/>
            </w:tcBorders>
            <w:shd w:val="clear" w:color="auto" w:fill="auto"/>
            <w:noWrap/>
            <w:vAlign w:val="bottom"/>
            <w:hideMark/>
          </w:tcPr>
          <w:p w14:paraId="077F4C31" w14:textId="77777777" w:rsidR="00B132D6" w:rsidRPr="00581288" w:rsidRDefault="00B132D6" w:rsidP="00721646">
            <w:pPr>
              <w:spacing w:line="240" w:lineRule="auto"/>
              <w:rPr>
                <w:sz w:val="18"/>
                <w:szCs w:val="18"/>
              </w:rPr>
            </w:pPr>
          </w:p>
        </w:tc>
        <w:tc>
          <w:tcPr>
            <w:tcW w:w="709" w:type="dxa"/>
            <w:tcBorders>
              <w:top w:val="nil"/>
              <w:left w:val="nil"/>
              <w:right w:val="nil"/>
            </w:tcBorders>
            <w:shd w:val="clear" w:color="auto" w:fill="auto"/>
            <w:noWrap/>
            <w:vAlign w:val="bottom"/>
            <w:hideMark/>
          </w:tcPr>
          <w:p w14:paraId="399A978B" w14:textId="77777777" w:rsidR="00B132D6" w:rsidRPr="00581288" w:rsidRDefault="00B132D6" w:rsidP="00721646">
            <w:pPr>
              <w:spacing w:line="240" w:lineRule="auto"/>
              <w:rPr>
                <w:sz w:val="18"/>
                <w:szCs w:val="18"/>
              </w:rPr>
            </w:pPr>
          </w:p>
        </w:tc>
        <w:tc>
          <w:tcPr>
            <w:tcW w:w="992" w:type="dxa"/>
            <w:tcBorders>
              <w:top w:val="nil"/>
              <w:left w:val="nil"/>
              <w:right w:val="nil"/>
            </w:tcBorders>
            <w:shd w:val="clear" w:color="auto" w:fill="auto"/>
            <w:noWrap/>
            <w:vAlign w:val="bottom"/>
            <w:hideMark/>
          </w:tcPr>
          <w:p w14:paraId="7AB47B9F" w14:textId="77777777" w:rsidR="00B132D6" w:rsidRPr="00581288" w:rsidRDefault="00B132D6" w:rsidP="00721646">
            <w:pPr>
              <w:spacing w:line="240" w:lineRule="auto"/>
              <w:rPr>
                <w:sz w:val="18"/>
                <w:szCs w:val="18"/>
              </w:rPr>
            </w:pPr>
          </w:p>
        </w:tc>
        <w:tc>
          <w:tcPr>
            <w:tcW w:w="709" w:type="dxa"/>
            <w:tcBorders>
              <w:top w:val="nil"/>
              <w:left w:val="nil"/>
              <w:right w:val="nil"/>
            </w:tcBorders>
            <w:shd w:val="clear" w:color="auto" w:fill="auto"/>
            <w:noWrap/>
            <w:vAlign w:val="bottom"/>
            <w:hideMark/>
          </w:tcPr>
          <w:p w14:paraId="78F77194" w14:textId="77777777" w:rsidR="00B132D6" w:rsidRPr="00581288" w:rsidRDefault="00B132D6" w:rsidP="00721646">
            <w:pPr>
              <w:spacing w:line="240" w:lineRule="auto"/>
              <w:rPr>
                <w:sz w:val="18"/>
                <w:szCs w:val="18"/>
              </w:rPr>
            </w:pPr>
          </w:p>
        </w:tc>
      </w:tr>
      <w:tr w:rsidR="00B132D6" w:rsidRPr="00581288" w14:paraId="189F1EFF" w14:textId="77777777" w:rsidTr="0039150C">
        <w:trPr>
          <w:trHeight w:val="405"/>
        </w:trPr>
        <w:tc>
          <w:tcPr>
            <w:tcW w:w="1027" w:type="dxa"/>
            <w:tcBorders>
              <w:top w:val="nil"/>
              <w:left w:val="nil"/>
              <w:bottom w:val="nil"/>
            </w:tcBorders>
            <w:shd w:val="clear" w:color="auto" w:fill="auto"/>
            <w:noWrap/>
            <w:vAlign w:val="bottom"/>
            <w:hideMark/>
          </w:tcPr>
          <w:p w14:paraId="2556A51F" w14:textId="77777777" w:rsidR="00B132D6" w:rsidRPr="00581288" w:rsidRDefault="00B132D6" w:rsidP="00721646">
            <w:pPr>
              <w:spacing w:line="240" w:lineRule="auto"/>
              <w:rPr>
                <w:sz w:val="18"/>
                <w:szCs w:val="18"/>
              </w:rPr>
            </w:pPr>
            <w:r w:rsidRPr="00581288">
              <w:rPr>
                <w:sz w:val="18"/>
                <w:szCs w:val="18"/>
              </w:rPr>
              <w:t>Reference</w:t>
            </w:r>
          </w:p>
        </w:tc>
        <w:tc>
          <w:tcPr>
            <w:tcW w:w="639" w:type="dxa"/>
            <w:tcBorders>
              <w:bottom w:val="single" w:sz="4" w:space="0" w:color="auto"/>
              <w:right w:val="single" w:sz="4" w:space="0" w:color="auto"/>
            </w:tcBorders>
            <w:shd w:val="clear" w:color="auto" w:fill="auto"/>
            <w:noWrap/>
            <w:vAlign w:val="bottom"/>
            <w:hideMark/>
          </w:tcPr>
          <w:p w14:paraId="08095D26" w14:textId="77777777" w:rsidR="00B132D6" w:rsidRPr="00581288" w:rsidRDefault="00B132D6" w:rsidP="00721646">
            <w:pPr>
              <w:spacing w:line="240" w:lineRule="auto"/>
              <w:rPr>
                <w:sz w:val="18"/>
                <w:szCs w:val="18"/>
              </w:rPr>
            </w:pPr>
            <w:r w:rsidRPr="00581288">
              <w:rPr>
                <w:sz w:val="18"/>
                <w:szCs w:val="18"/>
              </w:rPr>
              <w:t> </w:t>
            </w:r>
          </w:p>
        </w:tc>
        <w:tc>
          <w:tcPr>
            <w:tcW w:w="1453" w:type="dxa"/>
            <w:tcBorders>
              <w:left w:val="single" w:sz="4" w:space="0" w:color="auto"/>
              <w:bottom w:val="single" w:sz="4" w:space="0" w:color="auto"/>
            </w:tcBorders>
            <w:shd w:val="clear" w:color="auto" w:fill="auto"/>
            <w:noWrap/>
            <w:vAlign w:val="bottom"/>
            <w:hideMark/>
          </w:tcPr>
          <w:p w14:paraId="6A4727D6" w14:textId="77777777" w:rsidR="00B132D6" w:rsidRPr="00581288" w:rsidRDefault="00B132D6" w:rsidP="00721646">
            <w:pPr>
              <w:spacing w:line="240" w:lineRule="auto"/>
              <w:jc w:val="center"/>
              <w:rPr>
                <w:sz w:val="18"/>
                <w:szCs w:val="18"/>
              </w:rPr>
            </w:pPr>
            <w:proofErr w:type="spellStart"/>
            <w:r w:rsidRPr="00581288">
              <w:rPr>
                <w:sz w:val="18"/>
                <w:szCs w:val="18"/>
              </w:rPr>
              <w:t>Pred</w:t>
            </w:r>
            <w:proofErr w:type="spellEnd"/>
            <w:r w:rsidRPr="00581288">
              <w:rPr>
                <w:sz w:val="18"/>
                <w:szCs w:val="18"/>
              </w:rPr>
              <w:t>+</w:t>
            </w:r>
          </w:p>
        </w:tc>
        <w:tc>
          <w:tcPr>
            <w:tcW w:w="1276" w:type="dxa"/>
            <w:tcBorders>
              <w:bottom w:val="single" w:sz="4" w:space="0" w:color="auto"/>
            </w:tcBorders>
            <w:shd w:val="clear" w:color="auto" w:fill="auto"/>
            <w:noWrap/>
            <w:vAlign w:val="bottom"/>
            <w:hideMark/>
          </w:tcPr>
          <w:p w14:paraId="46D01CF3" w14:textId="77777777" w:rsidR="00B132D6" w:rsidRPr="00581288" w:rsidRDefault="00B132D6" w:rsidP="00721646">
            <w:pPr>
              <w:spacing w:line="240" w:lineRule="auto"/>
              <w:jc w:val="center"/>
              <w:rPr>
                <w:sz w:val="18"/>
                <w:szCs w:val="18"/>
              </w:rPr>
            </w:pPr>
            <w:proofErr w:type="spellStart"/>
            <w:r w:rsidRPr="00581288">
              <w:rPr>
                <w:sz w:val="18"/>
                <w:szCs w:val="18"/>
              </w:rPr>
              <w:t>Pred</w:t>
            </w:r>
            <w:proofErr w:type="spellEnd"/>
            <w:r w:rsidRPr="00581288">
              <w:rPr>
                <w:sz w:val="18"/>
                <w:szCs w:val="18"/>
              </w:rPr>
              <w:t>-</w:t>
            </w:r>
          </w:p>
        </w:tc>
        <w:tc>
          <w:tcPr>
            <w:tcW w:w="1275" w:type="dxa"/>
            <w:tcBorders>
              <w:bottom w:val="single" w:sz="4" w:space="0" w:color="auto"/>
            </w:tcBorders>
            <w:shd w:val="clear" w:color="auto" w:fill="auto"/>
            <w:noWrap/>
            <w:vAlign w:val="bottom"/>
            <w:hideMark/>
          </w:tcPr>
          <w:p w14:paraId="38F378CF" w14:textId="77777777" w:rsidR="00B132D6" w:rsidRPr="00581288" w:rsidRDefault="00B132D6" w:rsidP="00721646">
            <w:pPr>
              <w:spacing w:line="240" w:lineRule="auto"/>
              <w:rPr>
                <w:sz w:val="18"/>
                <w:szCs w:val="18"/>
              </w:rPr>
            </w:pPr>
            <w:r w:rsidRPr="00581288">
              <w:rPr>
                <w:sz w:val="18"/>
                <w:szCs w:val="18"/>
              </w:rPr>
              <w:t>Total</w:t>
            </w:r>
          </w:p>
        </w:tc>
        <w:tc>
          <w:tcPr>
            <w:tcW w:w="426" w:type="dxa"/>
            <w:shd w:val="clear" w:color="auto" w:fill="auto"/>
            <w:noWrap/>
            <w:vAlign w:val="bottom"/>
            <w:hideMark/>
          </w:tcPr>
          <w:p w14:paraId="6F6E7191" w14:textId="77777777" w:rsidR="00B132D6" w:rsidRPr="00581288" w:rsidRDefault="00B132D6" w:rsidP="00721646">
            <w:pPr>
              <w:spacing w:line="240" w:lineRule="auto"/>
              <w:rPr>
                <w:sz w:val="18"/>
                <w:szCs w:val="18"/>
              </w:rPr>
            </w:pPr>
          </w:p>
        </w:tc>
        <w:tc>
          <w:tcPr>
            <w:tcW w:w="983" w:type="dxa"/>
            <w:tcBorders>
              <w:bottom w:val="single" w:sz="4" w:space="0" w:color="auto"/>
            </w:tcBorders>
            <w:shd w:val="clear" w:color="auto" w:fill="auto"/>
            <w:noWrap/>
            <w:vAlign w:val="bottom"/>
            <w:hideMark/>
          </w:tcPr>
          <w:p w14:paraId="7B07B5BE" w14:textId="77777777" w:rsidR="00B132D6" w:rsidRPr="00581288" w:rsidRDefault="00B132D6" w:rsidP="00721646">
            <w:pPr>
              <w:spacing w:line="240" w:lineRule="auto"/>
              <w:jc w:val="center"/>
              <w:rPr>
                <w:sz w:val="18"/>
                <w:szCs w:val="18"/>
              </w:rPr>
            </w:pPr>
            <w:r w:rsidRPr="00581288">
              <w:rPr>
                <w:sz w:val="18"/>
                <w:szCs w:val="18"/>
              </w:rPr>
              <w:t>Accuracy</w:t>
            </w:r>
          </w:p>
        </w:tc>
        <w:tc>
          <w:tcPr>
            <w:tcW w:w="1072" w:type="dxa"/>
            <w:tcBorders>
              <w:bottom w:val="single" w:sz="4" w:space="0" w:color="auto"/>
            </w:tcBorders>
            <w:shd w:val="clear" w:color="auto" w:fill="auto"/>
            <w:noWrap/>
            <w:vAlign w:val="bottom"/>
            <w:hideMark/>
          </w:tcPr>
          <w:p w14:paraId="71D433C7" w14:textId="77777777" w:rsidR="00B132D6" w:rsidRPr="00581288" w:rsidRDefault="00B132D6" w:rsidP="00721646">
            <w:pPr>
              <w:spacing w:line="240" w:lineRule="auto"/>
              <w:jc w:val="center"/>
              <w:rPr>
                <w:sz w:val="18"/>
                <w:szCs w:val="18"/>
              </w:rPr>
            </w:pPr>
            <w:r w:rsidRPr="00581288">
              <w:rPr>
                <w:sz w:val="18"/>
                <w:szCs w:val="18"/>
              </w:rPr>
              <w:t>Sensitivity</w:t>
            </w:r>
          </w:p>
        </w:tc>
        <w:tc>
          <w:tcPr>
            <w:tcW w:w="1083" w:type="dxa"/>
            <w:tcBorders>
              <w:bottom w:val="single" w:sz="4" w:space="0" w:color="auto"/>
            </w:tcBorders>
            <w:shd w:val="clear" w:color="auto" w:fill="auto"/>
            <w:noWrap/>
            <w:vAlign w:val="bottom"/>
            <w:hideMark/>
          </w:tcPr>
          <w:p w14:paraId="74D35FF0" w14:textId="77777777" w:rsidR="00B132D6" w:rsidRPr="00581288" w:rsidRDefault="00B132D6" w:rsidP="00721646">
            <w:pPr>
              <w:spacing w:line="240" w:lineRule="auto"/>
              <w:jc w:val="center"/>
              <w:rPr>
                <w:sz w:val="18"/>
                <w:szCs w:val="18"/>
              </w:rPr>
            </w:pPr>
            <w:r w:rsidRPr="00581288">
              <w:rPr>
                <w:sz w:val="18"/>
                <w:szCs w:val="18"/>
              </w:rPr>
              <w:t>Specificity</w:t>
            </w:r>
          </w:p>
        </w:tc>
        <w:tc>
          <w:tcPr>
            <w:tcW w:w="689" w:type="dxa"/>
            <w:tcBorders>
              <w:bottom w:val="single" w:sz="4" w:space="0" w:color="auto"/>
            </w:tcBorders>
            <w:shd w:val="clear" w:color="auto" w:fill="auto"/>
            <w:noWrap/>
            <w:vAlign w:val="bottom"/>
            <w:hideMark/>
          </w:tcPr>
          <w:p w14:paraId="6C1463C2" w14:textId="77777777" w:rsidR="00B132D6" w:rsidRPr="00581288" w:rsidRDefault="00B132D6" w:rsidP="00721646">
            <w:pPr>
              <w:spacing w:line="240" w:lineRule="auto"/>
              <w:jc w:val="center"/>
              <w:rPr>
                <w:sz w:val="18"/>
                <w:szCs w:val="18"/>
              </w:rPr>
            </w:pPr>
            <w:r w:rsidRPr="00581288">
              <w:rPr>
                <w:sz w:val="18"/>
                <w:szCs w:val="18"/>
              </w:rPr>
              <w:t>PPV</w:t>
            </w:r>
          </w:p>
        </w:tc>
        <w:tc>
          <w:tcPr>
            <w:tcW w:w="709" w:type="dxa"/>
            <w:tcBorders>
              <w:bottom w:val="single" w:sz="4" w:space="0" w:color="auto"/>
            </w:tcBorders>
            <w:shd w:val="clear" w:color="auto" w:fill="auto"/>
            <w:noWrap/>
            <w:vAlign w:val="bottom"/>
            <w:hideMark/>
          </w:tcPr>
          <w:p w14:paraId="65440721" w14:textId="77777777" w:rsidR="00B132D6" w:rsidRPr="00581288" w:rsidRDefault="00B132D6" w:rsidP="00721646">
            <w:pPr>
              <w:spacing w:line="240" w:lineRule="auto"/>
              <w:jc w:val="center"/>
              <w:rPr>
                <w:sz w:val="18"/>
                <w:szCs w:val="18"/>
              </w:rPr>
            </w:pPr>
            <w:r w:rsidRPr="00581288">
              <w:rPr>
                <w:sz w:val="18"/>
                <w:szCs w:val="18"/>
              </w:rPr>
              <w:t>NPV</w:t>
            </w:r>
          </w:p>
        </w:tc>
        <w:tc>
          <w:tcPr>
            <w:tcW w:w="992" w:type="dxa"/>
            <w:tcBorders>
              <w:bottom w:val="single" w:sz="4" w:space="0" w:color="auto"/>
            </w:tcBorders>
            <w:shd w:val="clear" w:color="auto" w:fill="auto"/>
            <w:noWrap/>
            <w:vAlign w:val="bottom"/>
            <w:hideMark/>
          </w:tcPr>
          <w:p w14:paraId="7DD26E5A" w14:textId="77777777" w:rsidR="00B132D6" w:rsidRPr="00581288" w:rsidRDefault="00B132D6" w:rsidP="00721646">
            <w:pPr>
              <w:spacing w:line="240" w:lineRule="auto"/>
              <w:jc w:val="center"/>
              <w:rPr>
                <w:sz w:val="18"/>
                <w:szCs w:val="18"/>
              </w:rPr>
            </w:pPr>
            <w:r w:rsidRPr="00581288">
              <w:rPr>
                <w:sz w:val="18"/>
                <w:szCs w:val="18"/>
              </w:rPr>
              <w:t>Balanced accuracy</w:t>
            </w:r>
          </w:p>
        </w:tc>
        <w:tc>
          <w:tcPr>
            <w:tcW w:w="709" w:type="dxa"/>
            <w:tcBorders>
              <w:bottom w:val="single" w:sz="4" w:space="0" w:color="auto"/>
            </w:tcBorders>
            <w:shd w:val="clear" w:color="auto" w:fill="auto"/>
            <w:noWrap/>
            <w:vAlign w:val="bottom"/>
            <w:hideMark/>
          </w:tcPr>
          <w:p w14:paraId="0CE06C15" w14:textId="77777777" w:rsidR="00B132D6" w:rsidRPr="00581288" w:rsidRDefault="00B132D6" w:rsidP="00721646">
            <w:pPr>
              <w:spacing w:line="240" w:lineRule="auto"/>
              <w:jc w:val="center"/>
              <w:rPr>
                <w:sz w:val="18"/>
                <w:szCs w:val="18"/>
              </w:rPr>
            </w:pPr>
            <w:r w:rsidRPr="00581288">
              <w:rPr>
                <w:sz w:val="18"/>
                <w:szCs w:val="18"/>
              </w:rPr>
              <w:t>AUC</w:t>
            </w:r>
          </w:p>
        </w:tc>
      </w:tr>
      <w:tr w:rsidR="00B132D6" w:rsidRPr="00581288" w14:paraId="78730F79" w14:textId="77777777" w:rsidTr="0039150C">
        <w:trPr>
          <w:trHeight w:val="405"/>
        </w:trPr>
        <w:tc>
          <w:tcPr>
            <w:tcW w:w="1027" w:type="dxa"/>
            <w:tcBorders>
              <w:top w:val="nil"/>
              <w:left w:val="nil"/>
              <w:bottom w:val="nil"/>
            </w:tcBorders>
            <w:shd w:val="clear" w:color="auto" w:fill="auto"/>
            <w:noWrap/>
            <w:vAlign w:val="bottom"/>
            <w:hideMark/>
          </w:tcPr>
          <w:p w14:paraId="2B74ED69" w14:textId="77777777" w:rsidR="00B132D6" w:rsidRPr="00581288" w:rsidRDefault="00B132D6" w:rsidP="00721646">
            <w:pPr>
              <w:spacing w:line="240" w:lineRule="auto"/>
              <w:jc w:val="center"/>
              <w:rPr>
                <w:sz w:val="18"/>
                <w:szCs w:val="18"/>
              </w:rPr>
            </w:pPr>
          </w:p>
        </w:tc>
        <w:tc>
          <w:tcPr>
            <w:tcW w:w="639" w:type="dxa"/>
            <w:tcBorders>
              <w:top w:val="single" w:sz="4" w:space="0" w:color="auto"/>
              <w:right w:val="single" w:sz="4" w:space="0" w:color="auto"/>
            </w:tcBorders>
            <w:shd w:val="clear" w:color="auto" w:fill="auto"/>
            <w:noWrap/>
            <w:vAlign w:val="bottom"/>
            <w:hideMark/>
          </w:tcPr>
          <w:p w14:paraId="3FC4A7A4" w14:textId="77777777" w:rsidR="00B132D6" w:rsidRPr="00581288" w:rsidRDefault="00B132D6" w:rsidP="00721646">
            <w:pPr>
              <w:spacing w:line="240" w:lineRule="auto"/>
              <w:rPr>
                <w:sz w:val="18"/>
                <w:szCs w:val="18"/>
              </w:rPr>
            </w:pPr>
            <w:r w:rsidRPr="00581288">
              <w:rPr>
                <w:sz w:val="18"/>
                <w:szCs w:val="18"/>
              </w:rPr>
              <w:t>Ref+</w:t>
            </w:r>
          </w:p>
        </w:tc>
        <w:tc>
          <w:tcPr>
            <w:tcW w:w="1453" w:type="dxa"/>
            <w:tcBorders>
              <w:top w:val="single" w:sz="4" w:space="0" w:color="auto"/>
              <w:left w:val="single" w:sz="4" w:space="0" w:color="auto"/>
            </w:tcBorders>
            <w:shd w:val="clear" w:color="auto" w:fill="auto"/>
            <w:noWrap/>
            <w:vAlign w:val="bottom"/>
            <w:hideMark/>
          </w:tcPr>
          <w:p w14:paraId="766017E4" w14:textId="102610F6" w:rsidR="00B132D6" w:rsidRPr="00581288" w:rsidRDefault="00A93252" w:rsidP="00721646">
            <w:pPr>
              <w:spacing w:line="240" w:lineRule="auto"/>
              <w:jc w:val="center"/>
              <w:rPr>
                <w:sz w:val="18"/>
                <w:szCs w:val="18"/>
              </w:rPr>
            </w:pPr>
            <w:r>
              <w:rPr>
                <w:sz w:val="18"/>
                <w:szCs w:val="18"/>
              </w:rPr>
              <w:t>5</w:t>
            </w:r>
            <w:r w:rsidR="00A648F7">
              <w:rPr>
                <w:sz w:val="18"/>
                <w:szCs w:val="18"/>
              </w:rPr>
              <w:t>87</w:t>
            </w:r>
            <w:r w:rsidR="00B132D6" w:rsidRPr="00581288">
              <w:rPr>
                <w:sz w:val="18"/>
                <w:szCs w:val="18"/>
              </w:rPr>
              <w:t xml:space="preserve"> (</w:t>
            </w:r>
            <w:r w:rsidR="00AD2267" w:rsidRPr="00581288">
              <w:rPr>
                <w:sz w:val="18"/>
                <w:szCs w:val="18"/>
              </w:rPr>
              <w:t>6</w:t>
            </w:r>
            <w:r>
              <w:rPr>
                <w:sz w:val="18"/>
                <w:szCs w:val="18"/>
              </w:rPr>
              <w:t>7</w:t>
            </w:r>
            <w:r w:rsidR="00B132D6" w:rsidRPr="00581288">
              <w:rPr>
                <w:sz w:val="18"/>
                <w:szCs w:val="18"/>
              </w:rPr>
              <w:t>%)</w:t>
            </w:r>
          </w:p>
        </w:tc>
        <w:tc>
          <w:tcPr>
            <w:tcW w:w="1276" w:type="dxa"/>
            <w:tcBorders>
              <w:top w:val="single" w:sz="4" w:space="0" w:color="auto"/>
            </w:tcBorders>
            <w:shd w:val="clear" w:color="auto" w:fill="auto"/>
            <w:noWrap/>
            <w:vAlign w:val="bottom"/>
            <w:hideMark/>
          </w:tcPr>
          <w:p w14:paraId="5F817372" w14:textId="413812D3" w:rsidR="00B132D6" w:rsidRPr="00581288" w:rsidRDefault="00B132D6" w:rsidP="00721646">
            <w:pPr>
              <w:spacing w:line="240" w:lineRule="auto"/>
              <w:jc w:val="center"/>
              <w:rPr>
                <w:sz w:val="18"/>
                <w:szCs w:val="18"/>
              </w:rPr>
            </w:pPr>
            <w:r w:rsidRPr="00581288">
              <w:rPr>
                <w:sz w:val="18"/>
                <w:szCs w:val="18"/>
              </w:rPr>
              <w:t>2</w:t>
            </w:r>
            <w:r w:rsidR="00A648F7">
              <w:rPr>
                <w:sz w:val="18"/>
                <w:szCs w:val="18"/>
              </w:rPr>
              <w:t>86</w:t>
            </w:r>
            <w:r w:rsidRPr="00581288">
              <w:rPr>
                <w:sz w:val="18"/>
                <w:szCs w:val="18"/>
              </w:rPr>
              <w:t xml:space="preserve"> (</w:t>
            </w:r>
            <w:r w:rsidR="00AD2267" w:rsidRPr="00581288">
              <w:rPr>
                <w:sz w:val="18"/>
                <w:szCs w:val="18"/>
              </w:rPr>
              <w:t>3</w:t>
            </w:r>
            <w:r w:rsidR="00A93252">
              <w:rPr>
                <w:sz w:val="18"/>
                <w:szCs w:val="18"/>
              </w:rPr>
              <w:t>3</w:t>
            </w:r>
            <w:r w:rsidRPr="00581288">
              <w:rPr>
                <w:sz w:val="18"/>
                <w:szCs w:val="18"/>
              </w:rPr>
              <w:t>%)</w:t>
            </w:r>
          </w:p>
        </w:tc>
        <w:tc>
          <w:tcPr>
            <w:tcW w:w="1275" w:type="dxa"/>
            <w:tcBorders>
              <w:top w:val="single" w:sz="4" w:space="0" w:color="auto"/>
            </w:tcBorders>
            <w:shd w:val="clear" w:color="auto" w:fill="auto"/>
            <w:noWrap/>
            <w:vAlign w:val="bottom"/>
            <w:hideMark/>
          </w:tcPr>
          <w:p w14:paraId="0436D2BB" w14:textId="1F36F947" w:rsidR="00B132D6" w:rsidRPr="00581288" w:rsidRDefault="00A93252" w:rsidP="00721646">
            <w:pPr>
              <w:spacing w:line="240" w:lineRule="auto"/>
              <w:jc w:val="center"/>
              <w:rPr>
                <w:sz w:val="18"/>
                <w:szCs w:val="18"/>
              </w:rPr>
            </w:pPr>
            <w:r>
              <w:rPr>
                <w:sz w:val="18"/>
                <w:szCs w:val="18"/>
              </w:rPr>
              <w:t>8</w:t>
            </w:r>
            <w:r w:rsidR="00A648F7">
              <w:rPr>
                <w:sz w:val="18"/>
                <w:szCs w:val="18"/>
              </w:rPr>
              <w:t>73</w:t>
            </w:r>
            <w:r w:rsidR="00B132D6" w:rsidRPr="00581288">
              <w:rPr>
                <w:sz w:val="18"/>
                <w:szCs w:val="18"/>
              </w:rPr>
              <w:t xml:space="preserve"> (100%)</w:t>
            </w:r>
          </w:p>
        </w:tc>
        <w:tc>
          <w:tcPr>
            <w:tcW w:w="426" w:type="dxa"/>
            <w:shd w:val="clear" w:color="auto" w:fill="auto"/>
            <w:noWrap/>
            <w:vAlign w:val="bottom"/>
            <w:hideMark/>
          </w:tcPr>
          <w:p w14:paraId="463EFC24" w14:textId="77777777" w:rsidR="00B132D6" w:rsidRPr="00581288" w:rsidRDefault="00B132D6" w:rsidP="00721646">
            <w:pPr>
              <w:spacing w:line="240" w:lineRule="auto"/>
              <w:jc w:val="center"/>
              <w:rPr>
                <w:sz w:val="18"/>
                <w:szCs w:val="18"/>
              </w:rPr>
            </w:pPr>
          </w:p>
        </w:tc>
        <w:tc>
          <w:tcPr>
            <w:tcW w:w="983" w:type="dxa"/>
            <w:tcBorders>
              <w:top w:val="single" w:sz="4" w:space="0" w:color="auto"/>
            </w:tcBorders>
            <w:shd w:val="clear" w:color="auto" w:fill="auto"/>
            <w:noWrap/>
            <w:vAlign w:val="bottom"/>
            <w:hideMark/>
          </w:tcPr>
          <w:p w14:paraId="795BD15C" w14:textId="6818C003" w:rsidR="00B132D6" w:rsidRPr="00581288" w:rsidRDefault="00B132D6" w:rsidP="00721646">
            <w:pPr>
              <w:spacing w:line="240" w:lineRule="auto"/>
              <w:jc w:val="center"/>
              <w:rPr>
                <w:sz w:val="18"/>
                <w:szCs w:val="18"/>
              </w:rPr>
            </w:pPr>
            <w:r w:rsidRPr="00581288">
              <w:rPr>
                <w:sz w:val="18"/>
                <w:szCs w:val="18"/>
              </w:rPr>
              <w:t>0.</w:t>
            </w:r>
            <w:r w:rsidR="00AD2267" w:rsidRPr="00581288">
              <w:rPr>
                <w:sz w:val="18"/>
                <w:szCs w:val="18"/>
              </w:rPr>
              <w:t>89</w:t>
            </w:r>
          </w:p>
        </w:tc>
        <w:tc>
          <w:tcPr>
            <w:tcW w:w="1072" w:type="dxa"/>
            <w:tcBorders>
              <w:top w:val="single" w:sz="4" w:space="0" w:color="auto"/>
            </w:tcBorders>
            <w:shd w:val="clear" w:color="auto" w:fill="auto"/>
            <w:noWrap/>
            <w:vAlign w:val="bottom"/>
            <w:hideMark/>
          </w:tcPr>
          <w:p w14:paraId="527B9FEC" w14:textId="1B05DD5B" w:rsidR="00B132D6" w:rsidRPr="00581288" w:rsidRDefault="00B132D6" w:rsidP="00721646">
            <w:pPr>
              <w:spacing w:line="240" w:lineRule="auto"/>
              <w:jc w:val="center"/>
              <w:rPr>
                <w:sz w:val="18"/>
                <w:szCs w:val="18"/>
              </w:rPr>
            </w:pPr>
            <w:r w:rsidRPr="00581288">
              <w:rPr>
                <w:sz w:val="18"/>
                <w:szCs w:val="18"/>
              </w:rPr>
              <w:t>0.</w:t>
            </w:r>
            <w:r w:rsidR="00A93252">
              <w:rPr>
                <w:sz w:val="18"/>
                <w:szCs w:val="18"/>
              </w:rPr>
              <w:t>67</w:t>
            </w:r>
          </w:p>
        </w:tc>
        <w:tc>
          <w:tcPr>
            <w:tcW w:w="1083" w:type="dxa"/>
            <w:tcBorders>
              <w:top w:val="single" w:sz="4" w:space="0" w:color="auto"/>
            </w:tcBorders>
            <w:shd w:val="clear" w:color="auto" w:fill="auto"/>
            <w:noWrap/>
            <w:vAlign w:val="bottom"/>
            <w:hideMark/>
          </w:tcPr>
          <w:p w14:paraId="6BB2F0FB" w14:textId="4C622F1F" w:rsidR="00B132D6" w:rsidRPr="00581288" w:rsidRDefault="00B132D6" w:rsidP="00721646">
            <w:pPr>
              <w:spacing w:line="240" w:lineRule="auto"/>
              <w:jc w:val="center"/>
              <w:rPr>
                <w:sz w:val="18"/>
                <w:szCs w:val="18"/>
              </w:rPr>
            </w:pPr>
            <w:r w:rsidRPr="00581288">
              <w:rPr>
                <w:sz w:val="18"/>
                <w:szCs w:val="18"/>
              </w:rPr>
              <w:t>0.9</w:t>
            </w:r>
            <w:r w:rsidR="00B72C22">
              <w:rPr>
                <w:sz w:val="18"/>
                <w:szCs w:val="18"/>
              </w:rPr>
              <w:t>4</w:t>
            </w:r>
          </w:p>
        </w:tc>
        <w:tc>
          <w:tcPr>
            <w:tcW w:w="689" w:type="dxa"/>
            <w:tcBorders>
              <w:top w:val="single" w:sz="4" w:space="0" w:color="auto"/>
            </w:tcBorders>
            <w:shd w:val="clear" w:color="auto" w:fill="auto"/>
            <w:noWrap/>
            <w:vAlign w:val="bottom"/>
            <w:hideMark/>
          </w:tcPr>
          <w:p w14:paraId="4AD3BBA1" w14:textId="6DB68F2D" w:rsidR="00B132D6" w:rsidRPr="00581288" w:rsidRDefault="00B132D6" w:rsidP="00721646">
            <w:pPr>
              <w:spacing w:line="240" w:lineRule="auto"/>
              <w:jc w:val="center"/>
              <w:rPr>
                <w:sz w:val="18"/>
                <w:szCs w:val="18"/>
              </w:rPr>
            </w:pPr>
            <w:r w:rsidRPr="00581288">
              <w:rPr>
                <w:sz w:val="18"/>
                <w:szCs w:val="18"/>
              </w:rPr>
              <w:t>0.</w:t>
            </w:r>
            <w:r w:rsidR="00AD2267" w:rsidRPr="00581288">
              <w:rPr>
                <w:sz w:val="18"/>
                <w:szCs w:val="18"/>
              </w:rPr>
              <w:t>7</w:t>
            </w:r>
            <w:r w:rsidR="00B72C22">
              <w:rPr>
                <w:sz w:val="18"/>
                <w:szCs w:val="18"/>
              </w:rPr>
              <w:t>6</w:t>
            </w:r>
          </w:p>
        </w:tc>
        <w:tc>
          <w:tcPr>
            <w:tcW w:w="709" w:type="dxa"/>
            <w:tcBorders>
              <w:top w:val="single" w:sz="4" w:space="0" w:color="auto"/>
            </w:tcBorders>
            <w:shd w:val="clear" w:color="auto" w:fill="auto"/>
            <w:noWrap/>
            <w:vAlign w:val="bottom"/>
            <w:hideMark/>
          </w:tcPr>
          <w:p w14:paraId="37D1DF70" w14:textId="4E9DCEBA" w:rsidR="00B132D6" w:rsidRPr="00581288" w:rsidRDefault="00B132D6" w:rsidP="00721646">
            <w:pPr>
              <w:spacing w:line="240" w:lineRule="auto"/>
              <w:jc w:val="center"/>
              <w:rPr>
                <w:sz w:val="18"/>
                <w:szCs w:val="18"/>
              </w:rPr>
            </w:pPr>
            <w:r w:rsidRPr="00581288">
              <w:rPr>
                <w:sz w:val="18"/>
                <w:szCs w:val="18"/>
              </w:rPr>
              <w:t>0.9</w:t>
            </w:r>
            <w:r w:rsidR="00B72C22">
              <w:rPr>
                <w:sz w:val="18"/>
                <w:szCs w:val="18"/>
              </w:rPr>
              <w:t>2</w:t>
            </w:r>
          </w:p>
        </w:tc>
        <w:tc>
          <w:tcPr>
            <w:tcW w:w="992" w:type="dxa"/>
            <w:tcBorders>
              <w:top w:val="single" w:sz="4" w:space="0" w:color="auto"/>
            </w:tcBorders>
            <w:shd w:val="clear" w:color="auto" w:fill="auto"/>
            <w:noWrap/>
            <w:vAlign w:val="bottom"/>
            <w:hideMark/>
          </w:tcPr>
          <w:p w14:paraId="09759E43" w14:textId="7AB653A0" w:rsidR="00B132D6" w:rsidRPr="00581288" w:rsidRDefault="00B132D6" w:rsidP="00721646">
            <w:pPr>
              <w:spacing w:line="240" w:lineRule="auto"/>
              <w:jc w:val="center"/>
              <w:rPr>
                <w:sz w:val="18"/>
                <w:szCs w:val="18"/>
              </w:rPr>
            </w:pPr>
            <w:r w:rsidRPr="00581288">
              <w:rPr>
                <w:sz w:val="18"/>
                <w:szCs w:val="18"/>
              </w:rPr>
              <w:t>0.8</w:t>
            </w:r>
            <w:r w:rsidR="00A93252">
              <w:rPr>
                <w:sz w:val="18"/>
                <w:szCs w:val="18"/>
              </w:rPr>
              <w:t>1</w:t>
            </w:r>
          </w:p>
        </w:tc>
        <w:tc>
          <w:tcPr>
            <w:tcW w:w="709" w:type="dxa"/>
            <w:tcBorders>
              <w:top w:val="single" w:sz="4" w:space="0" w:color="auto"/>
              <w:right w:val="nil"/>
            </w:tcBorders>
            <w:shd w:val="clear" w:color="auto" w:fill="auto"/>
            <w:noWrap/>
            <w:vAlign w:val="bottom"/>
            <w:hideMark/>
          </w:tcPr>
          <w:p w14:paraId="00452A43" w14:textId="532FA693" w:rsidR="00B132D6" w:rsidRPr="00581288" w:rsidRDefault="00B132D6" w:rsidP="00721646">
            <w:pPr>
              <w:spacing w:line="240" w:lineRule="auto"/>
              <w:jc w:val="center"/>
              <w:rPr>
                <w:sz w:val="18"/>
                <w:szCs w:val="18"/>
              </w:rPr>
            </w:pPr>
            <w:r w:rsidRPr="00581288">
              <w:rPr>
                <w:sz w:val="18"/>
                <w:szCs w:val="18"/>
              </w:rPr>
              <w:t>0.8</w:t>
            </w:r>
            <w:r w:rsidR="00B72C22">
              <w:rPr>
                <w:sz w:val="18"/>
                <w:szCs w:val="18"/>
              </w:rPr>
              <w:t>6</w:t>
            </w:r>
          </w:p>
        </w:tc>
      </w:tr>
      <w:tr w:rsidR="00B132D6" w:rsidRPr="00581288" w14:paraId="4B9186D0" w14:textId="77777777" w:rsidTr="0039150C">
        <w:trPr>
          <w:trHeight w:val="405"/>
        </w:trPr>
        <w:tc>
          <w:tcPr>
            <w:tcW w:w="1027" w:type="dxa"/>
            <w:tcBorders>
              <w:top w:val="nil"/>
              <w:left w:val="nil"/>
              <w:bottom w:val="nil"/>
            </w:tcBorders>
            <w:shd w:val="clear" w:color="auto" w:fill="auto"/>
            <w:noWrap/>
            <w:vAlign w:val="bottom"/>
            <w:hideMark/>
          </w:tcPr>
          <w:p w14:paraId="71258B91" w14:textId="77777777" w:rsidR="00B132D6" w:rsidRPr="00581288" w:rsidRDefault="00B132D6" w:rsidP="00721646">
            <w:pPr>
              <w:spacing w:line="240" w:lineRule="auto"/>
              <w:jc w:val="center"/>
              <w:rPr>
                <w:sz w:val="18"/>
                <w:szCs w:val="18"/>
              </w:rPr>
            </w:pPr>
          </w:p>
        </w:tc>
        <w:tc>
          <w:tcPr>
            <w:tcW w:w="639" w:type="dxa"/>
            <w:tcBorders>
              <w:top w:val="nil"/>
              <w:right w:val="single" w:sz="4" w:space="0" w:color="auto"/>
            </w:tcBorders>
            <w:shd w:val="clear" w:color="auto" w:fill="auto"/>
            <w:noWrap/>
            <w:vAlign w:val="bottom"/>
            <w:hideMark/>
          </w:tcPr>
          <w:p w14:paraId="48683695" w14:textId="77777777" w:rsidR="00B132D6" w:rsidRPr="00581288" w:rsidRDefault="00B132D6" w:rsidP="00721646">
            <w:pPr>
              <w:spacing w:line="240" w:lineRule="auto"/>
              <w:rPr>
                <w:sz w:val="18"/>
                <w:szCs w:val="18"/>
              </w:rPr>
            </w:pPr>
            <w:r w:rsidRPr="00581288">
              <w:rPr>
                <w:sz w:val="18"/>
                <w:szCs w:val="18"/>
              </w:rPr>
              <w:t>Ref-</w:t>
            </w:r>
          </w:p>
        </w:tc>
        <w:tc>
          <w:tcPr>
            <w:tcW w:w="1453" w:type="dxa"/>
            <w:tcBorders>
              <w:top w:val="nil"/>
              <w:left w:val="single" w:sz="4" w:space="0" w:color="auto"/>
            </w:tcBorders>
            <w:shd w:val="clear" w:color="auto" w:fill="auto"/>
            <w:noWrap/>
            <w:vAlign w:val="bottom"/>
            <w:hideMark/>
          </w:tcPr>
          <w:p w14:paraId="6102C42C" w14:textId="3C5C038E" w:rsidR="00B132D6" w:rsidRPr="00581288" w:rsidRDefault="00B132D6" w:rsidP="00721646">
            <w:pPr>
              <w:spacing w:line="240" w:lineRule="auto"/>
              <w:jc w:val="center"/>
              <w:rPr>
                <w:sz w:val="18"/>
                <w:szCs w:val="18"/>
              </w:rPr>
            </w:pPr>
            <w:r w:rsidRPr="00581288">
              <w:rPr>
                <w:sz w:val="18"/>
                <w:szCs w:val="18"/>
              </w:rPr>
              <w:t>1</w:t>
            </w:r>
            <w:r w:rsidR="00A93252">
              <w:rPr>
                <w:sz w:val="18"/>
                <w:szCs w:val="18"/>
              </w:rPr>
              <w:t>8</w:t>
            </w:r>
            <w:r w:rsidR="00A648F7">
              <w:rPr>
                <w:sz w:val="18"/>
                <w:szCs w:val="18"/>
              </w:rPr>
              <w:t>8</w:t>
            </w:r>
            <w:r w:rsidRPr="00581288">
              <w:rPr>
                <w:sz w:val="18"/>
                <w:szCs w:val="18"/>
              </w:rPr>
              <w:t xml:space="preserve"> (</w:t>
            </w:r>
            <w:r w:rsidR="00B72C22">
              <w:rPr>
                <w:sz w:val="18"/>
                <w:szCs w:val="18"/>
              </w:rPr>
              <w:t>6</w:t>
            </w:r>
            <w:r w:rsidRPr="00581288">
              <w:rPr>
                <w:sz w:val="18"/>
                <w:szCs w:val="18"/>
              </w:rPr>
              <w:t>%)</w:t>
            </w:r>
          </w:p>
        </w:tc>
        <w:tc>
          <w:tcPr>
            <w:tcW w:w="1276" w:type="dxa"/>
            <w:tcBorders>
              <w:top w:val="nil"/>
            </w:tcBorders>
            <w:shd w:val="clear" w:color="auto" w:fill="auto"/>
            <w:noWrap/>
            <w:vAlign w:val="bottom"/>
            <w:hideMark/>
          </w:tcPr>
          <w:p w14:paraId="422CC837" w14:textId="770D001B" w:rsidR="00B132D6" w:rsidRPr="00581288" w:rsidRDefault="00A93252" w:rsidP="00721646">
            <w:pPr>
              <w:spacing w:line="240" w:lineRule="auto"/>
              <w:jc w:val="center"/>
              <w:rPr>
                <w:sz w:val="18"/>
                <w:szCs w:val="18"/>
              </w:rPr>
            </w:pPr>
            <w:r>
              <w:rPr>
                <w:sz w:val="18"/>
                <w:szCs w:val="18"/>
              </w:rPr>
              <w:t xml:space="preserve">3 </w:t>
            </w:r>
            <w:r w:rsidR="00B72C22">
              <w:rPr>
                <w:sz w:val="18"/>
                <w:szCs w:val="18"/>
              </w:rPr>
              <w:t>092</w:t>
            </w:r>
            <w:r w:rsidR="00B132D6" w:rsidRPr="00581288">
              <w:rPr>
                <w:sz w:val="18"/>
                <w:szCs w:val="18"/>
              </w:rPr>
              <w:t xml:space="preserve"> (9</w:t>
            </w:r>
            <w:r w:rsidR="00B72C22">
              <w:rPr>
                <w:sz w:val="18"/>
                <w:szCs w:val="18"/>
              </w:rPr>
              <w:t>4</w:t>
            </w:r>
            <w:r w:rsidR="00B132D6" w:rsidRPr="00581288">
              <w:rPr>
                <w:sz w:val="18"/>
                <w:szCs w:val="18"/>
              </w:rPr>
              <w:t>%)</w:t>
            </w:r>
          </w:p>
        </w:tc>
        <w:tc>
          <w:tcPr>
            <w:tcW w:w="1275" w:type="dxa"/>
            <w:tcBorders>
              <w:top w:val="nil"/>
            </w:tcBorders>
            <w:shd w:val="clear" w:color="auto" w:fill="auto"/>
            <w:noWrap/>
            <w:vAlign w:val="bottom"/>
            <w:hideMark/>
          </w:tcPr>
          <w:p w14:paraId="4B09C5F7" w14:textId="0622701F" w:rsidR="00B132D6" w:rsidRPr="00581288" w:rsidRDefault="00A93252" w:rsidP="00721646">
            <w:pPr>
              <w:spacing w:line="240" w:lineRule="auto"/>
              <w:jc w:val="center"/>
              <w:rPr>
                <w:sz w:val="18"/>
                <w:szCs w:val="18"/>
              </w:rPr>
            </w:pPr>
            <w:r>
              <w:rPr>
                <w:sz w:val="18"/>
                <w:szCs w:val="18"/>
              </w:rPr>
              <w:t xml:space="preserve">3 </w:t>
            </w:r>
            <w:r w:rsidR="00B72C22">
              <w:rPr>
                <w:sz w:val="18"/>
                <w:szCs w:val="18"/>
              </w:rPr>
              <w:t>280</w:t>
            </w:r>
            <w:r w:rsidR="00B132D6" w:rsidRPr="00581288">
              <w:rPr>
                <w:sz w:val="18"/>
                <w:szCs w:val="18"/>
              </w:rPr>
              <w:t xml:space="preserve"> (100%)</w:t>
            </w:r>
          </w:p>
        </w:tc>
        <w:tc>
          <w:tcPr>
            <w:tcW w:w="426" w:type="dxa"/>
            <w:tcBorders>
              <w:top w:val="nil"/>
            </w:tcBorders>
            <w:shd w:val="clear" w:color="auto" w:fill="auto"/>
            <w:noWrap/>
            <w:vAlign w:val="bottom"/>
            <w:hideMark/>
          </w:tcPr>
          <w:p w14:paraId="50FC625B" w14:textId="77777777" w:rsidR="00B132D6" w:rsidRPr="00581288" w:rsidRDefault="00B132D6" w:rsidP="00721646">
            <w:pPr>
              <w:spacing w:line="240" w:lineRule="auto"/>
              <w:jc w:val="center"/>
              <w:rPr>
                <w:sz w:val="18"/>
                <w:szCs w:val="18"/>
              </w:rPr>
            </w:pPr>
          </w:p>
        </w:tc>
        <w:tc>
          <w:tcPr>
            <w:tcW w:w="983" w:type="dxa"/>
            <w:tcBorders>
              <w:top w:val="nil"/>
            </w:tcBorders>
            <w:shd w:val="clear" w:color="auto" w:fill="auto"/>
            <w:noWrap/>
            <w:vAlign w:val="bottom"/>
            <w:hideMark/>
          </w:tcPr>
          <w:p w14:paraId="7D561DCA" w14:textId="77777777" w:rsidR="00B132D6" w:rsidRPr="00581288" w:rsidRDefault="00B132D6" w:rsidP="00721646">
            <w:pPr>
              <w:spacing w:line="240" w:lineRule="auto"/>
              <w:rPr>
                <w:sz w:val="18"/>
                <w:szCs w:val="18"/>
              </w:rPr>
            </w:pPr>
          </w:p>
        </w:tc>
        <w:tc>
          <w:tcPr>
            <w:tcW w:w="1072" w:type="dxa"/>
            <w:tcBorders>
              <w:top w:val="nil"/>
            </w:tcBorders>
            <w:shd w:val="clear" w:color="auto" w:fill="auto"/>
            <w:noWrap/>
            <w:vAlign w:val="bottom"/>
            <w:hideMark/>
          </w:tcPr>
          <w:p w14:paraId="6BC1BB54" w14:textId="77777777" w:rsidR="00B132D6" w:rsidRPr="00581288" w:rsidRDefault="00B132D6" w:rsidP="00721646">
            <w:pPr>
              <w:spacing w:line="240" w:lineRule="auto"/>
              <w:rPr>
                <w:sz w:val="18"/>
                <w:szCs w:val="18"/>
              </w:rPr>
            </w:pPr>
          </w:p>
        </w:tc>
        <w:tc>
          <w:tcPr>
            <w:tcW w:w="1083" w:type="dxa"/>
            <w:tcBorders>
              <w:top w:val="nil"/>
            </w:tcBorders>
            <w:shd w:val="clear" w:color="auto" w:fill="auto"/>
            <w:noWrap/>
            <w:vAlign w:val="bottom"/>
            <w:hideMark/>
          </w:tcPr>
          <w:p w14:paraId="023C638E" w14:textId="77777777" w:rsidR="00B132D6" w:rsidRPr="00581288" w:rsidRDefault="00B132D6" w:rsidP="00721646">
            <w:pPr>
              <w:spacing w:line="240" w:lineRule="auto"/>
              <w:rPr>
                <w:sz w:val="18"/>
                <w:szCs w:val="18"/>
              </w:rPr>
            </w:pPr>
          </w:p>
        </w:tc>
        <w:tc>
          <w:tcPr>
            <w:tcW w:w="689" w:type="dxa"/>
            <w:tcBorders>
              <w:top w:val="nil"/>
            </w:tcBorders>
            <w:shd w:val="clear" w:color="auto" w:fill="auto"/>
            <w:noWrap/>
            <w:vAlign w:val="bottom"/>
            <w:hideMark/>
          </w:tcPr>
          <w:p w14:paraId="61C3F090" w14:textId="77777777" w:rsidR="00B132D6" w:rsidRPr="00581288" w:rsidRDefault="00B132D6" w:rsidP="00721646">
            <w:pPr>
              <w:spacing w:line="240" w:lineRule="auto"/>
              <w:rPr>
                <w:sz w:val="18"/>
                <w:szCs w:val="18"/>
              </w:rPr>
            </w:pPr>
          </w:p>
        </w:tc>
        <w:tc>
          <w:tcPr>
            <w:tcW w:w="709" w:type="dxa"/>
            <w:tcBorders>
              <w:top w:val="nil"/>
            </w:tcBorders>
            <w:shd w:val="clear" w:color="auto" w:fill="auto"/>
            <w:noWrap/>
            <w:vAlign w:val="bottom"/>
            <w:hideMark/>
          </w:tcPr>
          <w:p w14:paraId="34F0A413" w14:textId="77777777" w:rsidR="00B132D6" w:rsidRPr="00581288" w:rsidRDefault="00B132D6" w:rsidP="00721646">
            <w:pPr>
              <w:spacing w:line="240" w:lineRule="auto"/>
              <w:rPr>
                <w:sz w:val="18"/>
                <w:szCs w:val="18"/>
              </w:rPr>
            </w:pPr>
          </w:p>
        </w:tc>
        <w:tc>
          <w:tcPr>
            <w:tcW w:w="992" w:type="dxa"/>
            <w:tcBorders>
              <w:top w:val="nil"/>
            </w:tcBorders>
            <w:shd w:val="clear" w:color="auto" w:fill="auto"/>
            <w:noWrap/>
            <w:vAlign w:val="bottom"/>
            <w:hideMark/>
          </w:tcPr>
          <w:p w14:paraId="0ED33CA1" w14:textId="77777777" w:rsidR="00B132D6" w:rsidRPr="00581288" w:rsidRDefault="00B132D6" w:rsidP="00721646">
            <w:pPr>
              <w:spacing w:line="240" w:lineRule="auto"/>
              <w:rPr>
                <w:sz w:val="18"/>
                <w:szCs w:val="18"/>
              </w:rPr>
            </w:pPr>
          </w:p>
        </w:tc>
        <w:tc>
          <w:tcPr>
            <w:tcW w:w="709" w:type="dxa"/>
            <w:tcBorders>
              <w:top w:val="nil"/>
              <w:right w:val="nil"/>
            </w:tcBorders>
            <w:shd w:val="clear" w:color="auto" w:fill="auto"/>
            <w:noWrap/>
            <w:vAlign w:val="bottom"/>
            <w:hideMark/>
          </w:tcPr>
          <w:p w14:paraId="58C9AA27" w14:textId="77777777" w:rsidR="00B132D6" w:rsidRPr="00581288" w:rsidRDefault="00B132D6" w:rsidP="00721646">
            <w:pPr>
              <w:spacing w:line="240" w:lineRule="auto"/>
              <w:rPr>
                <w:sz w:val="18"/>
                <w:szCs w:val="18"/>
              </w:rPr>
            </w:pPr>
          </w:p>
        </w:tc>
      </w:tr>
      <w:tr w:rsidR="00B132D6" w:rsidRPr="00581288" w14:paraId="3D35778A" w14:textId="77777777" w:rsidTr="0039150C">
        <w:trPr>
          <w:trHeight w:val="405"/>
        </w:trPr>
        <w:tc>
          <w:tcPr>
            <w:tcW w:w="1027" w:type="dxa"/>
            <w:tcBorders>
              <w:top w:val="nil"/>
              <w:left w:val="nil"/>
              <w:bottom w:val="nil"/>
            </w:tcBorders>
            <w:shd w:val="clear" w:color="auto" w:fill="auto"/>
            <w:noWrap/>
            <w:vAlign w:val="bottom"/>
            <w:hideMark/>
          </w:tcPr>
          <w:p w14:paraId="28EDC1F0" w14:textId="77777777" w:rsidR="00B132D6" w:rsidRPr="00581288" w:rsidRDefault="00B132D6" w:rsidP="00721646">
            <w:pPr>
              <w:spacing w:line="240" w:lineRule="auto"/>
              <w:rPr>
                <w:sz w:val="18"/>
                <w:szCs w:val="18"/>
              </w:rPr>
            </w:pPr>
          </w:p>
        </w:tc>
        <w:tc>
          <w:tcPr>
            <w:tcW w:w="639" w:type="dxa"/>
            <w:tcBorders>
              <w:top w:val="nil"/>
              <w:right w:val="single" w:sz="4" w:space="0" w:color="auto"/>
            </w:tcBorders>
            <w:shd w:val="clear" w:color="auto" w:fill="auto"/>
            <w:noWrap/>
            <w:vAlign w:val="bottom"/>
            <w:hideMark/>
          </w:tcPr>
          <w:p w14:paraId="4435EF00" w14:textId="77777777" w:rsidR="00B132D6" w:rsidRPr="00581288" w:rsidRDefault="00B132D6" w:rsidP="00721646">
            <w:pPr>
              <w:spacing w:line="240" w:lineRule="auto"/>
              <w:rPr>
                <w:sz w:val="18"/>
                <w:szCs w:val="18"/>
              </w:rPr>
            </w:pPr>
            <w:r w:rsidRPr="00581288">
              <w:rPr>
                <w:sz w:val="18"/>
                <w:szCs w:val="18"/>
              </w:rPr>
              <w:t>Total</w:t>
            </w:r>
          </w:p>
        </w:tc>
        <w:tc>
          <w:tcPr>
            <w:tcW w:w="1453" w:type="dxa"/>
            <w:tcBorders>
              <w:top w:val="nil"/>
              <w:left w:val="single" w:sz="4" w:space="0" w:color="auto"/>
            </w:tcBorders>
            <w:shd w:val="clear" w:color="auto" w:fill="auto"/>
            <w:noWrap/>
            <w:vAlign w:val="bottom"/>
            <w:hideMark/>
          </w:tcPr>
          <w:p w14:paraId="641EB288" w14:textId="4EB9496E" w:rsidR="00B132D6" w:rsidRPr="00581288" w:rsidRDefault="00A93252" w:rsidP="00721646">
            <w:pPr>
              <w:spacing w:line="240" w:lineRule="auto"/>
              <w:jc w:val="center"/>
              <w:rPr>
                <w:sz w:val="18"/>
                <w:szCs w:val="18"/>
              </w:rPr>
            </w:pPr>
            <w:r>
              <w:rPr>
                <w:sz w:val="18"/>
                <w:szCs w:val="18"/>
              </w:rPr>
              <w:t>77</w:t>
            </w:r>
            <w:r w:rsidR="00A648F7">
              <w:rPr>
                <w:sz w:val="18"/>
                <w:szCs w:val="18"/>
              </w:rPr>
              <w:t>5</w:t>
            </w:r>
            <w:r w:rsidR="00B132D6" w:rsidRPr="00581288">
              <w:rPr>
                <w:sz w:val="18"/>
                <w:szCs w:val="18"/>
              </w:rPr>
              <w:t xml:space="preserve"> (1</w:t>
            </w:r>
            <w:r w:rsidR="00A648F7">
              <w:rPr>
                <w:sz w:val="18"/>
                <w:szCs w:val="18"/>
              </w:rPr>
              <w:t>5</w:t>
            </w:r>
            <w:r w:rsidR="00B132D6" w:rsidRPr="00581288">
              <w:rPr>
                <w:sz w:val="18"/>
                <w:szCs w:val="18"/>
              </w:rPr>
              <w:t>%)</w:t>
            </w:r>
          </w:p>
        </w:tc>
        <w:tc>
          <w:tcPr>
            <w:tcW w:w="1276" w:type="dxa"/>
            <w:tcBorders>
              <w:top w:val="nil"/>
            </w:tcBorders>
            <w:shd w:val="clear" w:color="auto" w:fill="auto"/>
            <w:noWrap/>
            <w:vAlign w:val="bottom"/>
            <w:hideMark/>
          </w:tcPr>
          <w:p w14:paraId="08B3FBF4" w14:textId="155C9BDE" w:rsidR="00B132D6" w:rsidRPr="00581288" w:rsidRDefault="00A93252" w:rsidP="00721646">
            <w:pPr>
              <w:spacing w:line="240" w:lineRule="auto"/>
              <w:jc w:val="center"/>
              <w:rPr>
                <w:sz w:val="18"/>
                <w:szCs w:val="18"/>
              </w:rPr>
            </w:pPr>
            <w:r>
              <w:rPr>
                <w:sz w:val="18"/>
                <w:szCs w:val="18"/>
              </w:rPr>
              <w:t xml:space="preserve">3 </w:t>
            </w:r>
            <w:r w:rsidR="00B72C22">
              <w:rPr>
                <w:sz w:val="18"/>
                <w:szCs w:val="18"/>
              </w:rPr>
              <w:t>378</w:t>
            </w:r>
            <w:r w:rsidR="00B132D6" w:rsidRPr="00581288">
              <w:rPr>
                <w:sz w:val="18"/>
                <w:szCs w:val="18"/>
              </w:rPr>
              <w:t xml:space="preserve"> (8</w:t>
            </w:r>
            <w:r w:rsidR="00B72C22">
              <w:rPr>
                <w:sz w:val="18"/>
                <w:szCs w:val="18"/>
              </w:rPr>
              <w:t>5</w:t>
            </w:r>
            <w:r w:rsidR="00B132D6" w:rsidRPr="00581288">
              <w:rPr>
                <w:sz w:val="18"/>
                <w:szCs w:val="18"/>
              </w:rPr>
              <w:t>%)</w:t>
            </w:r>
          </w:p>
        </w:tc>
        <w:tc>
          <w:tcPr>
            <w:tcW w:w="1275" w:type="dxa"/>
            <w:tcBorders>
              <w:top w:val="nil"/>
            </w:tcBorders>
            <w:shd w:val="clear" w:color="auto" w:fill="auto"/>
            <w:noWrap/>
            <w:vAlign w:val="bottom"/>
            <w:hideMark/>
          </w:tcPr>
          <w:p w14:paraId="7BD56C5F" w14:textId="3A067F1E" w:rsidR="00B132D6" w:rsidRPr="00581288" w:rsidRDefault="00A93252" w:rsidP="00721646">
            <w:pPr>
              <w:spacing w:line="240" w:lineRule="auto"/>
              <w:jc w:val="center"/>
              <w:rPr>
                <w:sz w:val="18"/>
                <w:szCs w:val="18"/>
              </w:rPr>
            </w:pPr>
            <w:r>
              <w:rPr>
                <w:sz w:val="18"/>
                <w:szCs w:val="18"/>
              </w:rPr>
              <w:t xml:space="preserve">4 </w:t>
            </w:r>
            <w:r w:rsidR="00B72C22">
              <w:rPr>
                <w:sz w:val="18"/>
                <w:szCs w:val="18"/>
              </w:rPr>
              <w:t>153</w:t>
            </w:r>
            <w:r w:rsidR="00B132D6" w:rsidRPr="00581288">
              <w:rPr>
                <w:sz w:val="18"/>
                <w:szCs w:val="18"/>
              </w:rPr>
              <w:t xml:space="preserve"> (100%)</w:t>
            </w:r>
          </w:p>
        </w:tc>
        <w:tc>
          <w:tcPr>
            <w:tcW w:w="426" w:type="dxa"/>
            <w:tcBorders>
              <w:top w:val="nil"/>
            </w:tcBorders>
            <w:shd w:val="clear" w:color="auto" w:fill="auto"/>
            <w:noWrap/>
            <w:vAlign w:val="bottom"/>
            <w:hideMark/>
          </w:tcPr>
          <w:p w14:paraId="45AB6336" w14:textId="77777777" w:rsidR="00B132D6" w:rsidRPr="00581288" w:rsidRDefault="00B132D6" w:rsidP="00721646">
            <w:pPr>
              <w:spacing w:line="240" w:lineRule="auto"/>
              <w:jc w:val="center"/>
              <w:rPr>
                <w:sz w:val="18"/>
                <w:szCs w:val="18"/>
              </w:rPr>
            </w:pPr>
          </w:p>
        </w:tc>
        <w:tc>
          <w:tcPr>
            <w:tcW w:w="983" w:type="dxa"/>
            <w:tcBorders>
              <w:top w:val="nil"/>
            </w:tcBorders>
            <w:shd w:val="clear" w:color="auto" w:fill="auto"/>
            <w:noWrap/>
            <w:vAlign w:val="bottom"/>
            <w:hideMark/>
          </w:tcPr>
          <w:p w14:paraId="5B09DB44" w14:textId="77777777" w:rsidR="00B132D6" w:rsidRPr="00581288" w:rsidRDefault="00B132D6" w:rsidP="00721646">
            <w:pPr>
              <w:spacing w:line="240" w:lineRule="auto"/>
              <w:rPr>
                <w:sz w:val="18"/>
                <w:szCs w:val="18"/>
              </w:rPr>
            </w:pPr>
          </w:p>
        </w:tc>
        <w:tc>
          <w:tcPr>
            <w:tcW w:w="1072" w:type="dxa"/>
            <w:tcBorders>
              <w:top w:val="nil"/>
            </w:tcBorders>
            <w:shd w:val="clear" w:color="auto" w:fill="auto"/>
            <w:noWrap/>
            <w:vAlign w:val="bottom"/>
            <w:hideMark/>
          </w:tcPr>
          <w:p w14:paraId="242DB8F0" w14:textId="77777777" w:rsidR="00B132D6" w:rsidRPr="00581288" w:rsidRDefault="00B132D6" w:rsidP="00721646">
            <w:pPr>
              <w:spacing w:line="240" w:lineRule="auto"/>
              <w:rPr>
                <w:sz w:val="18"/>
                <w:szCs w:val="18"/>
              </w:rPr>
            </w:pPr>
          </w:p>
        </w:tc>
        <w:tc>
          <w:tcPr>
            <w:tcW w:w="1083" w:type="dxa"/>
            <w:tcBorders>
              <w:top w:val="nil"/>
            </w:tcBorders>
            <w:shd w:val="clear" w:color="auto" w:fill="auto"/>
            <w:noWrap/>
            <w:vAlign w:val="bottom"/>
            <w:hideMark/>
          </w:tcPr>
          <w:p w14:paraId="091CA4FC" w14:textId="77777777" w:rsidR="00B132D6" w:rsidRPr="00581288" w:rsidRDefault="00B132D6" w:rsidP="00721646">
            <w:pPr>
              <w:spacing w:line="240" w:lineRule="auto"/>
              <w:rPr>
                <w:sz w:val="18"/>
                <w:szCs w:val="18"/>
              </w:rPr>
            </w:pPr>
          </w:p>
        </w:tc>
        <w:tc>
          <w:tcPr>
            <w:tcW w:w="689" w:type="dxa"/>
            <w:tcBorders>
              <w:top w:val="nil"/>
            </w:tcBorders>
            <w:shd w:val="clear" w:color="auto" w:fill="auto"/>
            <w:noWrap/>
            <w:vAlign w:val="bottom"/>
            <w:hideMark/>
          </w:tcPr>
          <w:p w14:paraId="2AF20A33" w14:textId="77777777" w:rsidR="00B132D6" w:rsidRPr="00581288" w:rsidRDefault="00B132D6" w:rsidP="00721646">
            <w:pPr>
              <w:spacing w:line="240" w:lineRule="auto"/>
              <w:rPr>
                <w:sz w:val="18"/>
                <w:szCs w:val="18"/>
              </w:rPr>
            </w:pPr>
          </w:p>
        </w:tc>
        <w:tc>
          <w:tcPr>
            <w:tcW w:w="709" w:type="dxa"/>
            <w:tcBorders>
              <w:top w:val="nil"/>
            </w:tcBorders>
            <w:shd w:val="clear" w:color="auto" w:fill="auto"/>
            <w:noWrap/>
            <w:vAlign w:val="bottom"/>
            <w:hideMark/>
          </w:tcPr>
          <w:p w14:paraId="227E1847" w14:textId="77777777" w:rsidR="00B132D6" w:rsidRPr="00581288" w:rsidRDefault="00B132D6" w:rsidP="00721646">
            <w:pPr>
              <w:spacing w:line="240" w:lineRule="auto"/>
              <w:rPr>
                <w:sz w:val="18"/>
                <w:szCs w:val="18"/>
              </w:rPr>
            </w:pPr>
          </w:p>
        </w:tc>
        <w:tc>
          <w:tcPr>
            <w:tcW w:w="992" w:type="dxa"/>
            <w:tcBorders>
              <w:top w:val="nil"/>
            </w:tcBorders>
            <w:shd w:val="clear" w:color="auto" w:fill="auto"/>
            <w:noWrap/>
            <w:vAlign w:val="bottom"/>
            <w:hideMark/>
          </w:tcPr>
          <w:p w14:paraId="5A7615C9" w14:textId="77777777" w:rsidR="00B132D6" w:rsidRPr="00581288" w:rsidRDefault="00B132D6" w:rsidP="00721646">
            <w:pPr>
              <w:spacing w:line="240" w:lineRule="auto"/>
              <w:rPr>
                <w:sz w:val="18"/>
                <w:szCs w:val="18"/>
              </w:rPr>
            </w:pPr>
          </w:p>
        </w:tc>
        <w:tc>
          <w:tcPr>
            <w:tcW w:w="709" w:type="dxa"/>
            <w:tcBorders>
              <w:top w:val="nil"/>
              <w:right w:val="nil"/>
            </w:tcBorders>
            <w:shd w:val="clear" w:color="auto" w:fill="auto"/>
            <w:noWrap/>
            <w:vAlign w:val="bottom"/>
            <w:hideMark/>
          </w:tcPr>
          <w:p w14:paraId="7F2EB07C" w14:textId="77777777" w:rsidR="00B132D6" w:rsidRPr="00581288" w:rsidRDefault="00B132D6" w:rsidP="00721646">
            <w:pPr>
              <w:spacing w:line="240" w:lineRule="auto"/>
              <w:rPr>
                <w:sz w:val="18"/>
                <w:szCs w:val="18"/>
              </w:rPr>
            </w:pPr>
          </w:p>
        </w:tc>
      </w:tr>
      <w:tr w:rsidR="00DB7C64" w:rsidRPr="00581288" w14:paraId="739564D6" w14:textId="77777777" w:rsidTr="002048EA">
        <w:trPr>
          <w:trHeight w:val="300"/>
        </w:trPr>
        <w:tc>
          <w:tcPr>
            <w:tcW w:w="1027" w:type="dxa"/>
            <w:tcBorders>
              <w:top w:val="nil"/>
              <w:left w:val="nil"/>
              <w:right w:val="nil"/>
            </w:tcBorders>
            <w:shd w:val="clear" w:color="auto" w:fill="auto"/>
            <w:noWrap/>
            <w:vAlign w:val="bottom"/>
            <w:hideMark/>
          </w:tcPr>
          <w:p w14:paraId="4737B197" w14:textId="77777777" w:rsidR="00B132D6" w:rsidRPr="00581288" w:rsidRDefault="00B132D6" w:rsidP="00721646">
            <w:pPr>
              <w:spacing w:line="240" w:lineRule="auto"/>
              <w:rPr>
                <w:sz w:val="18"/>
                <w:szCs w:val="18"/>
              </w:rPr>
            </w:pPr>
          </w:p>
        </w:tc>
        <w:tc>
          <w:tcPr>
            <w:tcW w:w="639" w:type="dxa"/>
            <w:tcBorders>
              <w:top w:val="nil"/>
              <w:left w:val="nil"/>
              <w:right w:val="nil"/>
            </w:tcBorders>
            <w:shd w:val="clear" w:color="auto" w:fill="auto"/>
            <w:noWrap/>
            <w:vAlign w:val="bottom"/>
            <w:hideMark/>
          </w:tcPr>
          <w:p w14:paraId="3EA4BA22" w14:textId="77777777" w:rsidR="00B132D6" w:rsidRPr="00581288" w:rsidRDefault="00B132D6" w:rsidP="00721646">
            <w:pPr>
              <w:spacing w:line="240" w:lineRule="auto"/>
              <w:rPr>
                <w:sz w:val="18"/>
                <w:szCs w:val="18"/>
              </w:rPr>
            </w:pPr>
          </w:p>
        </w:tc>
        <w:tc>
          <w:tcPr>
            <w:tcW w:w="1453" w:type="dxa"/>
            <w:tcBorders>
              <w:top w:val="nil"/>
              <w:left w:val="nil"/>
              <w:right w:val="nil"/>
            </w:tcBorders>
            <w:shd w:val="clear" w:color="auto" w:fill="auto"/>
            <w:noWrap/>
            <w:vAlign w:val="bottom"/>
            <w:hideMark/>
          </w:tcPr>
          <w:p w14:paraId="508580BE" w14:textId="77777777" w:rsidR="00B132D6" w:rsidRPr="00581288" w:rsidRDefault="00B132D6" w:rsidP="00721646">
            <w:pPr>
              <w:spacing w:line="240" w:lineRule="auto"/>
              <w:rPr>
                <w:sz w:val="18"/>
                <w:szCs w:val="18"/>
              </w:rPr>
            </w:pPr>
          </w:p>
        </w:tc>
        <w:tc>
          <w:tcPr>
            <w:tcW w:w="1276" w:type="dxa"/>
            <w:tcBorders>
              <w:top w:val="nil"/>
              <w:left w:val="nil"/>
              <w:right w:val="nil"/>
            </w:tcBorders>
            <w:shd w:val="clear" w:color="auto" w:fill="auto"/>
            <w:noWrap/>
            <w:vAlign w:val="bottom"/>
            <w:hideMark/>
          </w:tcPr>
          <w:p w14:paraId="2CA8E36C" w14:textId="77777777" w:rsidR="00B132D6" w:rsidRPr="00581288" w:rsidRDefault="00B132D6" w:rsidP="00721646">
            <w:pPr>
              <w:spacing w:line="240" w:lineRule="auto"/>
              <w:rPr>
                <w:sz w:val="18"/>
                <w:szCs w:val="18"/>
              </w:rPr>
            </w:pPr>
          </w:p>
        </w:tc>
        <w:tc>
          <w:tcPr>
            <w:tcW w:w="1275" w:type="dxa"/>
            <w:tcBorders>
              <w:top w:val="nil"/>
              <w:left w:val="nil"/>
              <w:right w:val="nil"/>
            </w:tcBorders>
            <w:shd w:val="clear" w:color="auto" w:fill="auto"/>
            <w:noWrap/>
            <w:vAlign w:val="bottom"/>
            <w:hideMark/>
          </w:tcPr>
          <w:p w14:paraId="66297D60" w14:textId="77777777" w:rsidR="00B132D6" w:rsidRPr="00581288" w:rsidRDefault="00B132D6" w:rsidP="00721646">
            <w:pPr>
              <w:spacing w:line="240" w:lineRule="auto"/>
              <w:rPr>
                <w:sz w:val="18"/>
                <w:szCs w:val="18"/>
              </w:rPr>
            </w:pPr>
          </w:p>
        </w:tc>
        <w:tc>
          <w:tcPr>
            <w:tcW w:w="426" w:type="dxa"/>
            <w:tcBorders>
              <w:top w:val="nil"/>
              <w:left w:val="nil"/>
              <w:right w:val="nil"/>
            </w:tcBorders>
            <w:shd w:val="clear" w:color="auto" w:fill="auto"/>
            <w:noWrap/>
            <w:vAlign w:val="bottom"/>
            <w:hideMark/>
          </w:tcPr>
          <w:p w14:paraId="60BBAF3A" w14:textId="77777777" w:rsidR="00B132D6" w:rsidRPr="00581288" w:rsidRDefault="00B132D6" w:rsidP="00721646">
            <w:pPr>
              <w:spacing w:line="240" w:lineRule="auto"/>
              <w:rPr>
                <w:sz w:val="18"/>
                <w:szCs w:val="18"/>
              </w:rPr>
            </w:pPr>
          </w:p>
        </w:tc>
        <w:tc>
          <w:tcPr>
            <w:tcW w:w="983" w:type="dxa"/>
            <w:tcBorders>
              <w:top w:val="nil"/>
              <w:left w:val="nil"/>
              <w:right w:val="nil"/>
            </w:tcBorders>
            <w:shd w:val="clear" w:color="auto" w:fill="auto"/>
            <w:noWrap/>
            <w:vAlign w:val="bottom"/>
            <w:hideMark/>
          </w:tcPr>
          <w:p w14:paraId="1B3E3EBB" w14:textId="77777777" w:rsidR="00B132D6" w:rsidRPr="00581288" w:rsidRDefault="00B132D6" w:rsidP="00721646">
            <w:pPr>
              <w:spacing w:line="240" w:lineRule="auto"/>
              <w:rPr>
                <w:sz w:val="18"/>
                <w:szCs w:val="18"/>
              </w:rPr>
            </w:pPr>
          </w:p>
        </w:tc>
        <w:tc>
          <w:tcPr>
            <w:tcW w:w="1072" w:type="dxa"/>
            <w:tcBorders>
              <w:top w:val="nil"/>
              <w:left w:val="nil"/>
              <w:right w:val="nil"/>
            </w:tcBorders>
            <w:shd w:val="clear" w:color="auto" w:fill="auto"/>
            <w:noWrap/>
            <w:vAlign w:val="bottom"/>
            <w:hideMark/>
          </w:tcPr>
          <w:p w14:paraId="3DF94CAC" w14:textId="77777777" w:rsidR="00B132D6" w:rsidRPr="00581288" w:rsidRDefault="00B132D6" w:rsidP="00721646">
            <w:pPr>
              <w:spacing w:line="240" w:lineRule="auto"/>
              <w:rPr>
                <w:sz w:val="18"/>
                <w:szCs w:val="18"/>
              </w:rPr>
            </w:pPr>
          </w:p>
        </w:tc>
        <w:tc>
          <w:tcPr>
            <w:tcW w:w="1083" w:type="dxa"/>
            <w:tcBorders>
              <w:top w:val="nil"/>
              <w:left w:val="nil"/>
              <w:right w:val="nil"/>
            </w:tcBorders>
            <w:shd w:val="clear" w:color="auto" w:fill="auto"/>
            <w:noWrap/>
            <w:vAlign w:val="bottom"/>
            <w:hideMark/>
          </w:tcPr>
          <w:p w14:paraId="1FFF39EE" w14:textId="77777777" w:rsidR="00B132D6" w:rsidRPr="00581288" w:rsidRDefault="00B132D6" w:rsidP="00721646">
            <w:pPr>
              <w:spacing w:line="240" w:lineRule="auto"/>
              <w:rPr>
                <w:sz w:val="18"/>
                <w:szCs w:val="18"/>
              </w:rPr>
            </w:pPr>
          </w:p>
        </w:tc>
        <w:tc>
          <w:tcPr>
            <w:tcW w:w="689" w:type="dxa"/>
            <w:tcBorders>
              <w:top w:val="nil"/>
              <w:left w:val="nil"/>
              <w:right w:val="nil"/>
            </w:tcBorders>
            <w:shd w:val="clear" w:color="auto" w:fill="auto"/>
            <w:noWrap/>
            <w:vAlign w:val="bottom"/>
            <w:hideMark/>
          </w:tcPr>
          <w:p w14:paraId="1D5E11F7" w14:textId="77777777" w:rsidR="00B132D6" w:rsidRPr="00581288" w:rsidRDefault="00B132D6" w:rsidP="00721646">
            <w:pPr>
              <w:spacing w:line="240" w:lineRule="auto"/>
              <w:rPr>
                <w:sz w:val="18"/>
                <w:szCs w:val="18"/>
              </w:rPr>
            </w:pPr>
          </w:p>
        </w:tc>
        <w:tc>
          <w:tcPr>
            <w:tcW w:w="709" w:type="dxa"/>
            <w:tcBorders>
              <w:top w:val="nil"/>
              <w:left w:val="nil"/>
              <w:right w:val="nil"/>
            </w:tcBorders>
            <w:shd w:val="clear" w:color="auto" w:fill="auto"/>
            <w:noWrap/>
            <w:vAlign w:val="bottom"/>
            <w:hideMark/>
          </w:tcPr>
          <w:p w14:paraId="3CE3F48B" w14:textId="77777777" w:rsidR="00B132D6" w:rsidRPr="00581288" w:rsidRDefault="00B132D6" w:rsidP="00721646">
            <w:pPr>
              <w:spacing w:line="240" w:lineRule="auto"/>
              <w:rPr>
                <w:sz w:val="18"/>
                <w:szCs w:val="18"/>
              </w:rPr>
            </w:pPr>
          </w:p>
        </w:tc>
        <w:tc>
          <w:tcPr>
            <w:tcW w:w="992" w:type="dxa"/>
            <w:tcBorders>
              <w:top w:val="nil"/>
              <w:left w:val="nil"/>
              <w:right w:val="nil"/>
            </w:tcBorders>
            <w:shd w:val="clear" w:color="auto" w:fill="auto"/>
            <w:noWrap/>
            <w:vAlign w:val="bottom"/>
            <w:hideMark/>
          </w:tcPr>
          <w:p w14:paraId="10293ABC" w14:textId="77777777" w:rsidR="00B132D6" w:rsidRPr="00581288" w:rsidRDefault="00B132D6" w:rsidP="00721646">
            <w:pPr>
              <w:spacing w:line="240" w:lineRule="auto"/>
              <w:rPr>
                <w:sz w:val="18"/>
                <w:szCs w:val="18"/>
              </w:rPr>
            </w:pPr>
          </w:p>
        </w:tc>
        <w:tc>
          <w:tcPr>
            <w:tcW w:w="709" w:type="dxa"/>
            <w:tcBorders>
              <w:top w:val="nil"/>
              <w:left w:val="nil"/>
              <w:right w:val="nil"/>
            </w:tcBorders>
            <w:shd w:val="clear" w:color="auto" w:fill="auto"/>
            <w:noWrap/>
            <w:vAlign w:val="bottom"/>
            <w:hideMark/>
          </w:tcPr>
          <w:p w14:paraId="18BF07A8" w14:textId="77777777" w:rsidR="00B132D6" w:rsidRPr="00581288" w:rsidRDefault="00B132D6" w:rsidP="00721646">
            <w:pPr>
              <w:spacing w:line="240" w:lineRule="auto"/>
              <w:rPr>
                <w:sz w:val="18"/>
                <w:szCs w:val="18"/>
              </w:rPr>
            </w:pPr>
          </w:p>
        </w:tc>
      </w:tr>
      <w:tr w:rsidR="00DA1156" w:rsidRPr="00581288" w14:paraId="10261581" w14:textId="77777777" w:rsidTr="00775A6C">
        <w:trPr>
          <w:trHeight w:val="405"/>
        </w:trPr>
        <w:tc>
          <w:tcPr>
            <w:tcW w:w="1027" w:type="dxa"/>
            <w:tcBorders>
              <w:left w:val="nil"/>
              <w:bottom w:val="nil"/>
            </w:tcBorders>
            <w:shd w:val="clear" w:color="auto" w:fill="auto"/>
            <w:noWrap/>
            <w:vAlign w:val="bottom"/>
          </w:tcPr>
          <w:p w14:paraId="2EA8CCCF" w14:textId="77777777" w:rsidR="00B132D6" w:rsidRPr="00581288" w:rsidRDefault="00B132D6" w:rsidP="00721646">
            <w:pPr>
              <w:spacing w:line="240" w:lineRule="auto"/>
              <w:jc w:val="center"/>
              <w:rPr>
                <w:sz w:val="18"/>
                <w:szCs w:val="18"/>
              </w:rPr>
            </w:pPr>
          </w:p>
        </w:tc>
        <w:tc>
          <w:tcPr>
            <w:tcW w:w="639" w:type="dxa"/>
            <w:shd w:val="clear" w:color="auto" w:fill="auto"/>
            <w:noWrap/>
            <w:vAlign w:val="bottom"/>
          </w:tcPr>
          <w:p w14:paraId="1CC5E097" w14:textId="0308841F" w:rsidR="00B132D6" w:rsidRPr="00581288" w:rsidRDefault="00B132D6" w:rsidP="00721646">
            <w:pPr>
              <w:spacing w:line="240" w:lineRule="auto"/>
              <w:rPr>
                <w:sz w:val="18"/>
                <w:szCs w:val="18"/>
              </w:rPr>
            </w:pPr>
          </w:p>
        </w:tc>
        <w:tc>
          <w:tcPr>
            <w:tcW w:w="1453" w:type="dxa"/>
            <w:shd w:val="clear" w:color="auto" w:fill="auto"/>
            <w:noWrap/>
            <w:vAlign w:val="bottom"/>
          </w:tcPr>
          <w:p w14:paraId="6E45CDF4" w14:textId="2FF7F0EA" w:rsidR="00B132D6" w:rsidRPr="00581288" w:rsidRDefault="00B132D6" w:rsidP="00721646">
            <w:pPr>
              <w:spacing w:line="240" w:lineRule="auto"/>
              <w:jc w:val="center"/>
              <w:rPr>
                <w:sz w:val="18"/>
                <w:szCs w:val="18"/>
              </w:rPr>
            </w:pPr>
          </w:p>
        </w:tc>
        <w:tc>
          <w:tcPr>
            <w:tcW w:w="1276" w:type="dxa"/>
            <w:shd w:val="clear" w:color="auto" w:fill="auto"/>
            <w:noWrap/>
            <w:vAlign w:val="bottom"/>
          </w:tcPr>
          <w:p w14:paraId="06FB0653" w14:textId="15F26CA0" w:rsidR="00B132D6" w:rsidRPr="00581288" w:rsidRDefault="00B132D6" w:rsidP="00721646">
            <w:pPr>
              <w:spacing w:line="240" w:lineRule="auto"/>
              <w:jc w:val="center"/>
              <w:rPr>
                <w:sz w:val="18"/>
                <w:szCs w:val="18"/>
              </w:rPr>
            </w:pPr>
          </w:p>
        </w:tc>
        <w:tc>
          <w:tcPr>
            <w:tcW w:w="1275" w:type="dxa"/>
            <w:shd w:val="clear" w:color="auto" w:fill="auto"/>
            <w:noWrap/>
            <w:vAlign w:val="bottom"/>
          </w:tcPr>
          <w:p w14:paraId="672E5B38" w14:textId="32CFE3C4" w:rsidR="00B132D6" w:rsidRPr="00581288" w:rsidRDefault="00B132D6" w:rsidP="00721646">
            <w:pPr>
              <w:spacing w:line="240" w:lineRule="auto"/>
              <w:jc w:val="center"/>
              <w:rPr>
                <w:sz w:val="18"/>
                <w:szCs w:val="18"/>
              </w:rPr>
            </w:pPr>
          </w:p>
        </w:tc>
        <w:tc>
          <w:tcPr>
            <w:tcW w:w="426" w:type="dxa"/>
            <w:shd w:val="clear" w:color="auto" w:fill="auto"/>
            <w:noWrap/>
            <w:vAlign w:val="bottom"/>
          </w:tcPr>
          <w:p w14:paraId="786E4E9A" w14:textId="77777777" w:rsidR="00B132D6" w:rsidRPr="00581288" w:rsidRDefault="00B132D6" w:rsidP="00721646">
            <w:pPr>
              <w:spacing w:line="240" w:lineRule="auto"/>
              <w:jc w:val="center"/>
              <w:rPr>
                <w:sz w:val="18"/>
                <w:szCs w:val="18"/>
              </w:rPr>
            </w:pPr>
          </w:p>
        </w:tc>
        <w:tc>
          <w:tcPr>
            <w:tcW w:w="983" w:type="dxa"/>
            <w:shd w:val="clear" w:color="auto" w:fill="auto"/>
            <w:noWrap/>
            <w:vAlign w:val="bottom"/>
          </w:tcPr>
          <w:p w14:paraId="3ACA734A" w14:textId="6C6194FE" w:rsidR="00B132D6" w:rsidRPr="00581288" w:rsidRDefault="00B132D6" w:rsidP="00721646">
            <w:pPr>
              <w:spacing w:line="240" w:lineRule="auto"/>
              <w:jc w:val="center"/>
              <w:rPr>
                <w:sz w:val="18"/>
                <w:szCs w:val="18"/>
              </w:rPr>
            </w:pPr>
          </w:p>
        </w:tc>
        <w:tc>
          <w:tcPr>
            <w:tcW w:w="1072" w:type="dxa"/>
            <w:shd w:val="clear" w:color="auto" w:fill="auto"/>
            <w:noWrap/>
            <w:vAlign w:val="bottom"/>
          </w:tcPr>
          <w:p w14:paraId="03B5B5C7" w14:textId="1B69920F" w:rsidR="00B132D6" w:rsidRPr="00581288" w:rsidRDefault="00B132D6" w:rsidP="00721646">
            <w:pPr>
              <w:spacing w:line="240" w:lineRule="auto"/>
              <w:jc w:val="center"/>
              <w:rPr>
                <w:sz w:val="18"/>
                <w:szCs w:val="18"/>
              </w:rPr>
            </w:pPr>
          </w:p>
        </w:tc>
        <w:tc>
          <w:tcPr>
            <w:tcW w:w="1083" w:type="dxa"/>
            <w:shd w:val="clear" w:color="auto" w:fill="auto"/>
            <w:noWrap/>
            <w:vAlign w:val="bottom"/>
          </w:tcPr>
          <w:p w14:paraId="6D0B493D" w14:textId="0E430A3C" w:rsidR="00B132D6" w:rsidRPr="00581288" w:rsidRDefault="00B132D6" w:rsidP="00721646">
            <w:pPr>
              <w:spacing w:line="240" w:lineRule="auto"/>
              <w:jc w:val="center"/>
              <w:rPr>
                <w:sz w:val="18"/>
                <w:szCs w:val="18"/>
              </w:rPr>
            </w:pPr>
          </w:p>
        </w:tc>
        <w:tc>
          <w:tcPr>
            <w:tcW w:w="689" w:type="dxa"/>
            <w:shd w:val="clear" w:color="auto" w:fill="auto"/>
            <w:noWrap/>
            <w:vAlign w:val="bottom"/>
          </w:tcPr>
          <w:p w14:paraId="6505A0F8" w14:textId="53C75922" w:rsidR="00B132D6" w:rsidRPr="00581288" w:rsidRDefault="00B132D6" w:rsidP="00721646">
            <w:pPr>
              <w:spacing w:line="240" w:lineRule="auto"/>
              <w:jc w:val="center"/>
              <w:rPr>
                <w:sz w:val="18"/>
                <w:szCs w:val="18"/>
              </w:rPr>
            </w:pPr>
          </w:p>
        </w:tc>
        <w:tc>
          <w:tcPr>
            <w:tcW w:w="709" w:type="dxa"/>
            <w:shd w:val="clear" w:color="auto" w:fill="auto"/>
            <w:noWrap/>
            <w:vAlign w:val="bottom"/>
          </w:tcPr>
          <w:p w14:paraId="23FD3505" w14:textId="21B34458" w:rsidR="00B132D6" w:rsidRPr="00581288" w:rsidRDefault="00B132D6" w:rsidP="00721646">
            <w:pPr>
              <w:spacing w:line="240" w:lineRule="auto"/>
              <w:jc w:val="center"/>
              <w:rPr>
                <w:sz w:val="18"/>
                <w:szCs w:val="18"/>
              </w:rPr>
            </w:pPr>
          </w:p>
        </w:tc>
        <w:tc>
          <w:tcPr>
            <w:tcW w:w="992" w:type="dxa"/>
            <w:shd w:val="clear" w:color="auto" w:fill="auto"/>
            <w:noWrap/>
            <w:vAlign w:val="bottom"/>
          </w:tcPr>
          <w:p w14:paraId="43E7BC03" w14:textId="7551B962" w:rsidR="00B132D6" w:rsidRPr="00581288" w:rsidRDefault="00B132D6" w:rsidP="00721646">
            <w:pPr>
              <w:spacing w:line="240" w:lineRule="auto"/>
              <w:jc w:val="center"/>
              <w:rPr>
                <w:sz w:val="18"/>
                <w:szCs w:val="18"/>
              </w:rPr>
            </w:pPr>
          </w:p>
        </w:tc>
        <w:tc>
          <w:tcPr>
            <w:tcW w:w="709" w:type="dxa"/>
            <w:tcBorders>
              <w:right w:val="nil"/>
            </w:tcBorders>
            <w:shd w:val="clear" w:color="auto" w:fill="auto"/>
            <w:noWrap/>
            <w:vAlign w:val="bottom"/>
          </w:tcPr>
          <w:p w14:paraId="2C248599" w14:textId="0A5AFFEE" w:rsidR="00B132D6" w:rsidRPr="00581288" w:rsidRDefault="00B132D6" w:rsidP="00721646">
            <w:pPr>
              <w:spacing w:line="240" w:lineRule="auto"/>
              <w:jc w:val="center"/>
              <w:rPr>
                <w:sz w:val="18"/>
                <w:szCs w:val="18"/>
              </w:rPr>
            </w:pPr>
          </w:p>
        </w:tc>
      </w:tr>
      <w:tr w:rsidR="00DA1156" w:rsidRPr="00581288" w14:paraId="745B6C67" w14:textId="77777777" w:rsidTr="00775A6C">
        <w:trPr>
          <w:trHeight w:val="405"/>
        </w:trPr>
        <w:tc>
          <w:tcPr>
            <w:tcW w:w="1027" w:type="dxa"/>
            <w:tcBorders>
              <w:top w:val="nil"/>
              <w:left w:val="nil"/>
              <w:bottom w:val="nil"/>
            </w:tcBorders>
            <w:shd w:val="clear" w:color="auto" w:fill="auto"/>
            <w:noWrap/>
            <w:vAlign w:val="bottom"/>
          </w:tcPr>
          <w:p w14:paraId="20139DF4" w14:textId="77777777" w:rsidR="00B132D6" w:rsidRPr="00581288" w:rsidRDefault="00B132D6" w:rsidP="00721646">
            <w:pPr>
              <w:spacing w:line="240" w:lineRule="auto"/>
              <w:jc w:val="center"/>
              <w:rPr>
                <w:sz w:val="18"/>
                <w:szCs w:val="18"/>
              </w:rPr>
            </w:pPr>
          </w:p>
        </w:tc>
        <w:tc>
          <w:tcPr>
            <w:tcW w:w="639" w:type="dxa"/>
            <w:tcBorders>
              <w:top w:val="nil"/>
            </w:tcBorders>
            <w:shd w:val="clear" w:color="auto" w:fill="auto"/>
            <w:noWrap/>
            <w:vAlign w:val="bottom"/>
          </w:tcPr>
          <w:p w14:paraId="2B9F53F0" w14:textId="60190C8D" w:rsidR="00B132D6" w:rsidRPr="00581288" w:rsidRDefault="00B132D6" w:rsidP="00721646">
            <w:pPr>
              <w:spacing w:line="240" w:lineRule="auto"/>
              <w:rPr>
                <w:sz w:val="18"/>
                <w:szCs w:val="18"/>
              </w:rPr>
            </w:pPr>
          </w:p>
        </w:tc>
        <w:tc>
          <w:tcPr>
            <w:tcW w:w="1453" w:type="dxa"/>
            <w:tcBorders>
              <w:top w:val="nil"/>
            </w:tcBorders>
            <w:shd w:val="clear" w:color="auto" w:fill="auto"/>
            <w:noWrap/>
            <w:vAlign w:val="bottom"/>
          </w:tcPr>
          <w:p w14:paraId="1A63DDCE" w14:textId="3D8108D5" w:rsidR="00B132D6" w:rsidRPr="00581288" w:rsidRDefault="00B132D6" w:rsidP="00721646">
            <w:pPr>
              <w:spacing w:line="240" w:lineRule="auto"/>
              <w:jc w:val="center"/>
              <w:rPr>
                <w:sz w:val="18"/>
                <w:szCs w:val="18"/>
              </w:rPr>
            </w:pPr>
          </w:p>
        </w:tc>
        <w:tc>
          <w:tcPr>
            <w:tcW w:w="1276" w:type="dxa"/>
            <w:tcBorders>
              <w:top w:val="nil"/>
            </w:tcBorders>
            <w:shd w:val="clear" w:color="auto" w:fill="auto"/>
            <w:noWrap/>
            <w:vAlign w:val="bottom"/>
          </w:tcPr>
          <w:p w14:paraId="0440E37C" w14:textId="5747178D" w:rsidR="00B132D6" w:rsidRPr="00581288" w:rsidRDefault="00B132D6" w:rsidP="00721646">
            <w:pPr>
              <w:spacing w:line="240" w:lineRule="auto"/>
              <w:jc w:val="center"/>
              <w:rPr>
                <w:sz w:val="18"/>
                <w:szCs w:val="18"/>
              </w:rPr>
            </w:pPr>
          </w:p>
        </w:tc>
        <w:tc>
          <w:tcPr>
            <w:tcW w:w="1275" w:type="dxa"/>
            <w:tcBorders>
              <w:top w:val="nil"/>
            </w:tcBorders>
            <w:shd w:val="clear" w:color="auto" w:fill="auto"/>
            <w:noWrap/>
            <w:vAlign w:val="bottom"/>
          </w:tcPr>
          <w:p w14:paraId="4863AFA3" w14:textId="3D249125" w:rsidR="00B132D6" w:rsidRPr="00581288" w:rsidRDefault="00B132D6" w:rsidP="00721646">
            <w:pPr>
              <w:spacing w:line="240" w:lineRule="auto"/>
              <w:jc w:val="center"/>
              <w:rPr>
                <w:sz w:val="18"/>
                <w:szCs w:val="18"/>
              </w:rPr>
            </w:pPr>
          </w:p>
        </w:tc>
        <w:tc>
          <w:tcPr>
            <w:tcW w:w="426" w:type="dxa"/>
            <w:tcBorders>
              <w:top w:val="nil"/>
            </w:tcBorders>
            <w:shd w:val="clear" w:color="auto" w:fill="auto"/>
            <w:noWrap/>
            <w:vAlign w:val="bottom"/>
          </w:tcPr>
          <w:p w14:paraId="3355E4C5" w14:textId="77777777" w:rsidR="00B132D6" w:rsidRPr="00581288" w:rsidRDefault="00B132D6" w:rsidP="00721646">
            <w:pPr>
              <w:spacing w:line="240" w:lineRule="auto"/>
              <w:jc w:val="center"/>
              <w:rPr>
                <w:sz w:val="18"/>
                <w:szCs w:val="18"/>
              </w:rPr>
            </w:pPr>
          </w:p>
        </w:tc>
        <w:tc>
          <w:tcPr>
            <w:tcW w:w="983" w:type="dxa"/>
            <w:tcBorders>
              <w:top w:val="nil"/>
            </w:tcBorders>
            <w:shd w:val="clear" w:color="auto" w:fill="auto"/>
            <w:noWrap/>
            <w:vAlign w:val="bottom"/>
          </w:tcPr>
          <w:p w14:paraId="01362A45" w14:textId="77777777" w:rsidR="00B132D6" w:rsidRPr="00581288" w:rsidRDefault="00B132D6" w:rsidP="00721646">
            <w:pPr>
              <w:spacing w:line="240" w:lineRule="auto"/>
              <w:rPr>
                <w:sz w:val="18"/>
                <w:szCs w:val="18"/>
              </w:rPr>
            </w:pPr>
          </w:p>
        </w:tc>
        <w:tc>
          <w:tcPr>
            <w:tcW w:w="1072" w:type="dxa"/>
            <w:tcBorders>
              <w:top w:val="nil"/>
            </w:tcBorders>
            <w:shd w:val="clear" w:color="auto" w:fill="auto"/>
            <w:noWrap/>
            <w:vAlign w:val="bottom"/>
          </w:tcPr>
          <w:p w14:paraId="16003E3C" w14:textId="77777777" w:rsidR="00B132D6" w:rsidRPr="00581288" w:rsidRDefault="00B132D6" w:rsidP="00721646">
            <w:pPr>
              <w:spacing w:line="240" w:lineRule="auto"/>
              <w:rPr>
                <w:sz w:val="18"/>
                <w:szCs w:val="18"/>
              </w:rPr>
            </w:pPr>
          </w:p>
        </w:tc>
        <w:tc>
          <w:tcPr>
            <w:tcW w:w="1083" w:type="dxa"/>
            <w:tcBorders>
              <w:top w:val="nil"/>
            </w:tcBorders>
            <w:shd w:val="clear" w:color="auto" w:fill="auto"/>
            <w:noWrap/>
            <w:vAlign w:val="bottom"/>
          </w:tcPr>
          <w:p w14:paraId="22603ADF" w14:textId="77777777" w:rsidR="00B132D6" w:rsidRPr="00581288" w:rsidRDefault="00B132D6" w:rsidP="00721646">
            <w:pPr>
              <w:spacing w:line="240" w:lineRule="auto"/>
              <w:rPr>
                <w:sz w:val="18"/>
                <w:szCs w:val="18"/>
              </w:rPr>
            </w:pPr>
          </w:p>
        </w:tc>
        <w:tc>
          <w:tcPr>
            <w:tcW w:w="689" w:type="dxa"/>
            <w:tcBorders>
              <w:top w:val="nil"/>
            </w:tcBorders>
            <w:shd w:val="clear" w:color="auto" w:fill="auto"/>
            <w:noWrap/>
            <w:vAlign w:val="bottom"/>
          </w:tcPr>
          <w:p w14:paraId="60BF4F65" w14:textId="77777777" w:rsidR="00B132D6" w:rsidRPr="00581288" w:rsidRDefault="00B132D6" w:rsidP="00721646">
            <w:pPr>
              <w:spacing w:line="240" w:lineRule="auto"/>
              <w:rPr>
                <w:sz w:val="18"/>
                <w:szCs w:val="18"/>
              </w:rPr>
            </w:pPr>
          </w:p>
        </w:tc>
        <w:tc>
          <w:tcPr>
            <w:tcW w:w="709" w:type="dxa"/>
            <w:tcBorders>
              <w:top w:val="nil"/>
            </w:tcBorders>
            <w:shd w:val="clear" w:color="auto" w:fill="auto"/>
            <w:noWrap/>
            <w:vAlign w:val="bottom"/>
          </w:tcPr>
          <w:p w14:paraId="2655B7BD" w14:textId="77777777" w:rsidR="00B132D6" w:rsidRPr="00581288" w:rsidRDefault="00B132D6" w:rsidP="00721646">
            <w:pPr>
              <w:spacing w:line="240" w:lineRule="auto"/>
              <w:rPr>
                <w:sz w:val="18"/>
                <w:szCs w:val="18"/>
              </w:rPr>
            </w:pPr>
          </w:p>
        </w:tc>
        <w:tc>
          <w:tcPr>
            <w:tcW w:w="992" w:type="dxa"/>
            <w:tcBorders>
              <w:top w:val="nil"/>
            </w:tcBorders>
            <w:shd w:val="clear" w:color="auto" w:fill="auto"/>
            <w:noWrap/>
            <w:vAlign w:val="bottom"/>
          </w:tcPr>
          <w:p w14:paraId="417687F4" w14:textId="77777777" w:rsidR="00B132D6" w:rsidRPr="00581288" w:rsidRDefault="00B132D6" w:rsidP="00721646">
            <w:pPr>
              <w:spacing w:line="240" w:lineRule="auto"/>
              <w:rPr>
                <w:sz w:val="18"/>
                <w:szCs w:val="18"/>
              </w:rPr>
            </w:pPr>
          </w:p>
        </w:tc>
        <w:tc>
          <w:tcPr>
            <w:tcW w:w="709" w:type="dxa"/>
            <w:tcBorders>
              <w:top w:val="nil"/>
              <w:right w:val="nil"/>
            </w:tcBorders>
            <w:shd w:val="clear" w:color="auto" w:fill="auto"/>
            <w:noWrap/>
            <w:vAlign w:val="bottom"/>
          </w:tcPr>
          <w:p w14:paraId="7B4A819D" w14:textId="77777777" w:rsidR="00B132D6" w:rsidRPr="00581288" w:rsidRDefault="00B132D6" w:rsidP="00721646">
            <w:pPr>
              <w:spacing w:line="240" w:lineRule="auto"/>
              <w:rPr>
                <w:sz w:val="18"/>
                <w:szCs w:val="18"/>
              </w:rPr>
            </w:pPr>
          </w:p>
        </w:tc>
      </w:tr>
      <w:tr w:rsidR="00DA1156" w:rsidRPr="00581288" w14:paraId="77B920DA" w14:textId="77777777" w:rsidTr="00775A6C">
        <w:trPr>
          <w:trHeight w:val="405"/>
        </w:trPr>
        <w:tc>
          <w:tcPr>
            <w:tcW w:w="1027" w:type="dxa"/>
            <w:tcBorders>
              <w:top w:val="nil"/>
              <w:left w:val="nil"/>
              <w:bottom w:val="nil"/>
            </w:tcBorders>
            <w:shd w:val="clear" w:color="auto" w:fill="auto"/>
            <w:noWrap/>
            <w:vAlign w:val="bottom"/>
          </w:tcPr>
          <w:p w14:paraId="725A9BBC" w14:textId="77777777" w:rsidR="00B132D6" w:rsidRPr="00581288" w:rsidRDefault="00B132D6" w:rsidP="00721646">
            <w:pPr>
              <w:spacing w:line="240" w:lineRule="auto"/>
              <w:rPr>
                <w:sz w:val="18"/>
                <w:szCs w:val="18"/>
              </w:rPr>
            </w:pPr>
          </w:p>
        </w:tc>
        <w:tc>
          <w:tcPr>
            <w:tcW w:w="639" w:type="dxa"/>
            <w:tcBorders>
              <w:top w:val="nil"/>
            </w:tcBorders>
            <w:shd w:val="clear" w:color="auto" w:fill="auto"/>
            <w:noWrap/>
            <w:vAlign w:val="bottom"/>
          </w:tcPr>
          <w:p w14:paraId="19155FEE" w14:textId="3EE11820" w:rsidR="00B132D6" w:rsidRPr="00581288" w:rsidRDefault="00B132D6" w:rsidP="00721646">
            <w:pPr>
              <w:spacing w:line="240" w:lineRule="auto"/>
              <w:rPr>
                <w:sz w:val="18"/>
                <w:szCs w:val="18"/>
              </w:rPr>
            </w:pPr>
          </w:p>
        </w:tc>
        <w:tc>
          <w:tcPr>
            <w:tcW w:w="1453" w:type="dxa"/>
            <w:tcBorders>
              <w:top w:val="nil"/>
            </w:tcBorders>
            <w:shd w:val="clear" w:color="auto" w:fill="auto"/>
            <w:noWrap/>
            <w:vAlign w:val="bottom"/>
          </w:tcPr>
          <w:p w14:paraId="640DDED6" w14:textId="3670D243" w:rsidR="00B132D6" w:rsidRPr="00581288" w:rsidRDefault="00B132D6" w:rsidP="00721646">
            <w:pPr>
              <w:spacing w:line="240" w:lineRule="auto"/>
              <w:jc w:val="center"/>
              <w:rPr>
                <w:sz w:val="18"/>
                <w:szCs w:val="18"/>
              </w:rPr>
            </w:pPr>
          </w:p>
        </w:tc>
        <w:tc>
          <w:tcPr>
            <w:tcW w:w="1276" w:type="dxa"/>
            <w:tcBorders>
              <w:top w:val="nil"/>
            </w:tcBorders>
            <w:shd w:val="clear" w:color="auto" w:fill="auto"/>
            <w:noWrap/>
            <w:vAlign w:val="bottom"/>
          </w:tcPr>
          <w:p w14:paraId="032AAC7C" w14:textId="78EF4EEA" w:rsidR="00B132D6" w:rsidRPr="00581288" w:rsidRDefault="00B132D6" w:rsidP="00721646">
            <w:pPr>
              <w:spacing w:line="240" w:lineRule="auto"/>
              <w:jc w:val="center"/>
              <w:rPr>
                <w:sz w:val="18"/>
                <w:szCs w:val="18"/>
              </w:rPr>
            </w:pPr>
          </w:p>
        </w:tc>
        <w:tc>
          <w:tcPr>
            <w:tcW w:w="1275" w:type="dxa"/>
            <w:tcBorders>
              <w:top w:val="nil"/>
            </w:tcBorders>
            <w:shd w:val="clear" w:color="auto" w:fill="auto"/>
            <w:noWrap/>
            <w:vAlign w:val="bottom"/>
          </w:tcPr>
          <w:p w14:paraId="1727C460" w14:textId="6E3E0EF3" w:rsidR="00B132D6" w:rsidRPr="00581288" w:rsidRDefault="00B132D6" w:rsidP="00721646">
            <w:pPr>
              <w:spacing w:line="240" w:lineRule="auto"/>
              <w:jc w:val="center"/>
              <w:rPr>
                <w:sz w:val="18"/>
                <w:szCs w:val="18"/>
              </w:rPr>
            </w:pPr>
          </w:p>
        </w:tc>
        <w:tc>
          <w:tcPr>
            <w:tcW w:w="426" w:type="dxa"/>
            <w:tcBorders>
              <w:top w:val="nil"/>
            </w:tcBorders>
            <w:shd w:val="clear" w:color="auto" w:fill="auto"/>
            <w:noWrap/>
            <w:vAlign w:val="bottom"/>
          </w:tcPr>
          <w:p w14:paraId="6BA55A9C" w14:textId="77777777" w:rsidR="00B132D6" w:rsidRPr="00581288" w:rsidRDefault="00B132D6" w:rsidP="00721646">
            <w:pPr>
              <w:spacing w:line="240" w:lineRule="auto"/>
              <w:jc w:val="center"/>
              <w:rPr>
                <w:sz w:val="18"/>
                <w:szCs w:val="18"/>
              </w:rPr>
            </w:pPr>
          </w:p>
        </w:tc>
        <w:tc>
          <w:tcPr>
            <w:tcW w:w="983" w:type="dxa"/>
            <w:tcBorders>
              <w:top w:val="nil"/>
            </w:tcBorders>
            <w:shd w:val="clear" w:color="auto" w:fill="auto"/>
            <w:noWrap/>
            <w:vAlign w:val="bottom"/>
          </w:tcPr>
          <w:p w14:paraId="41920B4F" w14:textId="77777777" w:rsidR="00B132D6" w:rsidRPr="00581288" w:rsidRDefault="00B132D6" w:rsidP="00721646">
            <w:pPr>
              <w:spacing w:line="240" w:lineRule="auto"/>
              <w:rPr>
                <w:sz w:val="18"/>
                <w:szCs w:val="18"/>
              </w:rPr>
            </w:pPr>
          </w:p>
        </w:tc>
        <w:tc>
          <w:tcPr>
            <w:tcW w:w="1072" w:type="dxa"/>
            <w:tcBorders>
              <w:top w:val="nil"/>
            </w:tcBorders>
            <w:shd w:val="clear" w:color="auto" w:fill="auto"/>
            <w:noWrap/>
            <w:vAlign w:val="bottom"/>
          </w:tcPr>
          <w:p w14:paraId="1AC89A43" w14:textId="77777777" w:rsidR="00B132D6" w:rsidRPr="00581288" w:rsidRDefault="00B132D6" w:rsidP="00721646">
            <w:pPr>
              <w:spacing w:line="240" w:lineRule="auto"/>
              <w:rPr>
                <w:sz w:val="18"/>
                <w:szCs w:val="18"/>
              </w:rPr>
            </w:pPr>
          </w:p>
        </w:tc>
        <w:tc>
          <w:tcPr>
            <w:tcW w:w="1083" w:type="dxa"/>
            <w:tcBorders>
              <w:top w:val="nil"/>
            </w:tcBorders>
            <w:shd w:val="clear" w:color="auto" w:fill="auto"/>
            <w:noWrap/>
            <w:vAlign w:val="bottom"/>
          </w:tcPr>
          <w:p w14:paraId="1CD2B789" w14:textId="77777777" w:rsidR="00B132D6" w:rsidRPr="00581288" w:rsidRDefault="00B132D6" w:rsidP="00721646">
            <w:pPr>
              <w:spacing w:line="240" w:lineRule="auto"/>
              <w:rPr>
                <w:sz w:val="18"/>
                <w:szCs w:val="18"/>
              </w:rPr>
            </w:pPr>
          </w:p>
        </w:tc>
        <w:tc>
          <w:tcPr>
            <w:tcW w:w="689" w:type="dxa"/>
            <w:tcBorders>
              <w:top w:val="nil"/>
            </w:tcBorders>
            <w:shd w:val="clear" w:color="auto" w:fill="auto"/>
            <w:noWrap/>
            <w:vAlign w:val="bottom"/>
          </w:tcPr>
          <w:p w14:paraId="5AD7C947" w14:textId="77777777" w:rsidR="00B132D6" w:rsidRPr="00581288" w:rsidRDefault="00B132D6" w:rsidP="00721646">
            <w:pPr>
              <w:spacing w:line="240" w:lineRule="auto"/>
              <w:rPr>
                <w:sz w:val="18"/>
                <w:szCs w:val="18"/>
              </w:rPr>
            </w:pPr>
          </w:p>
        </w:tc>
        <w:tc>
          <w:tcPr>
            <w:tcW w:w="709" w:type="dxa"/>
            <w:tcBorders>
              <w:top w:val="nil"/>
            </w:tcBorders>
            <w:shd w:val="clear" w:color="auto" w:fill="auto"/>
            <w:noWrap/>
            <w:vAlign w:val="bottom"/>
          </w:tcPr>
          <w:p w14:paraId="23517FB6" w14:textId="77777777" w:rsidR="00B132D6" w:rsidRPr="00581288" w:rsidRDefault="00B132D6" w:rsidP="00721646">
            <w:pPr>
              <w:spacing w:line="240" w:lineRule="auto"/>
              <w:rPr>
                <w:sz w:val="18"/>
                <w:szCs w:val="18"/>
              </w:rPr>
            </w:pPr>
          </w:p>
        </w:tc>
        <w:tc>
          <w:tcPr>
            <w:tcW w:w="992" w:type="dxa"/>
            <w:tcBorders>
              <w:top w:val="nil"/>
            </w:tcBorders>
            <w:shd w:val="clear" w:color="auto" w:fill="auto"/>
            <w:noWrap/>
            <w:vAlign w:val="bottom"/>
          </w:tcPr>
          <w:p w14:paraId="089D3792" w14:textId="77777777" w:rsidR="00B132D6" w:rsidRPr="00581288" w:rsidRDefault="00B132D6" w:rsidP="00721646">
            <w:pPr>
              <w:spacing w:line="240" w:lineRule="auto"/>
              <w:rPr>
                <w:sz w:val="18"/>
                <w:szCs w:val="18"/>
              </w:rPr>
            </w:pPr>
          </w:p>
        </w:tc>
        <w:tc>
          <w:tcPr>
            <w:tcW w:w="709" w:type="dxa"/>
            <w:tcBorders>
              <w:top w:val="nil"/>
              <w:right w:val="nil"/>
            </w:tcBorders>
            <w:shd w:val="clear" w:color="auto" w:fill="auto"/>
            <w:noWrap/>
            <w:vAlign w:val="bottom"/>
          </w:tcPr>
          <w:p w14:paraId="12699656" w14:textId="77777777" w:rsidR="00B132D6" w:rsidRPr="00581288" w:rsidRDefault="00B132D6" w:rsidP="00721646">
            <w:pPr>
              <w:spacing w:line="240" w:lineRule="auto"/>
              <w:rPr>
                <w:sz w:val="18"/>
                <w:szCs w:val="18"/>
              </w:rPr>
            </w:pPr>
          </w:p>
        </w:tc>
      </w:tr>
    </w:tbl>
    <w:p w14:paraId="30F5F58E" w14:textId="2A0EE656" w:rsidR="00B443AC" w:rsidRPr="00581288" w:rsidRDefault="00B443AC" w:rsidP="0013007E">
      <w:pPr>
        <w:pStyle w:val="Caption"/>
        <w:keepNext/>
        <w:spacing w:after="0" w:line="480" w:lineRule="auto"/>
      </w:pPr>
    </w:p>
    <w:p w14:paraId="347AE8F8" w14:textId="77777777" w:rsidR="00A50574" w:rsidRPr="00581288" w:rsidRDefault="00A50574">
      <w:pPr>
        <w:spacing w:line="312" w:lineRule="auto"/>
        <w:rPr>
          <w:bCs/>
          <w:sz w:val="20"/>
          <w:szCs w:val="16"/>
        </w:rPr>
        <w:sectPr w:rsidR="00A50574" w:rsidRPr="00581288" w:rsidSect="00A50574">
          <w:pgSz w:w="15840" w:h="12240" w:orient="landscape"/>
          <w:pgMar w:top="1440" w:right="1588" w:bottom="1588" w:left="1588" w:header="720" w:footer="720" w:gutter="0"/>
          <w:lnNumType w:countBy="1" w:restart="continuous"/>
          <w:cols w:space="720"/>
          <w:docGrid w:linePitch="326"/>
        </w:sectPr>
      </w:pPr>
    </w:p>
    <w:p w14:paraId="4D5373A7" w14:textId="64D16D7F" w:rsidR="000B6662" w:rsidRPr="000B6662" w:rsidRDefault="0013007E" w:rsidP="002F2CCB">
      <w:r w:rsidRPr="00581288">
        <w:lastRenderedPageBreak/>
        <w:t>Table 3</w:t>
      </w:r>
      <w:r w:rsidR="00B132D6" w:rsidRPr="00581288">
        <w:t xml:space="preserve"> Evaluation of the impact of proactively reinterpreting IRs in the disclosing test at severe level, compared to the number of IRs that </w:t>
      </w:r>
      <w:r w:rsidR="00C240F9" w:rsidRPr="00581288">
        <w:t>were</w:t>
      </w:r>
      <w:r w:rsidR="00B132D6" w:rsidRPr="00581288">
        <w:t xml:space="preserve"> reactors or IRs at the 60-day retest in high-risk </w:t>
      </w:r>
      <w:r w:rsidR="003679A7" w:rsidRPr="00581288">
        <w:t>test</w:t>
      </w:r>
      <w:r w:rsidR="00B132D6" w:rsidRPr="00581288">
        <w:t>s</w:t>
      </w:r>
      <w:r w:rsidR="003679A7" w:rsidRPr="00581288">
        <w:t xml:space="preserve"> predicted by</w:t>
      </w:r>
      <w:r w:rsidR="00B132D6" w:rsidRPr="00581288">
        <w:t xml:space="preserve"> classification tree analysis on the 20% </w:t>
      </w:r>
      <w:r w:rsidR="00C240F9" w:rsidRPr="00581288">
        <w:t xml:space="preserve">of </w:t>
      </w:r>
      <w:r w:rsidR="00B132D6" w:rsidRPr="00581288">
        <w:t xml:space="preserve">2012-2019 testing dataset (Test 1). The </w:t>
      </w:r>
      <w:r w:rsidR="003679A7" w:rsidRPr="00581288">
        <w:t xml:space="preserve">“Severe reactor IRs” </w:t>
      </w:r>
      <w:r w:rsidR="00B132D6" w:rsidRPr="00581288">
        <w:t>column shows the number of IRs that would have been reactors at severe level, if the disclosing test had been reinterpreted</w:t>
      </w:r>
      <w:r w:rsidR="003679A7" w:rsidRPr="00581288">
        <w:t xml:space="preserve">. </w:t>
      </w:r>
      <w:r w:rsidR="007D2DB3">
        <w:fldChar w:fldCharType="begin"/>
      </w:r>
      <w:r w:rsidR="007D2DB3">
        <w:instrText xml:space="preserve"> LINK </w:instrText>
      </w:r>
      <w:r w:rsidR="000B6662">
        <w:instrText xml:space="preserve">Excel.Sheet.12 "C:\\Data\\PhD\\2018_01 RC Impact Assessments\\2021_02_01_Impact assessments IRs 2012-2020 TEST data\\Outputs\\PVM revised submission corrected\\Surv MV analysis outputs_resampled corrected model.xlsx" "CT_NoVarSel_All CPHH!R346C1:R363C8" </w:instrText>
      </w:r>
      <w:r w:rsidR="007D2DB3">
        <w:instrText xml:space="preserve">\a \f 5 \h  \* MERGEFORMAT </w:instrText>
      </w:r>
      <w:r w:rsidR="000B6662">
        <w:fldChar w:fldCharType="separate"/>
      </w:r>
    </w:p>
    <w:tbl>
      <w:tblPr>
        <w:tblStyle w:val="TableGrid"/>
        <w:tblW w:w="9214" w:type="dxa"/>
        <w:tblLook w:val="04A0" w:firstRow="1" w:lastRow="0" w:firstColumn="1" w:lastColumn="0" w:noHBand="0" w:noVBand="1"/>
      </w:tblPr>
      <w:tblGrid>
        <w:gridCol w:w="846"/>
        <w:gridCol w:w="1422"/>
        <w:gridCol w:w="1145"/>
        <w:gridCol w:w="1123"/>
        <w:gridCol w:w="1281"/>
        <w:gridCol w:w="986"/>
        <w:gridCol w:w="1072"/>
        <w:gridCol w:w="1634"/>
      </w:tblGrid>
      <w:tr w:rsidR="000B6662" w:rsidRPr="000B6662" w14:paraId="0FC9C44F" w14:textId="77777777" w:rsidTr="000B6662">
        <w:trPr>
          <w:divId w:val="424883975"/>
          <w:trHeight w:val="656"/>
        </w:trPr>
        <w:tc>
          <w:tcPr>
            <w:tcW w:w="846" w:type="dxa"/>
            <w:tcBorders>
              <w:bottom w:val="single" w:sz="4" w:space="0" w:color="auto"/>
            </w:tcBorders>
            <w:hideMark/>
          </w:tcPr>
          <w:p w14:paraId="1A2BA053" w14:textId="074DC38C" w:rsidR="000B6662" w:rsidRPr="000B6662" w:rsidRDefault="000B6662" w:rsidP="000B6662">
            <w:pPr>
              <w:spacing w:line="240" w:lineRule="auto"/>
              <w:rPr>
                <w:sz w:val="22"/>
                <w:szCs w:val="22"/>
              </w:rPr>
            </w:pPr>
            <w:r w:rsidRPr="000B6662">
              <w:rPr>
                <w:sz w:val="22"/>
                <w:szCs w:val="22"/>
              </w:rPr>
              <w:t>Year</w:t>
            </w:r>
          </w:p>
        </w:tc>
        <w:tc>
          <w:tcPr>
            <w:tcW w:w="1422" w:type="dxa"/>
            <w:tcBorders>
              <w:bottom w:val="single" w:sz="4" w:space="0" w:color="auto"/>
            </w:tcBorders>
            <w:hideMark/>
          </w:tcPr>
          <w:p w14:paraId="16B24102" w14:textId="77777777" w:rsidR="000B6662" w:rsidRPr="000B6662" w:rsidRDefault="000B6662" w:rsidP="000B6662">
            <w:pPr>
              <w:spacing w:line="240" w:lineRule="auto"/>
              <w:rPr>
                <w:sz w:val="22"/>
                <w:szCs w:val="22"/>
              </w:rPr>
            </w:pPr>
            <w:r w:rsidRPr="000B6662">
              <w:rPr>
                <w:sz w:val="22"/>
                <w:szCs w:val="22"/>
              </w:rPr>
              <w:t>Any Reactor or IR at retest</w:t>
            </w:r>
          </w:p>
        </w:tc>
        <w:tc>
          <w:tcPr>
            <w:tcW w:w="856" w:type="dxa"/>
            <w:tcBorders>
              <w:bottom w:val="single" w:sz="4" w:space="0" w:color="auto"/>
            </w:tcBorders>
            <w:hideMark/>
          </w:tcPr>
          <w:p w14:paraId="4F74ADB0" w14:textId="77777777" w:rsidR="000B6662" w:rsidRPr="000B6662" w:rsidRDefault="000B6662" w:rsidP="000B6662">
            <w:pPr>
              <w:spacing w:line="240" w:lineRule="auto"/>
              <w:rPr>
                <w:sz w:val="22"/>
                <w:szCs w:val="22"/>
              </w:rPr>
            </w:pPr>
            <w:proofErr w:type="spellStart"/>
            <w:r w:rsidRPr="000B6662">
              <w:rPr>
                <w:sz w:val="22"/>
                <w:szCs w:val="22"/>
              </w:rPr>
              <w:t>TotalTests</w:t>
            </w:r>
            <w:proofErr w:type="spellEnd"/>
          </w:p>
        </w:tc>
        <w:tc>
          <w:tcPr>
            <w:tcW w:w="1123" w:type="dxa"/>
            <w:tcBorders>
              <w:bottom w:val="single" w:sz="4" w:space="0" w:color="auto"/>
            </w:tcBorders>
            <w:hideMark/>
          </w:tcPr>
          <w:p w14:paraId="4A38091C" w14:textId="77777777" w:rsidR="000B6662" w:rsidRPr="000B6662" w:rsidRDefault="000B6662" w:rsidP="000B6662">
            <w:pPr>
              <w:spacing w:line="240" w:lineRule="auto"/>
              <w:rPr>
                <w:sz w:val="22"/>
                <w:szCs w:val="22"/>
              </w:rPr>
            </w:pPr>
            <w:r w:rsidRPr="000B6662">
              <w:rPr>
                <w:sz w:val="22"/>
                <w:szCs w:val="22"/>
              </w:rPr>
              <w:t>Total IRs disclosed</w:t>
            </w:r>
          </w:p>
        </w:tc>
        <w:tc>
          <w:tcPr>
            <w:tcW w:w="1281" w:type="dxa"/>
            <w:tcBorders>
              <w:bottom w:val="single" w:sz="4" w:space="0" w:color="auto"/>
            </w:tcBorders>
            <w:hideMark/>
          </w:tcPr>
          <w:p w14:paraId="62C25EA5" w14:textId="77777777" w:rsidR="000B6662" w:rsidRPr="000B6662" w:rsidRDefault="000B6662" w:rsidP="000B6662">
            <w:pPr>
              <w:spacing w:line="240" w:lineRule="auto"/>
              <w:rPr>
                <w:sz w:val="22"/>
                <w:szCs w:val="22"/>
              </w:rPr>
            </w:pPr>
            <w:r w:rsidRPr="000B6662">
              <w:rPr>
                <w:sz w:val="22"/>
                <w:szCs w:val="22"/>
              </w:rPr>
              <w:t>Positive IRs</w:t>
            </w:r>
          </w:p>
        </w:tc>
        <w:tc>
          <w:tcPr>
            <w:tcW w:w="986" w:type="dxa"/>
            <w:tcBorders>
              <w:bottom w:val="single" w:sz="4" w:space="0" w:color="auto"/>
            </w:tcBorders>
            <w:hideMark/>
          </w:tcPr>
          <w:p w14:paraId="55B5DA39" w14:textId="77777777" w:rsidR="000B6662" w:rsidRPr="000B6662" w:rsidRDefault="000B6662" w:rsidP="000B6662">
            <w:pPr>
              <w:spacing w:line="240" w:lineRule="auto"/>
              <w:rPr>
                <w:sz w:val="22"/>
                <w:szCs w:val="22"/>
              </w:rPr>
            </w:pPr>
            <w:r w:rsidRPr="000B6662">
              <w:rPr>
                <w:sz w:val="22"/>
                <w:szCs w:val="22"/>
              </w:rPr>
              <w:t>Retest Reactors</w:t>
            </w:r>
          </w:p>
        </w:tc>
        <w:tc>
          <w:tcPr>
            <w:tcW w:w="1066" w:type="dxa"/>
            <w:tcBorders>
              <w:bottom w:val="single" w:sz="4" w:space="0" w:color="auto"/>
            </w:tcBorders>
            <w:hideMark/>
          </w:tcPr>
          <w:p w14:paraId="3C81A755" w14:textId="77777777" w:rsidR="000B6662" w:rsidRPr="000B6662" w:rsidRDefault="000B6662" w:rsidP="000B6662">
            <w:pPr>
              <w:spacing w:line="240" w:lineRule="auto"/>
              <w:rPr>
                <w:sz w:val="22"/>
                <w:szCs w:val="22"/>
              </w:rPr>
            </w:pPr>
            <w:proofErr w:type="spellStart"/>
            <w:r w:rsidRPr="000B6662">
              <w:rPr>
                <w:sz w:val="22"/>
                <w:szCs w:val="22"/>
              </w:rPr>
              <w:t>RetestIRs</w:t>
            </w:r>
            <w:proofErr w:type="spellEnd"/>
          </w:p>
        </w:tc>
        <w:tc>
          <w:tcPr>
            <w:tcW w:w="1634" w:type="dxa"/>
            <w:tcBorders>
              <w:bottom w:val="single" w:sz="4" w:space="0" w:color="auto"/>
            </w:tcBorders>
            <w:hideMark/>
          </w:tcPr>
          <w:p w14:paraId="54FD2D90" w14:textId="77777777" w:rsidR="000B6662" w:rsidRPr="000B6662" w:rsidRDefault="000B6662" w:rsidP="000B6662">
            <w:pPr>
              <w:spacing w:line="240" w:lineRule="auto"/>
              <w:rPr>
                <w:sz w:val="22"/>
                <w:szCs w:val="22"/>
              </w:rPr>
            </w:pPr>
            <w:r w:rsidRPr="000B6662">
              <w:rPr>
                <w:sz w:val="22"/>
                <w:szCs w:val="22"/>
              </w:rPr>
              <w:t>Retest Reactors or IRs</w:t>
            </w:r>
          </w:p>
        </w:tc>
      </w:tr>
      <w:tr w:rsidR="000B6662" w:rsidRPr="000B6662" w14:paraId="7A362064" w14:textId="77777777" w:rsidTr="000B6662">
        <w:trPr>
          <w:divId w:val="424883975"/>
          <w:trHeight w:val="420"/>
        </w:trPr>
        <w:tc>
          <w:tcPr>
            <w:tcW w:w="846" w:type="dxa"/>
            <w:tcBorders>
              <w:top w:val="single" w:sz="4" w:space="0" w:color="auto"/>
            </w:tcBorders>
            <w:noWrap/>
            <w:hideMark/>
          </w:tcPr>
          <w:p w14:paraId="4A7CB9C1" w14:textId="77777777" w:rsidR="000B6662" w:rsidRPr="000B6662" w:rsidRDefault="000B6662" w:rsidP="000B6662">
            <w:pPr>
              <w:spacing w:line="240" w:lineRule="auto"/>
              <w:rPr>
                <w:sz w:val="22"/>
                <w:szCs w:val="22"/>
              </w:rPr>
            </w:pPr>
            <w:r w:rsidRPr="000B6662">
              <w:rPr>
                <w:sz w:val="22"/>
                <w:szCs w:val="22"/>
              </w:rPr>
              <w:t>2012</w:t>
            </w:r>
          </w:p>
        </w:tc>
        <w:tc>
          <w:tcPr>
            <w:tcW w:w="1422" w:type="dxa"/>
            <w:tcBorders>
              <w:top w:val="single" w:sz="4" w:space="0" w:color="auto"/>
            </w:tcBorders>
            <w:noWrap/>
            <w:hideMark/>
          </w:tcPr>
          <w:p w14:paraId="2DEEFDA7" w14:textId="77777777" w:rsidR="000B6662" w:rsidRPr="000B6662" w:rsidRDefault="000B6662" w:rsidP="000B6662">
            <w:pPr>
              <w:spacing w:line="240" w:lineRule="auto"/>
              <w:rPr>
                <w:sz w:val="22"/>
                <w:szCs w:val="22"/>
              </w:rPr>
            </w:pPr>
            <w:r w:rsidRPr="000B6662">
              <w:rPr>
                <w:sz w:val="22"/>
                <w:szCs w:val="22"/>
              </w:rPr>
              <w:t>Yes</w:t>
            </w:r>
          </w:p>
        </w:tc>
        <w:tc>
          <w:tcPr>
            <w:tcW w:w="856" w:type="dxa"/>
            <w:tcBorders>
              <w:top w:val="single" w:sz="4" w:space="0" w:color="auto"/>
            </w:tcBorders>
            <w:noWrap/>
            <w:hideMark/>
          </w:tcPr>
          <w:p w14:paraId="4485AFA8" w14:textId="77777777" w:rsidR="000B6662" w:rsidRPr="000B6662" w:rsidRDefault="000B6662" w:rsidP="000B6662">
            <w:pPr>
              <w:spacing w:line="240" w:lineRule="auto"/>
              <w:rPr>
                <w:sz w:val="22"/>
                <w:szCs w:val="22"/>
              </w:rPr>
            </w:pPr>
            <w:r w:rsidRPr="000B6662">
              <w:rPr>
                <w:sz w:val="22"/>
                <w:szCs w:val="22"/>
              </w:rPr>
              <w:t>81</w:t>
            </w:r>
          </w:p>
        </w:tc>
        <w:tc>
          <w:tcPr>
            <w:tcW w:w="1123" w:type="dxa"/>
            <w:tcBorders>
              <w:top w:val="single" w:sz="4" w:space="0" w:color="auto"/>
            </w:tcBorders>
            <w:noWrap/>
            <w:hideMark/>
          </w:tcPr>
          <w:p w14:paraId="57B09E84" w14:textId="77777777" w:rsidR="000B6662" w:rsidRPr="000B6662" w:rsidRDefault="000B6662" w:rsidP="000B6662">
            <w:pPr>
              <w:spacing w:line="240" w:lineRule="auto"/>
              <w:rPr>
                <w:sz w:val="22"/>
                <w:szCs w:val="22"/>
              </w:rPr>
            </w:pPr>
            <w:r w:rsidRPr="000B6662">
              <w:rPr>
                <w:sz w:val="22"/>
                <w:szCs w:val="22"/>
              </w:rPr>
              <w:t>199</w:t>
            </w:r>
          </w:p>
        </w:tc>
        <w:tc>
          <w:tcPr>
            <w:tcW w:w="1281" w:type="dxa"/>
            <w:tcBorders>
              <w:top w:val="single" w:sz="4" w:space="0" w:color="auto"/>
            </w:tcBorders>
            <w:noWrap/>
            <w:hideMark/>
          </w:tcPr>
          <w:p w14:paraId="2DBE09AB" w14:textId="77777777" w:rsidR="000B6662" w:rsidRPr="000B6662" w:rsidRDefault="000B6662" w:rsidP="000B6662">
            <w:pPr>
              <w:spacing w:line="240" w:lineRule="auto"/>
              <w:rPr>
                <w:sz w:val="22"/>
                <w:szCs w:val="22"/>
              </w:rPr>
            </w:pPr>
            <w:r w:rsidRPr="000B6662">
              <w:rPr>
                <w:sz w:val="22"/>
                <w:szCs w:val="22"/>
              </w:rPr>
              <w:t>47</w:t>
            </w:r>
          </w:p>
        </w:tc>
        <w:tc>
          <w:tcPr>
            <w:tcW w:w="986" w:type="dxa"/>
            <w:tcBorders>
              <w:top w:val="single" w:sz="4" w:space="0" w:color="auto"/>
            </w:tcBorders>
            <w:noWrap/>
            <w:hideMark/>
          </w:tcPr>
          <w:p w14:paraId="6E85A52F" w14:textId="77777777" w:rsidR="000B6662" w:rsidRPr="000B6662" w:rsidRDefault="000B6662" w:rsidP="000B6662">
            <w:pPr>
              <w:spacing w:line="240" w:lineRule="auto"/>
              <w:rPr>
                <w:sz w:val="22"/>
                <w:szCs w:val="22"/>
              </w:rPr>
            </w:pPr>
            <w:r w:rsidRPr="000B6662">
              <w:rPr>
                <w:sz w:val="22"/>
                <w:szCs w:val="22"/>
              </w:rPr>
              <w:t>49</w:t>
            </w:r>
          </w:p>
        </w:tc>
        <w:tc>
          <w:tcPr>
            <w:tcW w:w="1066" w:type="dxa"/>
            <w:tcBorders>
              <w:top w:val="single" w:sz="4" w:space="0" w:color="auto"/>
            </w:tcBorders>
            <w:noWrap/>
            <w:hideMark/>
          </w:tcPr>
          <w:p w14:paraId="181EE188" w14:textId="77777777" w:rsidR="000B6662" w:rsidRPr="000B6662" w:rsidRDefault="000B6662" w:rsidP="000B6662">
            <w:pPr>
              <w:spacing w:line="240" w:lineRule="auto"/>
              <w:rPr>
                <w:sz w:val="22"/>
                <w:szCs w:val="22"/>
              </w:rPr>
            </w:pPr>
            <w:r w:rsidRPr="000B6662">
              <w:rPr>
                <w:sz w:val="22"/>
                <w:szCs w:val="22"/>
              </w:rPr>
              <w:t>59</w:t>
            </w:r>
          </w:p>
        </w:tc>
        <w:tc>
          <w:tcPr>
            <w:tcW w:w="1634" w:type="dxa"/>
            <w:tcBorders>
              <w:top w:val="single" w:sz="4" w:space="0" w:color="auto"/>
            </w:tcBorders>
            <w:noWrap/>
            <w:hideMark/>
          </w:tcPr>
          <w:p w14:paraId="73BECFC8" w14:textId="77777777" w:rsidR="000B6662" w:rsidRPr="000B6662" w:rsidRDefault="000B6662" w:rsidP="000B6662">
            <w:pPr>
              <w:spacing w:line="240" w:lineRule="auto"/>
              <w:rPr>
                <w:sz w:val="22"/>
                <w:szCs w:val="22"/>
              </w:rPr>
            </w:pPr>
            <w:r w:rsidRPr="000B6662">
              <w:rPr>
                <w:sz w:val="22"/>
                <w:szCs w:val="22"/>
              </w:rPr>
              <w:t>108</w:t>
            </w:r>
          </w:p>
        </w:tc>
      </w:tr>
      <w:tr w:rsidR="000B6662" w:rsidRPr="000B6662" w14:paraId="557CA2E1" w14:textId="77777777" w:rsidTr="000B6662">
        <w:trPr>
          <w:divId w:val="424883975"/>
          <w:trHeight w:val="420"/>
        </w:trPr>
        <w:tc>
          <w:tcPr>
            <w:tcW w:w="846" w:type="dxa"/>
            <w:noWrap/>
            <w:hideMark/>
          </w:tcPr>
          <w:p w14:paraId="09859C89" w14:textId="77777777" w:rsidR="000B6662" w:rsidRPr="000B6662" w:rsidRDefault="000B6662" w:rsidP="000B6662">
            <w:pPr>
              <w:spacing w:line="240" w:lineRule="auto"/>
              <w:rPr>
                <w:sz w:val="22"/>
                <w:szCs w:val="22"/>
              </w:rPr>
            </w:pPr>
            <w:r w:rsidRPr="000B6662">
              <w:rPr>
                <w:sz w:val="22"/>
                <w:szCs w:val="22"/>
              </w:rPr>
              <w:t>2012</w:t>
            </w:r>
          </w:p>
        </w:tc>
        <w:tc>
          <w:tcPr>
            <w:tcW w:w="1422" w:type="dxa"/>
            <w:noWrap/>
            <w:hideMark/>
          </w:tcPr>
          <w:p w14:paraId="65D2DF27" w14:textId="77777777" w:rsidR="000B6662" w:rsidRPr="000B6662" w:rsidRDefault="000B6662" w:rsidP="000B6662">
            <w:pPr>
              <w:spacing w:line="240" w:lineRule="auto"/>
              <w:rPr>
                <w:sz w:val="22"/>
                <w:szCs w:val="22"/>
              </w:rPr>
            </w:pPr>
            <w:r w:rsidRPr="000B6662">
              <w:rPr>
                <w:sz w:val="22"/>
                <w:szCs w:val="22"/>
              </w:rPr>
              <w:t>No</w:t>
            </w:r>
          </w:p>
        </w:tc>
        <w:tc>
          <w:tcPr>
            <w:tcW w:w="856" w:type="dxa"/>
            <w:noWrap/>
            <w:hideMark/>
          </w:tcPr>
          <w:p w14:paraId="65C7BB86" w14:textId="77777777" w:rsidR="000B6662" w:rsidRPr="000B6662" w:rsidRDefault="000B6662" w:rsidP="000B6662">
            <w:pPr>
              <w:spacing w:line="240" w:lineRule="auto"/>
              <w:rPr>
                <w:sz w:val="22"/>
                <w:szCs w:val="22"/>
              </w:rPr>
            </w:pPr>
            <w:r w:rsidRPr="000B6662">
              <w:rPr>
                <w:sz w:val="22"/>
                <w:szCs w:val="22"/>
              </w:rPr>
              <w:t>39</w:t>
            </w:r>
          </w:p>
        </w:tc>
        <w:tc>
          <w:tcPr>
            <w:tcW w:w="1123" w:type="dxa"/>
            <w:noWrap/>
            <w:hideMark/>
          </w:tcPr>
          <w:p w14:paraId="3A71F426" w14:textId="77777777" w:rsidR="000B6662" w:rsidRPr="000B6662" w:rsidRDefault="000B6662" w:rsidP="000B6662">
            <w:pPr>
              <w:spacing w:line="240" w:lineRule="auto"/>
              <w:rPr>
                <w:sz w:val="22"/>
                <w:szCs w:val="22"/>
              </w:rPr>
            </w:pPr>
            <w:r w:rsidRPr="000B6662">
              <w:rPr>
                <w:sz w:val="22"/>
                <w:szCs w:val="22"/>
              </w:rPr>
              <w:t>72</w:t>
            </w:r>
          </w:p>
        </w:tc>
        <w:tc>
          <w:tcPr>
            <w:tcW w:w="1281" w:type="dxa"/>
            <w:noWrap/>
            <w:hideMark/>
          </w:tcPr>
          <w:p w14:paraId="40B021EF" w14:textId="77777777" w:rsidR="000B6662" w:rsidRPr="000B6662" w:rsidRDefault="000B6662" w:rsidP="000B6662">
            <w:pPr>
              <w:spacing w:line="240" w:lineRule="auto"/>
              <w:rPr>
                <w:sz w:val="22"/>
                <w:szCs w:val="22"/>
              </w:rPr>
            </w:pPr>
            <w:r w:rsidRPr="000B6662">
              <w:rPr>
                <w:sz w:val="22"/>
                <w:szCs w:val="22"/>
              </w:rPr>
              <w:t>11</w:t>
            </w:r>
          </w:p>
        </w:tc>
        <w:tc>
          <w:tcPr>
            <w:tcW w:w="986" w:type="dxa"/>
            <w:noWrap/>
            <w:hideMark/>
          </w:tcPr>
          <w:p w14:paraId="40129648" w14:textId="77777777" w:rsidR="000B6662" w:rsidRPr="000B6662" w:rsidRDefault="000B6662" w:rsidP="000B6662">
            <w:pPr>
              <w:spacing w:line="240" w:lineRule="auto"/>
              <w:rPr>
                <w:sz w:val="22"/>
                <w:szCs w:val="22"/>
              </w:rPr>
            </w:pPr>
            <w:r w:rsidRPr="000B6662">
              <w:rPr>
                <w:sz w:val="22"/>
                <w:szCs w:val="22"/>
              </w:rPr>
              <w:t>0</w:t>
            </w:r>
          </w:p>
        </w:tc>
        <w:tc>
          <w:tcPr>
            <w:tcW w:w="1066" w:type="dxa"/>
            <w:noWrap/>
            <w:hideMark/>
          </w:tcPr>
          <w:p w14:paraId="241C146F" w14:textId="77777777" w:rsidR="000B6662" w:rsidRPr="000B6662" w:rsidRDefault="000B6662" w:rsidP="000B6662">
            <w:pPr>
              <w:spacing w:line="240" w:lineRule="auto"/>
              <w:rPr>
                <w:sz w:val="22"/>
                <w:szCs w:val="22"/>
              </w:rPr>
            </w:pPr>
            <w:r w:rsidRPr="000B6662">
              <w:rPr>
                <w:sz w:val="22"/>
                <w:szCs w:val="22"/>
              </w:rPr>
              <w:t>0</w:t>
            </w:r>
          </w:p>
        </w:tc>
        <w:tc>
          <w:tcPr>
            <w:tcW w:w="1634" w:type="dxa"/>
            <w:noWrap/>
            <w:hideMark/>
          </w:tcPr>
          <w:p w14:paraId="6448BCB7" w14:textId="77777777" w:rsidR="000B6662" w:rsidRPr="000B6662" w:rsidRDefault="000B6662" w:rsidP="000B6662">
            <w:pPr>
              <w:spacing w:line="240" w:lineRule="auto"/>
              <w:rPr>
                <w:sz w:val="22"/>
                <w:szCs w:val="22"/>
              </w:rPr>
            </w:pPr>
            <w:r w:rsidRPr="000B6662">
              <w:rPr>
                <w:sz w:val="22"/>
                <w:szCs w:val="22"/>
              </w:rPr>
              <w:t>0</w:t>
            </w:r>
          </w:p>
        </w:tc>
      </w:tr>
      <w:tr w:rsidR="000B6662" w:rsidRPr="000B6662" w14:paraId="2097FBC8" w14:textId="77777777" w:rsidTr="000B6662">
        <w:trPr>
          <w:divId w:val="424883975"/>
          <w:trHeight w:val="420"/>
        </w:trPr>
        <w:tc>
          <w:tcPr>
            <w:tcW w:w="846" w:type="dxa"/>
            <w:noWrap/>
            <w:hideMark/>
          </w:tcPr>
          <w:p w14:paraId="298168E2" w14:textId="77777777" w:rsidR="000B6662" w:rsidRPr="000B6662" w:rsidRDefault="000B6662" w:rsidP="000B6662">
            <w:pPr>
              <w:spacing w:line="240" w:lineRule="auto"/>
              <w:rPr>
                <w:sz w:val="22"/>
                <w:szCs w:val="22"/>
              </w:rPr>
            </w:pPr>
            <w:r w:rsidRPr="000B6662">
              <w:rPr>
                <w:sz w:val="22"/>
                <w:szCs w:val="22"/>
              </w:rPr>
              <w:t>2013</w:t>
            </w:r>
          </w:p>
        </w:tc>
        <w:tc>
          <w:tcPr>
            <w:tcW w:w="1422" w:type="dxa"/>
            <w:noWrap/>
            <w:hideMark/>
          </w:tcPr>
          <w:p w14:paraId="64A16317" w14:textId="77777777" w:rsidR="000B6662" w:rsidRPr="000B6662" w:rsidRDefault="000B6662" w:rsidP="000B6662">
            <w:pPr>
              <w:spacing w:line="240" w:lineRule="auto"/>
              <w:rPr>
                <w:sz w:val="22"/>
                <w:szCs w:val="22"/>
              </w:rPr>
            </w:pPr>
            <w:r w:rsidRPr="000B6662">
              <w:rPr>
                <w:sz w:val="22"/>
                <w:szCs w:val="22"/>
              </w:rPr>
              <w:t>Yes</w:t>
            </w:r>
          </w:p>
        </w:tc>
        <w:tc>
          <w:tcPr>
            <w:tcW w:w="856" w:type="dxa"/>
            <w:noWrap/>
            <w:hideMark/>
          </w:tcPr>
          <w:p w14:paraId="1E636404" w14:textId="77777777" w:rsidR="000B6662" w:rsidRPr="000B6662" w:rsidRDefault="000B6662" w:rsidP="000B6662">
            <w:pPr>
              <w:spacing w:line="240" w:lineRule="auto"/>
              <w:rPr>
                <w:sz w:val="22"/>
                <w:szCs w:val="22"/>
              </w:rPr>
            </w:pPr>
            <w:r w:rsidRPr="000B6662">
              <w:rPr>
                <w:sz w:val="22"/>
                <w:szCs w:val="22"/>
              </w:rPr>
              <w:t>101</w:t>
            </w:r>
          </w:p>
        </w:tc>
        <w:tc>
          <w:tcPr>
            <w:tcW w:w="1123" w:type="dxa"/>
            <w:noWrap/>
            <w:hideMark/>
          </w:tcPr>
          <w:p w14:paraId="6600AE30" w14:textId="77777777" w:rsidR="000B6662" w:rsidRPr="000B6662" w:rsidRDefault="000B6662" w:rsidP="000B6662">
            <w:pPr>
              <w:spacing w:line="240" w:lineRule="auto"/>
              <w:rPr>
                <w:sz w:val="22"/>
                <w:szCs w:val="22"/>
              </w:rPr>
            </w:pPr>
            <w:r w:rsidRPr="000B6662">
              <w:rPr>
                <w:sz w:val="22"/>
                <w:szCs w:val="22"/>
              </w:rPr>
              <w:t>240</w:t>
            </w:r>
          </w:p>
        </w:tc>
        <w:tc>
          <w:tcPr>
            <w:tcW w:w="1281" w:type="dxa"/>
            <w:noWrap/>
            <w:hideMark/>
          </w:tcPr>
          <w:p w14:paraId="4327653E" w14:textId="77777777" w:rsidR="000B6662" w:rsidRPr="000B6662" w:rsidRDefault="000B6662" w:rsidP="000B6662">
            <w:pPr>
              <w:spacing w:line="240" w:lineRule="auto"/>
              <w:rPr>
                <w:sz w:val="22"/>
                <w:szCs w:val="22"/>
              </w:rPr>
            </w:pPr>
            <w:r w:rsidRPr="000B6662">
              <w:rPr>
                <w:sz w:val="22"/>
                <w:szCs w:val="22"/>
              </w:rPr>
              <w:t>54</w:t>
            </w:r>
          </w:p>
        </w:tc>
        <w:tc>
          <w:tcPr>
            <w:tcW w:w="986" w:type="dxa"/>
            <w:noWrap/>
            <w:hideMark/>
          </w:tcPr>
          <w:p w14:paraId="5963D463" w14:textId="77777777" w:rsidR="000B6662" w:rsidRPr="000B6662" w:rsidRDefault="000B6662" w:rsidP="000B6662">
            <w:pPr>
              <w:spacing w:line="240" w:lineRule="auto"/>
              <w:rPr>
                <w:sz w:val="22"/>
                <w:szCs w:val="22"/>
              </w:rPr>
            </w:pPr>
            <w:r w:rsidRPr="000B6662">
              <w:rPr>
                <w:sz w:val="22"/>
                <w:szCs w:val="22"/>
              </w:rPr>
              <w:t>46</w:t>
            </w:r>
          </w:p>
        </w:tc>
        <w:tc>
          <w:tcPr>
            <w:tcW w:w="1066" w:type="dxa"/>
            <w:noWrap/>
            <w:hideMark/>
          </w:tcPr>
          <w:p w14:paraId="65D7C423" w14:textId="77777777" w:rsidR="000B6662" w:rsidRPr="000B6662" w:rsidRDefault="000B6662" w:rsidP="000B6662">
            <w:pPr>
              <w:spacing w:line="240" w:lineRule="auto"/>
              <w:rPr>
                <w:sz w:val="22"/>
                <w:szCs w:val="22"/>
              </w:rPr>
            </w:pPr>
            <w:r w:rsidRPr="000B6662">
              <w:rPr>
                <w:sz w:val="22"/>
                <w:szCs w:val="22"/>
              </w:rPr>
              <w:t>92</w:t>
            </w:r>
          </w:p>
        </w:tc>
        <w:tc>
          <w:tcPr>
            <w:tcW w:w="1634" w:type="dxa"/>
            <w:noWrap/>
            <w:hideMark/>
          </w:tcPr>
          <w:p w14:paraId="218C5B51" w14:textId="77777777" w:rsidR="000B6662" w:rsidRPr="000B6662" w:rsidRDefault="000B6662" w:rsidP="000B6662">
            <w:pPr>
              <w:spacing w:line="240" w:lineRule="auto"/>
              <w:rPr>
                <w:sz w:val="22"/>
                <w:szCs w:val="22"/>
              </w:rPr>
            </w:pPr>
            <w:r w:rsidRPr="000B6662">
              <w:rPr>
                <w:sz w:val="22"/>
                <w:szCs w:val="22"/>
              </w:rPr>
              <w:t>138</w:t>
            </w:r>
          </w:p>
        </w:tc>
      </w:tr>
      <w:tr w:rsidR="000B6662" w:rsidRPr="000B6662" w14:paraId="31CAF5FA" w14:textId="77777777" w:rsidTr="000B6662">
        <w:trPr>
          <w:divId w:val="424883975"/>
          <w:trHeight w:val="375"/>
        </w:trPr>
        <w:tc>
          <w:tcPr>
            <w:tcW w:w="846" w:type="dxa"/>
            <w:noWrap/>
            <w:hideMark/>
          </w:tcPr>
          <w:p w14:paraId="01A2FAD5" w14:textId="77777777" w:rsidR="000B6662" w:rsidRPr="000B6662" w:rsidRDefault="000B6662" w:rsidP="000B6662">
            <w:pPr>
              <w:spacing w:line="240" w:lineRule="auto"/>
              <w:rPr>
                <w:sz w:val="22"/>
                <w:szCs w:val="22"/>
              </w:rPr>
            </w:pPr>
            <w:r w:rsidRPr="000B6662">
              <w:rPr>
                <w:sz w:val="22"/>
                <w:szCs w:val="22"/>
              </w:rPr>
              <w:t>2013</w:t>
            </w:r>
          </w:p>
        </w:tc>
        <w:tc>
          <w:tcPr>
            <w:tcW w:w="1422" w:type="dxa"/>
            <w:noWrap/>
            <w:hideMark/>
          </w:tcPr>
          <w:p w14:paraId="647D6251" w14:textId="77777777" w:rsidR="000B6662" w:rsidRPr="000B6662" w:rsidRDefault="000B6662" w:rsidP="000B6662">
            <w:pPr>
              <w:spacing w:line="240" w:lineRule="auto"/>
              <w:rPr>
                <w:sz w:val="22"/>
                <w:szCs w:val="22"/>
              </w:rPr>
            </w:pPr>
            <w:r w:rsidRPr="000B6662">
              <w:rPr>
                <w:sz w:val="22"/>
                <w:szCs w:val="22"/>
              </w:rPr>
              <w:t>No</w:t>
            </w:r>
          </w:p>
        </w:tc>
        <w:tc>
          <w:tcPr>
            <w:tcW w:w="856" w:type="dxa"/>
            <w:noWrap/>
            <w:hideMark/>
          </w:tcPr>
          <w:p w14:paraId="3931AC52" w14:textId="77777777" w:rsidR="000B6662" w:rsidRPr="000B6662" w:rsidRDefault="000B6662" w:rsidP="000B6662">
            <w:pPr>
              <w:spacing w:line="240" w:lineRule="auto"/>
              <w:rPr>
                <w:sz w:val="22"/>
                <w:szCs w:val="22"/>
              </w:rPr>
            </w:pPr>
            <w:r w:rsidRPr="000B6662">
              <w:rPr>
                <w:sz w:val="22"/>
                <w:szCs w:val="22"/>
              </w:rPr>
              <w:t>37</w:t>
            </w:r>
          </w:p>
        </w:tc>
        <w:tc>
          <w:tcPr>
            <w:tcW w:w="1123" w:type="dxa"/>
            <w:noWrap/>
            <w:hideMark/>
          </w:tcPr>
          <w:p w14:paraId="41ACA480" w14:textId="77777777" w:rsidR="000B6662" w:rsidRPr="000B6662" w:rsidRDefault="000B6662" w:rsidP="000B6662">
            <w:pPr>
              <w:spacing w:line="240" w:lineRule="auto"/>
              <w:rPr>
                <w:sz w:val="22"/>
                <w:szCs w:val="22"/>
              </w:rPr>
            </w:pPr>
            <w:r w:rsidRPr="000B6662">
              <w:rPr>
                <w:sz w:val="22"/>
                <w:szCs w:val="22"/>
              </w:rPr>
              <w:t>77</w:t>
            </w:r>
          </w:p>
        </w:tc>
        <w:tc>
          <w:tcPr>
            <w:tcW w:w="1281" w:type="dxa"/>
            <w:noWrap/>
            <w:hideMark/>
          </w:tcPr>
          <w:p w14:paraId="172F8CC2" w14:textId="77777777" w:rsidR="000B6662" w:rsidRPr="000B6662" w:rsidRDefault="000B6662" w:rsidP="000B6662">
            <w:pPr>
              <w:spacing w:line="240" w:lineRule="auto"/>
              <w:rPr>
                <w:sz w:val="22"/>
                <w:szCs w:val="22"/>
              </w:rPr>
            </w:pPr>
            <w:r w:rsidRPr="000B6662">
              <w:rPr>
                <w:sz w:val="22"/>
                <w:szCs w:val="22"/>
              </w:rPr>
              <w:t>23</w:t>
            </w:r>
          </w:p>
        </w:tc>
        <w:tc>
          <w:tcPr>
            <w:tcW w:w="986" w:type="dxa"/>
            <w:noWrap/>
            <w:hideMark/>
          </w:tcPr>
          <w:p w14:paraId="1637A22E" w14:textId="77777777" w:rsidR="000B6662" w:rsidRPr="000B6662" w:rsidRDefault="000B6662" w:rsidP="000B6662">
            <w:pPr>
              <w:spacing w:line="240" w:lineRule="auto"/>
              <w:rPr>
                <w:sz w:val="22"/>
                <w:szCs w:val="22"/>
              </w:rPr>
            </w:pPr>
            <w:r w:rsidRPr="000B6662">
              <w:rPr>
                <w:sz w:val="22"/>
                <w:szCs w:val="22"/>
              </w:rPr>
              <w:t>0</w:t>
            </w:r>
          </w:p>
        </w:tc>
        <w:tc>
          <w:tcPr>
            <w:tcW w:w="1066" w:type="dxa"/>
            <w:noWrap/>
            <w:hideMark/>
          </w:tcPr>
          <w:p w14:paraId="6F557EEC" w14:textId="77777777" w:rsidR="000B6662" w:rsidRPr="000B6662" w:rsidRDefault="000B6662" w:rsidP="000B6662">
            <w:pPr>
              <w:spacing w:line="240" w:lineRule="auto"/>
              <w:rPr>
                <w:sz w:val="22"/>
                <w:szCs w:val="22"/>
              </w:rPr>
            </w:pPr>
            <w:r w:rsidRPr="000B6662">
              <w:rPr>
                <w:sz w:val="22"/>
                <w:szCs w:val="22"/>
              </w:rPr>
              <w:t>0</w:t>
            </w:r>
          </w:p>
        </w:tc>
        <w:tc>
          <w:tcPr>
            <w:tcW w:w="1634" w:type="dxa"/>
            <w:noWrap/>
            <w:hideMark/>
          </w:tcPr>
          <w:p w14:paraId="3DF31720" w14:textId="77777777" w:rsidR="000B6662" w:rsidRPr="000B6662" w:rsidRDefault="000B6662" w:rsidP="000B6662">
            <w:pPr>
              <w:spacing w:line="240" w:lineRule="auto"/>
              <w:rPr>
                <w:sz w:val="22"/>
                <w:szCs w:val="22"/>
              </w:rPr>
            </w:pPr>
            <w:r w:rsidRPr="000B6662">
              <w:rPr>
                <w:sz w:val="22"/>
                <w:szCs w:val="22"/>
              </w:rPr>
              <w:t>0</w:t>
            </w:r>
          </w:p>
        </w:tc>
      </w:tr>
      <w:tr w:rsidR="000B6662" w:rsidRPr="000B6662" w14:paraId="35F3CE1E" w14:textId="77777777" w:rsidTr="000B6662">
        <w:trPr>
          <w:divId w:val="424883975"/>
          <w:trHeight w:val="420"/>
        </w:trPr>
        <w:tc>
          <w:tcPr>
            <w:tcW w:w="846" w:type="dxa"/>
            <w:noWrap/>
            <w:hideMark/>
          </w:tcPr>
          <w:p w14:paraId="524B3902" w14:textId="77777777" w:rsidR="000B6662" w:rsidRPr="000B6662" w:rsidRDefault="000B6662" w:rsidP="000B6662">
            <w:pPr>
              <w:spacing w:line="240" w:lineRule="auto"/>
              <w:rPr>
                <w:sz w:val="22"/>
                <w:szCs w:val="22"/>
              </w:rPr>
            </w:pPr>
            <w:r w:rsidRPr="000B6662">
              <w:rPr>
                <w:sz w:val="22"/>
                <w:szCs w:val="22"/>
              </w:rPr>
              <w:t>2014</w:t>
            </w:r>
          </w:p>
        </w:tc>
        <w:tc>
          <w:tcPr>
            <w:tcW w:w="1422" w:type="dxa"/>
            <w:noWrap/>
            <w:hideMark/>
          </w:tcPr>
          <w:p w14:paraId="2AD6DC9E" w14:textId="77777777" w:rsidR="000B6662" w:rsidRPr="000B6662" w:rsidRDefault="000B6662" w:rsidP="000B6662">
            <w:pPr>
              <w:spacing w:line="240" w:lineRule="auto"/>
              <w:rPr>
                <w:sz w:val="22"/>
                <w:szCs w:val="22"/>
              </w:rPr>
            </w:pPr>
            <w:r w:rsidRPr="000B6662">
              <w:rPr>
                <w:sz w:val="22"/>
                <w:szCs w:val="22"/>
              </w:rPr>
              <w:t>Yes</w:t>
            </w:r>
          </w:p>
        </w:tc>
        <w:tc>
          <w:tcPr>
            <w:tcW w:w="856" w:type="dxa"/>
            <w:noWrap/>
            <w:hideMark/>
          </w:tcPr>
          <w:p w14:paraId="0FDA598A" w14:textId="77777777" w:rsidR="000B6662" w:rsidRPr="000B6662" w:rsidRDefault="000B6662" w:rsidP="000B6662">
            <w:pPr>
              <w:spacing w:line="240" w:lineRule="auto"/>
              <w:rPr>
                <w:sz w:val="22"/>
                <w:szCs w:val="22"/>
              </w:rPr>
            </w:pPr>
            <w:r w:rsidRPr="000B6662">
              <w:rPr>
                <w:sz w:val="22"/>
                <w:szCs w:val="22"/>
              </w:rPr>
              <w:t>85</w:t>
            </w:r>
          </w:p>
        </w:tc>
        <w:tc>
          <w:tcPr>
            <w:tcW w:w="1123" w:type="dxa"/>
            <w:noWrap/>
            <w:hideMark/>
          </w:tcPr>
          <w:p w14:paraId="46A9C931" w14:textId="77777777" w:rsidR="000B6662" w:rsidRPr="000B6662" w:rsidRDefault="000B6662" w:rsidP="000B6662">
            <w:pPr>
              <w:spacing w:line="240" w:lineRule="auto"/>
              <w:rPr>
                <w:sz w:val="22"/>
                <w:szCs w:val="22"/>
              </w:rPr>
            </w:pPr>
            <w:r w:rsidRPr="000B6662">
              <w:rPr>
                <w:sz w:val="22"/>
                <w:szCs w:val="22"/>
              </w:rPr>
              <w:t>166</w:t>
            </w:r>
          </w:p>
        </w:tc>
        <w:tc>
          <w:tcPr>
            <w:tcW w:w="1281" w:type="dxa"/>
            <w:noWrap/>
            <w:hideMark/>
          </w:tcPr>
          <w:p w14:paraId="7A983045" w14:textId="77777777" w:rsidR="000B6662" w:rsidRPr="000B6662" w:rsidRDefault="000B6662" w:rsidP="000B6662">
            <w:pPr>
              <w:spacing w:line="240" w:lineRule="auto"/>
              <w:rPr>
                <w:sz w:val="22"/>
                <w:szCs w:val="22"/>
              </w:rPr>
            </w:pPr>
            <w:r w:rsidRPr="000B6662">
              <w:rPr>
                <w:sz w:val="22"/>
                <w:szCs w:val="22"/>
              </w:rPr>
              <w:t>29</w:t>
            </w:r>
          </w:p>
        </w:tc>
        <w:tc>
          <w:tcPr>
            <w:tcW w:w="986" w:type="dxa"/>
            <w:noWrap/>
            <w:hideMark/>
          </w:tcPr>
          <w:p w14:paraId="3B80AE3E" w14:textId="77777777" w:rsidR="000B6662" w:rsidRPr="000B6662" w:rsidRDefault="000B6662" w:rsidP="000B6662">
            <w:pPr>
              <w:spacing w:line="240" w:lineRule="auto"/>
              <w:rPr>
                <w:sz w:val="22"/>
                <w:szCs w:val="22"/>
              </w:rPr>
            </w:pPr>
            <w:r w:rsidRPr="000B6662">
              <w:rPr>
                <w:sz w:val="22"/>
                <w:szCs w:val="22"/>
              </w:rPr>
              <w:t>48</w:t>
            </w:r>
          </w:p>
        </w:tc>
        <w:tc>
          <w:tcPr>
            <w:tcW w:w="1066" w:type="dxa"/>
            <w:noWrap/>
            <w:hideMark/>
          </w:tcPr>
          <w:p w14:paraId="52A95F02" w14:textId="77777777" w:rsidR="000B6662" w:rsidRPr="000B6662" w:rsidRDefault="000B6662" w:rsidP="000B6662">
            <w:pPr>
              <w:spacing w:line="240" w:lineRule="auto"/>
              <w:rPr>
                <w:sz w:val="22"/>
                <w:szCs w:val="22"/>
              </w:rPr>
            </w:pPr>
            <w:r w:rsidRPr="000B6662">
              <w:rPr>
                <w:sz w:val="22"/>
                <w:szCs w:val="22"/>
              </w:rPr>
              <w:t>61</w:t>
            </w:r>
          </w:p>
        </w:tc>
        <w:tc>
          <w:tcPr>
            <w:tcW w:w="1634" w:type="dxa"/>
            <w:noWrap/>
            <w:hideMark/>
          </w:tcPr>
          <w:p w14:paraId="46AEAB70" w14:textId="77777777" w:rsidR="000B6662" w:rsidRPr="000B6662" w:rsidRDefault="000B6662" w:rsidP="000B6662">
            <w:pPr>
              <w:spacing w:line="240" w:lineRule="auto"/>
              <w:rPr>
                <w:sz w:val="22"/>
                <w:szCs w:val="22"/>
              </w:rPr>
            </w:pPr>
            <w:r w:rsidRPr="000B6662">
              <w:rPr>
                <w:sz w:val="22"/>
                <w:szCs w:val="22"/>
              </w:rPr>
              <w:t>109</w:t>
            </w:r>
          </w:p>
        </w:tc>
      </w:tr>
      <w:tr w:rsidR="000B6662" w:rsidRPr="000B6662" w14:paraId="4E572B76" w14:textId="77777777" w:rsidTr="000B6662">
        <w:trPr>
          <w:divId w:val="424883975"/>
          <w:trHeight w:val="420"/>
        </w:trPr>
        <w:tc>
          <w:tcPr>
            <w:tcW w:w="846" w:type="dxa"/>
            <w:noWrap/>
            <w:hideMark/>
          </w:tcPr>
          <w:p w14:paraId="653713FC" w14:textId="77777777" w:rsidR="000B6662" w:rsidRPr="000B6662" w:rsidRDefault="000B6662" w:rsidP="000B6662">
            <w:pPr>
              <w:spacing w:line="240" w:lineRule="auto"/>
              <w:rPr>
                <w:sz w:val="22"/>
                <w:szCs w:val="22"/>
              </w:rPr>
            </w:pPr>
            <w:r w:rsidRPr="000B6662">
              <w:rPr>
                <w:sz w:val="22"/>
                <w:szCs w:val="22"/>
              </w:rPr>
              <w:t>2014</w:t>
            </w:r>
          </w:p>
        </w:tc>
        <w:tc>
          <w:tcPr>
            <w:tcW w:w="1422" w:type="dxa"/>
            <w:noWrap/>
            <w:hideMark/>
          </w:tcPr>
          <w:p w14:paraId="0D06A881" w14:textId="77777777" w:rsidR="000B6662" w:rsidRPr="000B6662" w:rsidRDefault="000B6662" w:rsidP="000B6662">
            <w:pPr>
              <w:spacing w:line="240" w:lineRule="auto"/>
              <w:rPr>
                <w:sz w:val="22"/>
                <w:szCs w:val="22"/>
              </w:rPr>
            </w:pPr>
            <w:r w:rsidRPr="000B6662">
              <w:rPr>
                <w:sz w:val="22"/>
                <w:szCs w:val="22"/>
              </w:rPr>
              <w:t>No</w:t>
            </w:r>
          </w:p>
        </w:tc>
        <w:tc>
          <w:tcPr>
            <w:tcW w:w="856" w:type="dxa"/>
            <w:noWrap/>
            <w:hideMark/>
          </w:tcPr>
          <w:p w14:paraId="537B1D4D" w14:textId="77777777" w:rsidR="000B6662" w:rsidRPr="000B6662" w:rsidRDefault="000B6662" w:rsidP="000B6662">
            <w:pPr>
              <w:spacing w:line="240" w:lineRule="auto"/>
              <w:rPr>
                <w:sz w:val="22"/>
                <w:szCs w:val="22"/>
              </w:rPr>
            </w:pPr>
            <w:r w:rsidRPr="000B6662">
              <w:rPr>
                <w:sz w:val="22"/>
                <w:szCs w:val="22"/>
              </w:rPr>
              <w:t>28</w:t>
            </w:r>
          </w:p>
        </w:tc>
        <w:tc>
          <w:tcPr>
            <w:tcW w:w="1123" w:type="dxa"/>
            <w:noWrap/>
            <w:hideMark/>
          </w:tcPr>
          <w:p w14:paraId="351FF4E8" w14:textId="77777777" w:rsidR="000B6662" w:rsidRPr="000B6662" w:rsidRDefault="000B6662" w:rsidP="000B6662">
            <w:pPr>
              <w:spacing w:line="240" w:lineRule="auto"/>
              <w:rPr>
                <w:sz w:val="22"/>
                <w:szCs w:val="22"/>
              </w:rPr>
            </w:pPr>
            <w:r w:rsidRPr="000B6662">
              <w:rPr>
                <w:sz w:val="22"/>
                <w:szCs w:val="22"/>
              </w:rPr>
              <w:t>54</w:t>
            </w:r>
          </w:p>
        </w:tc>
        <w:tc>
          <w:tcPr>
            <w:tcW w:w="1281" w:type="dxa"/>
            <w:noWrap/>
            <w:hideMark/>
          </w:tcPr>
          <w:p w14:paraId="26032B45" w14:textId="77777777" w:rsidR="000B6662" w:rsidRPr="000B6662" w:rsidRDefault="000B6662" w:rsidP="000B6662">
            <w:pPr>
              <w:spacing w:line="240" w:lineRule="auto"/>
              <w:rPr>
                <w:sz w:val="22"/>
                <w:szCs w:val="22"/>
              </w:rPr>
            </w:pPr>
            <w:r w:rsidRPr="000B6662">
              <w:rPr>
                <w:sz w:val="22"/>
                <w:szCs w:val="22"/>
              </w:rPr>
              <w:t>9</w:t>
            </w:r>
          </w:p>
        </w:tc>
        <w:tc>
          <w:tcPr>
            <w:tcW w:w="986" w:type="dxa"/>
            <w:noWrap/>
            <w:hideMark/>
          </w:tcPr>
          <w:p w14:paraId="629FB860" w14:textId="77777777" w:rsidR="000B6662" w:rsidRPr="000B6662" w:rsidRDefault="000B6662" w:rsidP="000B6662">
            <w:pPr>
              <w:spacing w:line="240" w:lineRule="auto"/>
              <w:rPr>
                <w:sz w:val="22"/>
                <w:szCs w:val="22"/>
              </w:rPr>
            </w:pPr>
            <w:r w:rsidRPr="000B6662">
              <w:rPr>
                <w:sz w:val="22"/>
                <w:szCs w:val="22"/>
              </w:rPr>
              <w:t>0</w:t>
            </w:r>
          </w:p>
        </w:tc>
        <w:tc>
          <w:tcPr>
            <w:tcW w:w="1066" w:type="dxa"/>
            <w:noWrap/>
            <w:hideMark/>
          </w:tcPr>
          <w:p w14:paraId="24713190" w14:textId="77777777" w:rsidR="000B6662" w:rsidRPr="000B6662" w:rsidRDefault="000B6662" w:rsidP="000B6662">
            <w:pPr>
              <w:spacing w:line="240" w:lineRule="auto"/>
              <w:rPr>
                <w:sz w:val="22"/>
                <w:szCs w:val="22"/>
              </w:rPr>
            </w:pPr>
            <w:r w:rsidRPr="000B6662">
              <w:rPr>
                <w:sz w:val="22"/>
                <w:szCs w:val="22"/>
              </w:rPr>
              <w:t>0</w:t>
            </w:r>
          </w:p>
        </w:tc>
        <w:tc>
          <w:tcPr>
            <w:tcW w:w="1634" w:type="dxa"/>
            <w:noWrap/>
            <w:hideMark/>
          </w:tcPr>
          <w:p w14:paraId="2587305D" w14:textId="77777777" w:rsidR="000B6662" w:rsidRPr="000B6662" w:rsidRDefault="000B6662" w:rsidP="000B6662">
            <w:pPr>
              <w:spacing w:line="240" w:lineRule="auto"/>
              <w:rPr>
                <w:sz w:val="22"/>
                <w:szCs w:val="22"/>
              </w:rPr>
            </w:pPr>
            <w:r w:rsidRPr="000B6662">
              <w:rPr>
                <w:sz w:val="22"/>
                <w:szCs w:val="22"/>
              </w:rPr>
              <w:t>0</w:t>
            </w:r>
          </w:p>
        </w:tc>
      </w:tr>
      <w:tr w:rsidR="000B6662" w:rsidRPr="000B6662" w14:paraId="67710472" w14:textId="77777777" w:rsidTr="000B6662">
        <w:trPr>
          <w:divId w:val="424883975"/>
          <w:trHeight w:val="420"/>
        </w:trPr>
        <w:tc>
          <w:tcPr>
            <w:tcW w:w="846" w:type="dxa"/>
            <w:noWrap/>
            <w:hideMark/>
          </w:tcPr>
          <w:p w14:paraId="012B393E" w14:textId="77777777" w:rsidR="000B6662" w:rsidRPr="000B6662" w:rsidRDefault="000B6662" w:rsidP="000B6662">
            <w:pPr>
              <w:spacing w:line="240" w:lineRule="auto"/>
              <w:rPr>
                <w:sz w:val="22"/>
                <w:szCs w:val="22"/>
              </w:rPr>
            </w:pPr>
            <w:r w:rsidRPr="000B6662">
              <w:rPr>
                <w:sz w:val="22"/>
                <w:szCs w:val="22"/>
              </w:rPr>
              <w:t>2015</w:t>
            </w:r>
          </w:p>
        </w:tc>
        <w:tc>
          <w:tcPr>
            <w:tcW w:w="1422" w:type="dxa"/>
            <w:noWrap/>
            <w:hideMark/>
          </w:tcPr>
          <w:p w14:paraId="723FBE29" w14:textId="77777777" w:rsidR="000B6662" w:rsidRPr="000B6662" w:rsidRDefault="000B6662" w:rsidP="000B6662">
            <w:pPr>
              <w:spacing w:line="240" w:lineRule="auto"/>
              <w:rPr>
                <w:sz w:val="22"/>
                <w:szCs w:val="22"/>
              </w:rPr>
            </w:pPr>
            <w:r w:rsidRPr="000B6662">
              <w:rPr>
                <w:sz w:val="22"/>
                <w:szCs w:val="22"/>
              </w:rPr>
              <w:t>Yes</w:t>
            </w:r>
          </w:p>
        </w:tc>
        <w:tc>
          <w:tcPr>
            <w:tcW w:w="856" w:type="dxa"/>
            <w:noWrap/>
            <w:hideMark/>
          </w:tcPr>
          <w:p w14:paraId="126F2568" w14:textId="77777777" w:rsidR="000B6662" w:rsidRPr="000B6662" w:rsidRDefault="000B6662" w:rsidP="000B6662">
            <w:pPr>
              <w:spacing w:line="240" w:lineRule="auto"/>
              <w:rPr>
                <w:sz w:val="22"/>
                <w:szCs w:val="22"/>
              </w:rPr>
            </w:pPr>
            <w:r w:rsidRPr="000B6662">
              <w:rPr>
                <w:sz w:val="22"/>
                <w:szCs w:val="22"/>
              </w:rPr>
              <w:t>88</w:t>
            </w:r>
          </w:p>
        </w:tc>
        <w:tc>
          <w:tcPr>
            <w:tcW w:w="1123" w:type="dxa"/>
            <w:noWrap/>
            <w:hideMark/>
          </w:tcPr>
          <w:p w14:paraId="4CFAC532" w14:textId="77777777" w:rsidR="000B6662" w:rsidRPr="000B6662" w:rsidRDefault="000B6662" w:rsidP="000B6662">
            <w:pPr>
              <w:spacing w:line="240" w:lineRule="auto"/>
              <w:rPr>
                <w:sz w:val="22"/>
                <w:szCs w:val="22"/>
              </w:rPr>
            </w:pPr>
            <w:r w:rsidRPr="000B6662">
              <w:rPr>
                <w:sz w:val="22"/>
                <w:szCs w:val="22"/>
              </w:rPr>
              <w:t>159</w:t>
            </w:r>
          </w:p>
        </w:tc>
        <w:tc>
          <w:tcPr>
            <w:tcW w:w="1281" w:type="dxa"/>
            <w:noWrap/>
            <w:hideMark/>
          </w:tcPr>
          <w:p w14:paraId="4B6BF4C4" w14:textId="77777777" w:rsidR="000B6662" w:rsidRPr="000B6662" w:rsidRDefault="000B6662" w:rsidP="000B6662">
            <w:pPr>
              <w:spacing w:line="240" w:lineRule="auto"/>
              <w:rPr>
                <w:sz w:val="22"/>
                <w:szCs w:val="22"/>
              </w:rPr>
            </w:pPr>
            <w:r w:rsidRPr="000B6662">
              <w:rPr>
                <w:sz w:val="22"/>
                <w:szCs w:val="22"/>
              </w:rPr>
              <w:t>12</w:t>
            </w:r>
          </w:p>
        </w:tc>
        <w:tc>
          <w:tcPr>
            <w:tcW w:w="986" w:type="dxa"/>
            <w:noWrap/>
            <w:hideMark/>
          </w:tcPr>
          <w:p w14:paraId="0799E8BC" w14:textId="77777777" w:rsidR="000B6662" w:rsidRPr="000B6662" w:rsidRDefault="000B6662" w:rsidP="000B6662">
            <w:pPr>
              <w:spacing w:line="240" w:lineRule="auto"/>
              <w:rPr>
                <w:sz w:val="22"/>
                <w:szCs w:val="22"/>
              </w:rPr>
            </w:pPr>
            <w:r w:rsidRPr="000B6662">
              <w:rPr>
                <w:sz w:val="22"/>
                <w:szCs w:val="22"/>
              </w:rPr>
              <w:t>46</w:t>
            </w:r>
          </w:p>
        </w:tc>
        <w:tc>
          <w:tcPr>
            <w:tcW w:w="1066" w:type="dxa"/>
            <w:noWrap/>
            <w:hideMark/>
          </w:tcPr>
          <w:p w14:paraId="36822C7E" w14:textId="77777777" w:rsidR="000B6662" w:rsidRPr="000B6662" w:rsidRDefault="000B6662" w:rsidP="000B6662">
            <w:pPr>
              <w:spacing w:line="240" w:lineRule="auto"/>
              <w:rPr>
                <w:sz w:val="22"/>
                <w:szCs w:val="22"/>
              </w:rPr>
            </w:pPr>
            <w:r w:rsidRPr="000B6662">
              <w:rPr>
                <w:sz w:val="22"/>
                <w:szCs w:val="22"/>
              </w:rPr>
              <w:t>65</w:t>
            </w:r>
          </w:p>
        </w:tc>
        <w:tc>
          <w:tcPr>
            <w:tcW w:w="1634" w:type="dxa"/>
            <w:noWrap/>
            <w:hideMark/>
          </w:tcPr>
          <w:p w14:paraId="3AF1C074" w14:textId="77777777" w:rsidR="000B6662" w:rsidRPr="000B6662" w:rsidRDefault="000B6662" w:rsidP="000B6662">
            <w:pPr>
              <w:spacing w:line="240" w:lineRule="auto"/>
              <w:rPr>
                <w:sz w:val="22"/>
                <w:szCs w:val="22"/>
              </w:rPr>
            </w:pPr>
            <w:r w:rsidRPr="000B6662">
              <w:rPr>
                <w:sz w:val="22"/>
                <w:szCs w:val="22"/>
              </w:rPr>
              <w:t>111</w:t>
            </w:r>
          </w:p>
        </w:tc>
      </w:tr>
      <w:tr w:rsidR="000B6662" w:rsidRPr="000B6662" w14:paraId="34B0E25C" w14:textId="77777777" w:rsidTr="000B6662">
        <w:trPr>
          <w:divId w:val="424883975"/>
          <w:trHeight w:val="420"/>
        </w:trPr>
        <w:tc>
          <w:tcPr>
            <w:tcW w:w="846" w:type="dxa"/>
            <w:noWrap/>
            <w:hideMark/>
          </w:tcPr>
          <w:p w14:paraId="75C46F3D" w14:textId="77777777" w:rsidR="000B6662" w:rsidRPr="000B6662" w:rsidRDefault="000B6662" w:rsidP="000B6662">
            <w:pPr>
              <w:spacing w:line="240" w:lineRule="auto"/>
              <w:rPr>
                <w:sz w:val="22"/>
                <w:szCs w:val="22"/>
              </w:rPr>
            </w:pPr>
            <w:r w:rsidRPr="000B6662">
              <w:rPr>
                <w:sz w:val="22"/>
                <w:szCs w:val="22"/>
              </w:rPr>
              <w:t>2015</w:t>
            </w:r>
          </w:p>
        </w:tc>
        <w:tc>
          <w:tcPr>
            <w:tcW w:w="1422" w:type="dxa"/>
            <w:noWrap/>
            <w:hideMark/>
          </w:tcPr>
          <w:p w14:paraId="0BEC7199" w14:textId="77777777" w:rsidR="000B6662" w:rsidRPr="000B6662" w:rsidRDefault="000B6662" w:rsidP="000B6662">
            <w:pPr>
              <w:spacing w:line="240" w:lineRule="auto"/>
              <w:rPr>
                <w:sz w:val="22"/>
                <w:szCs w:val="22"/>
              </w:rPr>
            </w:pPr>
            <w:r w:rsidRPr="000B6662">
              <w:rPr>
                <w:sz w:val="22"/>
                <w:szCs w:val="22"/>
              </w:rPr>
              <w:t>No</w:t>
            </w:r>
          </w:p>
        </w:tc>
        <w:tc>
          <w:tcPr>
            <w:tcW w:w="856" w:type="dxa"/>
            <w:noWrap/>
            <w:hideMark/>
          </w:tcPr>
          <w:p w14:paraId="08CEA692" w14:textId="77777777" w:rsidR="000B6662" w:rsidRPr="000B6662" w:rsidRDefault="000B6662" w:rsidP="000B6662">
            <w:pPr>
              <w:spacing w:line="240" w:lineRule="auto"/>
              <w:rPr>
                <w:sz w:val="22"/>
                <w:szCs w:val="22"/>
              </w:rPr>
            </w:pPr>
            <w:r w:rsidRPr="000B6662">
              <w:rPr>
                <w:sz w:val="22"/>
                <w:szCs w:val="22"/>
              </w:rPr>
              <w:t>35</w:t>
            </w:r>
          </w:p>
        </w:tc>
        <w:tc>
          <w:tcPr>
            <w:tcW w:w="1123" w:type="dxa"/>
            <w:noWrap/>
            <w:hideMark/>
          </w:tcPr>
          <w:p w14:paraId="7AD8D40D" w14:textId="77777777" w:rsidR="000B6662" w:rsidRPr="000B6662" w:rsidRDefault="000B6662" w:rsidP="000B6662">
            <w:pPr>
              <w:spacing w:line="240" w:lineRule="auto"/>
              <w:rPr>
                <w:sz w:val="22"/>
                <w:szCs w:val="22"/>
              </w:rPr>
            </w:pPr>
            <w:r w:rsidRPr="000B6662">
              <w:rPr>
                <w:sz w:val="22"/>
                <w:szCs w:val="22"/>
              </w:rPr>
              <w:t>59</w:t>
            </w:r>
          </w:p>
        </w:tc>
        <w:tc>
          <w:tcPr>
            <w:tcW w:w="1281" w:type="dxa"/>
            <w:noWrap/>
            <w:hideMark/>
          </w:tcPr>
          <w:p w14:paraId="6B4BEC95" w14:textId="77777777" w:rsidR="000B6662" w:rsidRPr="000B6662" w:rsidRDefault="000B6662" w:rsidP="000B6662">
            <w:pPr>
              <w:spacing w:line="240" w:lineRule="auto"/>
              <w:rPr>
                <w:sz w:val="22"/>
                <w:szCs w:val="22"/>
              </w:rPr>
            </w:pPr>
            <w:r w:rsidRPr="000B6662">
              <w:rPr>
                <w:sz w:val="22"/>
                <w:szCs w:val="22"/>
              </w:rPr>
              <w:t>9</w:t>
            </w:r>
          </w:p>
        </w:tc>
        <w:tc>
          <w:tcPr>
            <w:tcW w:w="986" w:type="dxa"/>
            <w:noWrap/>
            <w:hideMark/>
          </w:tcPr>
          <w:p w14:paraId="5AC005B1" w14:textId="77777777" w:rsidR="000B6662" w:rsidRPr="000B6662" w:rsidRDefault="000B6662" w:rsidP="000B6662">
            <w:pPr>
              <w:spacing w:line="240" w:lineRule="auto"/>
              <w:rPr>
                <w:sz w:val="22"/>
                <w:szCs w:val="22"/>
              </w:rPr>
            </w:pPr>
            <w:r w:rsidRPr="000B6662">
              <w:rPr>
                <w:sz w:val="22"/>
                <w:szCs w:val="22"/>
              </w:rPr>
              <w:t>0</w:t>
            </w:r>
          </w:p>
        </w:tc>
        <w:tc>
          <w:tcPr>
            <w:tcW w:w="1066" w:type="dxa"/>
            <w:noWrap/>
            <w:hideMark/>
          </w:tcPr>
          <w:p w14:paraId="13A730FE" w14:textId="77777777" w:rsidR="000B6662" w:rsidRPr="000B6662" w:rsidRDefault="000B6662" w:rsidP="000B6662">
            <w:pPr>
              <w:spacing w:line="240" w:lineRule="auto"/>
              <w:rPr>
                <w:sz w:val="22"/>
                <w:szCs w:val="22"/>
              </w:rPr>
            </w:pPr>
            <w:r w:rsidRPr="000B6662">
              <w:rPr>
                <w:sz w:val="22"/>
                <w:szCs w:val="22"/>
              </w:rPr>
              <w:t>0</w:t>
            </w:r>
          </w:p>
        </w:tc>
        <w:tc>
          <w:tcPr>
            <w:tcW w:w="1634" w:type="dxa"/>
            <w:noWrap/>
            <w:hideMark/>
          </w:tcPr>
          <w:p w14:paraId="100F4403" w14:textId="77777777" w:rsidR="000B6662" w:rsidRPr="000B6662" w:rsidRDefault="000B6662" w:rsidP="000B6662">
            <w:pPr>
              <w:spacing w:line="240" w:lineRule="auto"/>
              <w:rPr>
                <w:sz w:val="22"/>
                <w:szCs w:val="22"/>
              </w:rPr>
            </w:pPr>
            <w:r w:rsidRPr="000B6662">
              <w:rPr>
                <w:sz w:val="22"/>
                <w:szCs w:val="22"/>
              </w:rPr>
              <w:t>0</w:t>
            </w:r>
          </w:p>
        </w:tc>
      </w:tr>
      <w:tr w:rsidR="000B6662" w:rsidRPr="000B6662" w14:paraId="230F3641" w14:textId="77777777" w:rsidTr="000B6662">
        <w:trPr>
          <w:divId w:val="424883975"/>
          <w:trHeight w:val="420"/>
        </w:trPr>
        <w:tc>
          <w:tcPr>
            <w:tcW w:w="846" w:type="dxa"/>
            <w:noWrap/>
            <w:hideMark/>
          </w:tcPr>
          <w:p w14:paraId="00E8B0E7" w14:textId="77777777" w:rsidR="000B6662" w:rsidRPr="000B6662" w:rsidRDefault="000B6662" w:rsidP="000B6662">
            <w:pPr>
              <w:spacing w:line="240" w:lineRule="auto"/>
              <w:rPr>
                <w:sz w:val="22"/>
                <w:szCs w:val="22"/>
              </w:rPr>
            </w:pPr>
            <w:r w:rsidRPr="000B6662">
              <w:rPr>
                <w:sz w:val="22"/>
                <w:szCs w:val="22"/>
              </w:rPr>
              <w:t>2016</w:t>
            </w:r>
          </w:p>
        </w:tc>
        <w:tc>
          <w:tcPr>
            <w:tcW w:w="1422" w:type="dxa"/>
            <w:noWrap/>
            <w:hideMark/>
          </w:tcPr>
          <w:p w14:paraId="79D73A59" w14:textId="77777777" w:rsidR="000B6662" w:rsidRPr="000B6662" w:rsidRDefault="000B6662" w:rsidP="000B6662">
            <w:pPr>
              <w:spacing w:line="240" w:lineRule="auto"/>
              <w:rPr>
                <w:sz w:val="22"/>
                <w:szCs w:val="22"/>
              </w:rPr>
            </w:pPr>
            <w:r w:rsidRPr="000B6662">
              <w:rPr>
                <w:sz w:val="22"/>
                <w:szCs w:val="22"/>
              </w:rPr>
              <w:t>Yes</w:t>
            </w:r>
          </w:p>
        </w:tc>
        <w:tc>
          <w:tcPr>
            <w:tcW w:w="856" w:type="dxa"/>
            <w:noWrap/>
            <w:hideMark/>
          </w:tcPr>
          <w:p w14:paraId="50E65D85" w14:textId="77777777" w:rsidR="000B6662" w:rsidRPr="000B6662" w:rsidRDefault="000B6662" w:rsidP="000B6662">
            <w:pPr>
              <w:spacing w:line="240" w:lineRule="auto"/>
              <w:rPr>
                <w:sz w:val="22"/>
                <w:szCs w:val="22"/>
              </w:rPr>
            </w:pPr>
            <w:r w:rsidRPr="000B6662">
              <w:rPr>
                <w:sz w:val="22"/>
                <w:szCs w:val="22"/>
              </w:rPr>
              <w:t>79</w:t>
            </w:r>
          </w:p>
        </w:tc>
        <w:tc>
          <w:tcPr>
            <w:tcW w:w="1123" w:type="dxa"/>
            <w:noWrap/>
            <w:hideMark/>
          </w:tcPr>
          <w:p w14:paraId="309E9FFE" w14:textId="77777777" w:rsidR="000B6662" w:rsidRPr="000B6662" w:rsidRDefault="000B6662" w:rsidP="000B6662">
            <w:pPr>
              <w:spacing w:line="240" w:lineRule="auto"/>
              <w:rPr>
                <w:sz w:val="22"/>
                <w:szCs w:val="22"/>
              </w:rPr>
            </w:pPr>
            <w:r w:rsidRPr="000B6662">
              <w:rPr>
                <w:sz w:val="22"/>
                <w:szCs w:val="22"/>
              </w:rPr>
              <w:t>211</w:t>
            </w:r>
          </w:p>
        </w:tc>
        <w:tc>
          <w:tcPr>
            <w:tcW w:w="1281" w:type="dxa"/>
            <w:noWrap/>
            <w:hideMark/>
          </w:tcPr>
          <w:p w14:paraId="506CA399" w14:textId="77777777" w:rsidR="000B6662" w:rsidRPr="000B6662" w:rsidRDefault="000B6662" w:rsidP="000B6662">
            <w:pPr>
              <w:spacing w:line="240" w:lineRule="auto"/>
              <w:rPr>
                <w:sz w:val="22"/>
                <w:szCs w:val="22"/>
              </w:rPr>
            </w:pPr>
            <w:r w:rsidRPr="000B6662">
              <w:rPr>
                <w:sz w:val="22"/>
                <w:szCs w:val="22"/>
              </w:rPr>
              <w:t>51</w:t>
            </w:r>
          </w:p>
        </w:tc>
        <w:tc>
          <w:tcPr>
            <w:tcW w:w="986" w:type="dxa"/>
            <w:noWrap/>
            <w:hideMark/>
          </w:tcPr>
          <w:p w14:paraId="72CCF3A1" w14:textId="77777777" w:rsidR="000B6662" w:rsidRPr="000B6662" w:rsidRDefault="000B6662" w:rsidP="000B6662">
            <w:pPr>
              <w:spacing w:line="240" w:lineRule="auto"/>
              <w:rPr>
                <w:sz w:val="22"/>
                <w:szCs w:val="22"/>
              </w:rPr>
            </w:pPr>
            <w:r w:rsidRPr="000B6662">
              <w:rPr>
                <w:sz w:val="22"/>
                <w:szCs w:val="22"/>
              </w:rPr>
              <w:t>51</w:t>
            </w:r>
          </w:p>
        </w:tc>
        <w:tc>
          <w:tcPr>
            <w:tcW w:w="1066" w:type="dxa"/>
            <w:noWrap/>
            <w:hideMark/>
          </w:tcPr>
          <w:p w14:paraId="3BAB5988" w14:textId="77777777" w:rsidR="000B6662" w:rsidRPr="000B6662" w:rsidRDefault="000B6662" w:rsidP="000B6662">
            <w:pPr>
              <w:spacing w:line="240" w:lineRule="auto"/>
              <w:rPr>
                <w:sz w:val="22"/>
                <w:szCs w:val="22"/>
              </w:rPr>
            </w:pPr>
            <w:r w:rsidRPr="000B6662">
              <w:rPr>
                <w:sz w:val="22"/>
                <w:szCs w:val="22"/>
              </w:rPr>
              <w:t>60</w:t>
            </w:r>
          </w:p>
        </w:tc>
        <w:tc>
          <w:tcPr>
            <w:tcW w:w="1634" w:type="dxa"/>
            <w:noWrap/>
            <w:hideMark/>
          </w:tcPr>
          <w:p w14:paraId="37967B91" w14:textId="77777777" w:rsidR="000B6662" w:rsidRPr="000B6662" w:rsidRDefault="000B6662" w:rsidP="000B6662">
            <w:pPr>
              <w:spacing w:line="240" w:lineRule="auto"/>
              <w:rPr>
                <w:sz w:val="22"/>
                <w:szCs w:val="22"/>
              </w:rPr>
            </w:pPr>
            <w:r w:rsidRPr="000B6662">
              <w:rPr>
                <w:sz w:val="22"/>
                <w:szCs w:val="22"/>
              </w:rPr>
              <w:t>111</w:t>
            </w:r>
          </w:p>
        </w:tc>
      </w:tr>
      <w:tr w:rsidR="000B6662" w:rsidRPr="000B6662" w14:paraId="7898730F" w14:textId="77777777" w:rsidTr="000B6662">
        <w:trPr>
          <w:divId w:val="424883975"/>
          <w:trHeight w:val="420"/>
        </w:trPr>
        <w:tc>
          <w:tcPr>
            <w:tcW w:w="846" w:type="dxa"/>
            <w:noWrap/>
            <w:hideMark/>
          </w:tcPr>
          <w:p w14:paraId="19A12785" w14:textId="77777777" w:rsidR="000B6662" w:rsidRPr="000B6662" w:rsidRDefault="000B6662" w:rsidP="000B6662">
            <w:pPr>
              <w:spacing w:line="240" w:lineRule="auto"/>
              <w:rPr>
                <w:sz w:val="22"/>
                <w:szCs w:val="22"/>
              </w:rPr>
            </w:pPr>
            <w:r w:rsidRPr="000B6662">
              <w:rPr>
                <w:sz w:val="22"/>
                <w:szCs w:val="22"/>
              </w:rPr>
              <w:t>2016</w:t>
            </w:r>
          </w:p>
        </w:tc>
        <w:tc>
          <w:tcPr>
            <w:tcW w:w="1422" w:type="dxa"/>
            <w:noWrap/>
            <w:hideMark/>
          </w:tcPr>
          <w:p w14:paraId="5675CCDE" w14:textId="77777777" w:rsidR="000B6662" w:rsidRPr="000B6662" w:rsidRDefault="000B6662" w:rsidP="000B6662">
            <w:pPr>
              <w:spacing w:line="240" w:lineRule="auto"/>
              <w:rPr>
                <w:sz w:val="22"/>
                <w:szCs w:val="22"/>
              </w:rPr>
            </w:pPr>
            <w:r w:rsidRPr="000B6662">
              <w:rPr>
                <w:sz w:val="22"/>
                <w:szCs w:val="22"/>
              </w:rPr>
              <w:t>No</w:t>
            </w:r>
          </w:p>
        </w:tc>
        <w:tc>
          <w:tcPr>
            <w:tcW w:w="856" w:type="dxa"/>
            <w:noWrap/>
            <w:hideMark/>
          </w:tcPr>
          <w:p w14:paraId="0041394B" w14:textId="77777777" w:rsidR="000B6662" w:rsidRPr="000B6662" w:rsidRDefault="000B6662" w:rsidP="000B6662">
            <w:pPr>
              <w:spacing w:line="240" w:lineRule="auto"/>
              <w:rPr>
                <w:sz w:val="22"/>
                <w:szCs w:val="22"/>
              </w:rPr>
            </w:pPr>
            <w:r w:rsidRPr="000B6662">
              <w:rPr>
                <w:sz w:val="22"/>
                <w:szCs w:val="22"/>
              </w:rPr>
              <w:t>20</w:t>
            </w:r>
          </w:p>
        </w:tc>
        <w:tc>
          <w:tcPr>
            <w:tcW w:w="1123" w:type="dxa"/>
            <w:noWrap/>
            <w:hideMark/>
          </w:tcPr>
          <w:p w14:paraId="613FA126" w14:textId="77777777" w:rsidR="000B6662" w:rsidRPr="000B6662" w:rsidRDefault="000B6662" w:rsidP="000B6662">
            <w:pPr>
              <w:spacing w:line="240" w:lineRule="auto"/>
              <w:rPr>
                <w:sz w:val="22"/>
                <w:szCs w:val="22"/>
              </w:rPr>
            </w:pPr>
            <w:r w:rsidRPr="000B6662">
              <w:rPr>
                <w:sz w:val="22"/>
                <w:szCs w:val="22"/>
              </w:rPr>
              <w:t>28</w:t>
            </w:r>
          </w:p>
        </w:tc>
        <w:tc>
          <w:tcPr>
            <w:tcW w:w="1281" w:type="dxa"/>
            <w:noWrap/>
            <w:hideMark/>
          </w:tcPr>
          <w:p w14:paraId="611623C4" w14:textId="77777777" w:rsidR="000B6662" w:rsidRPr="000B6662" w:rsidRDefault="000B6662" w:rsidP="000B6662">
            <w:pPr>
              <w:spacing w:line="240" w:lineRule="auto"/>
              <w:rPr>
                <w:sz w:val="22"/>
                <w:szCs w:val="22"/>
              </w:rPr>
            </w:pPr>
            <w:r w:rsidRPr="000B6662">
              <w:rPr>
                <w:sz w:val="22"/>
                <w:szCs w:val="22"/>
              </w:rPr>
              <w:t>0</w:t>
            </w:r>
          </w:p>
        </w:tc>
        <w:tc>
          <w:tcPr>
            <w:tcW w:w="986" w:type="dxa"/>
            <w:noWrap/>
            <w:hideMark/>
          </w:tcPr>
          <w:p w14:paraId="2967132F" w14:textId="77777777" w:rsidR="000B6662" w:rsidRPr="000B6662" w:rsidRDefault="000B6662" w:rsidP="000B6662">
            <w:pPr>
              <w:spacing w:line="240" w:lineRule="auto"/>
              <w:rPr>
                <w:sz w:val="22"/>
                <w:szCs w:val="22"/>
              </w:rPr>
            </w:pPr>
            <w:r w:rsidRPr="000B6662">
              <w:rPr>
                <w:sz w:val="22"/>
                <w:szCs w:val="22"/>
              </w:rPr>
              <w:t>0</w:t>
            </w:r>
          </w:p>
        </w:tc>
        <w:tc>
          <w:tcPr>
            <w:tcW w:w="1066" w:type="dxa"/>
            <w:noWrap/>
            <w:hideMark/>
          </w:tcPr>
          <w:p w14:paraId="7257CB03" w14:textId="77777777" w:rsidR="000B6662" w:rsidRPr="000B6662" w:rsidRDefault="000B6662" w:rsidP="000B6662">
            <w:pPr>
              <w:spacing w:line="240" w:lineRule="auto"/>
              <w:rPr>
                <w:sz w:val="22"/>
                <w:szCs w:val="22"/>
              </w:rPr>
            </w:pPr>
            <w:r w:rsidRPr="000B6662">
              <w:rPr>
                <w:sz w:val="22"/>
                <w:szCs w:val="22"/>
              </w:rPr>
              <w:t>0</w:t>
            </w:r>
          </w:p>
        </w:tc>
        <w:tc>
          <w:tcPr>
            <w:tcW w:w="1634" w:type="dxa"/>
            <w:noWrap/>
            <w:hideMark/>
          </w:tcPr>
          <w:p w14:paraId="2D14233C" w14:textId="77777777" w:rsidR="000B6662" w:rsidRPr="000B6662" w:rsidRDefault="000B6662" w:rsidP="000B6662">
            <w:pPr>
              <w:spacing w:line="240" w:lineRule="auto"/>
              <w:rPr>
                <w:sz w:val="22"/>
                <w:szCs w:val="22"/>
              </w:rPr>
            </w:pPr>
            <w:r w:rsidRPr="000B6662">
              <w:rPr>
                <w:sz w:val="22"/>
                <w:szCs w:val="22"/>
              </w:rPr>
              <w:t>0</w:t>
            </w:r>
          </w:p>
        </w:tc>
      </w:tr>
      <w:tr w:rsidR="000B6662" w:rsidRPr="000B6662" w14:paraId="15B72D2A" w14:textId="77777777" w:rsidTr="000B6662">
        <w:trPr>
          <w:divId w:val="424883975"/>
          <w:trHeight w:val="420"/>
        </w:trPr>
        <w:tc>
          <w:tcPr>
            <w:tcW w:w="846" w:type="dxa"/>
            <w:noWrap/>
            <w:hideMark/>
          </w:tcPr>
          <w:p w14:paraId="0B83047B" w14:textId="77777777" w:rsidR="000B6662" w:rsidRPr="000B6662" w:rsidRDefault="000B6662" w:rsidP="000B6662">
            <w:pPr>
              <w:spacing w:line="240" w:lineRule="auto"/>
              <w:rPr>
                <w:sz w:val="22"/>
                <w:szCs w:val="22"/>
              </w:rPr>
            </w:pPr>
            <w:r w:rsidRPr="000B6662">
              <w:rPr>
                <w:sz w:val="22"/>
                <w:szCs w:val="22"/>
              </w:rPr>
              <w:t>2017</w:t>
            </w:r>
          </w:p>
        </w:tc>
        <w:tc>
          <w:tcPr>
            <w:tcW w:w="1422" w:type="dxa"/>
            <w:noWrap/>
            <w:hideMark/>
          </w:tcPr>
          <w:p w14:paraId="3C4FAA3E" w14:textId="77777777" w:rsidR="000B6662" w:rsidRPr="000B6662" w:rsidRDefault="000B6662" w:rsidP="000B6662">
            <w:pPr>
              <w:spacing w:line="240" w:lineRule="auto"/>
              <w:rPr>
                <w:sz w:val="22"/>
                <w:szCs w:val="22"/>
              </w:rPr>
            </w:pPr>
            <w:r w:rsidRPr="000B6662">
              <w:rPr>
                <w:sz w:val="22"/>
                <w:szCs w:val="22"/>
              </w:rPr>
              <w:t>Yes</w:t>
            </w:r>
          </w:p>
        </w:tc>
        <w:tc>
          <w:tcPr>
            <w:tcW w:w="856" w:type="dxa"/>
            <w:noWrap/>
            <w:hideMark/>
          </w:tcPr>
          <w:p w14:paraId="5742D1E8" w14:textId="77777777" w:rsidR="000B6662" w:rsidRPr="000B6662" w:rsidRDefault="000B6662" w:rsidP="000B6662">
            <w:pPr>
              <w:spacing w:line="240" w:lineRule="auto"/>
              <w:rPr>
                <w:sz w:val="22"/>
                <w:szCs w:val="22"/>
              </w:rPr>
            </w:pPr>
            <w:r w:rsidRPr="000B6662">
              <w:rPr>
                <w:sz w:val="22"/>
                <w:szCs w:val="22"/>
              </w:rPr>
              <w:t>62</w:t>
            </w:r>
          </w:p>
        </w:tc>
        <w:tc>
          <w:tcPr>
            <w:tcW w:w="1123" w:type="dxa"/>
            <w:noWrap/>
            <w:hideMark/>
          </w:tcPr>
          <w:p w14:paraId="397B92C4" w14:textId="77777777" w:rsidR="000B6662" w:rsidRPr="000B6662" w:rsidRDefault="000B6662" w:rsidP="000B6662">
            <w:pPr>
              <w:spacing w:line="240" w:lineRule="auto"/>
              <w:rPr>
                <w:sz w:val="22"/>
                <w:szCs w:val="22"/>
              </w:rPr>
            </w:pPr>
            <w:r w:rsidRPr="000B6662">
              <w:rPr>
                <w:sz w:val="22"/>
                <w:szCs w:val="22"/>
              </w:rPr>
              <w:t>117</w:t>
            </w:r>
          </w:p>
        </w:tc>
        <w:tc>
          <w:tcPr>
            <w:tcW w:w="1281" w:type="dxa"/>
            <w:noWrap/>
            <w:hideMark/>
          </w:tcPr>
          <w:p w14:paraId="54BA28BE" w14:textId="77777777" w:rsidR="000B6662" w:rsidRPr="000B6662" w:rsidRDefault="000B6662" w:rsidP="000B6662">
            <w:pPr>
              <w:spacing w:line="240" w:lineRule="auto"/>
              <w:rPr>
                <w:sz w:val="22"/>
                <w:szCs w:val="22"/>
              </w:rPr>
            </w:pPr>
            <w:r w:rsidRPr="000B6662">
              <w:rPr>
                <w:sz w:val="22"/>
                <w:szCs w:val="22"/>
              </w:rPr>
              <w:t>15</w:t>
            </w:r>
          </w:p>
        </w:tc>
        <w:tc>
          <w:tcPr>
            <w:tcW w:w="986" w:type="dxa"/>
            <w:noWrap/>
            <w:hideMark/>
          </w:tcPr>
          <w:p w14:paraId="04B9DC11" w14:textId="77777777" w:rsidR="000B6662" w:rsidRPr="000B6662" w:rsidRDefault="000B6662" w:rsidP="000B6662">
            <w:pPr>
              <w:spacing w:line="240" w:lineRule="auto"/>
              <w:rPr>
                <w:sz w:val="22"/>
                <w:szCs w:val="22"/>
              </w:rPr>
            </w:pPr>
            <w:r w:rsidRPr="000B6662">
              <w:rPr>
                <w:sz w:val="22"/>
                <w:szCs w:val="22"/>
              </w:rPr>
              <w:t>37</w:t>
            </w:r>
          </w:p>
        </w:tc>
        <w:tc>
          <w:tcPr>
            <w:tcW w:w="1066" w:type="dxa"/>
            <w:noWrap/>
            <w:hideMark/>
          </w:tcPr>
          <w:p w14:paraId="693C1FE3" w14:textId="77777777" w:rsidR="000B6662" w:rsidRPr="000B6662" w:rsidRDefault="000B6662" w:rsidP="000B6662">
            <w:pPr>
              <w:spacing w:line="240" w:lineRule="auto"/>
              <w:rPr>
                <w:sz w:val="22"/>
                <w:szCs w:val="22"/>
              </w:rPr>
            </w:pPr>
            <w:r w:rsidRPr="000B6662">
              <w:rPr>
                <w:sz w:val="22"/>
                <w:szCs w:val="22"/>
              </w:rPr>
              <w:t>39</w:t>
            </w:r>
          </w:p>
        </w:tc>
        <w:tc>
          <w:tcPr>
            <w:tcW w:w="1634" w:type="dxa"/>
            <w:noWrap/>
            <w:hideMark/>
          </w:tcPr>
          <w:p w14:paraId="42A02BA5" w14:textId="77777777" w:rsidR="000B6662" w:rsidRPr="000B6662" w:rsidRDefault="000B6662" w:rsidP="000B6662">
            <w:pPr>
              <w:spacing w:line="240" w:lineRule="auto"/>
              <w:rPr>
                <w:sz w:val="22"/>
                <w:szCs w:val="22"/>
              </w:rPr>
            </w:pPr>
            <w:r w:rsidRPr="000B6662">
              <w:rPr>
                <w:sz w:val="22"/>
                <w:szCs w:val="22"/>
              </w:rPr>
              <w:t>76</w:t>
            </w:r>
          </w:p>
        </w:tc>
      </w:tr>
      <w:tr w:rsidR="000B6662" w:rsidRPr="000B6662" w14:paraId="59EBF8AD" w14:textId="77777777" w:rsidTr="000B6662">
        <w:trPr>
          <w:divId w:val="424883975"/>
          <w:trHeight w:val="420"/>
        </w:trPr>
        <w:tc>
          <w:tcPr>
            <w:tcW w:w="846" w:type="dxa"/>
            <w:noWrap/>
            <w:hideMark/>
          </w:tcPr>
          <w:p w14:paraId="2F4C5E07" w14:textId="77777777" w:rsidR="000B6662" w:rsidRPr="000B6662" w:rsidRDefault="000B6662" w:rsidP="000B6662">
            <w:pPr>
              <w:spacing w:line="240" w:lineRule="auto"/>
              <w:rPr>
                <w:sz w:val="22"/>
                <w:szCs w:val="22"/>
              </w:rPr>
            </w:pPr>
            <w:r w:rsidRPr="000B6662">
              <w:rPr>
                <w:sz w:val="22"/>
                <w:szCs w:val="22"/>
              </w:rPr>
              <w:t>2017</w:t>
            </w:r>
          </w:p>
        </w:tc>
        <w:tc>
          <w:tcPr>
            <w:tcW w:w="1422" w:type="dxa"/>
            <w:noWrap/>
            <w:hideMark/>
          </w:tcPr>
          <w:p w14:paraId="1FC00E1C" w14:textId="77777777" w:rsidR="000B6662" w:rsidRPr="000B6662" w:rsidRDefault="000B6662" w:rsidP="000B6662">
            <w:pPr>
              <w:spacing w:line="240" w:lineRule="auto"/>
              <w:rPr>
                <w:sz w:val="22"/>
                <w:szCs w:val="22"/>
              </w:rPr>
            </w:pPr>
            <w:r w:rsidRPr="000B6662">
              <w:rPr>
                <w:sz w:val="22"/>
                <w:szCs w:val="22"/>
              </w:rPr>
              <w:t>No</w:t>
            </w:r>
          </w:p>
        </w:tc>
        <w:tc>
          <w:tcPr>
            <w:tcW w:w="856" w:type="dxa"/>
            <w:noWrap/>
            <w:hideMark/>
          </w:tcPr>
          <w:p w14:paraId="25E9FA4D" w14:textId="77777777" w:rsidR="000B6662" w:rsidRPr="000B6662" w:rsidRDefault="000B6662" w:rsidP="000B6662">
            <w:pPr>
              <w:spacing w:line="240" w:lineRule="auto"/>
              <w:rPr>
                <w:sz w:val="22"/>
                <w:szCs w:val="22"/>
              </w:rPr>
            </w:pPr>
            <w:r w:rsidRPr="000B6662">
              <w:rPr>
                <w:sz w:val="22"/>
                <w:szCs w:val="22"/>
              </w:rPr>
              <w:t>12</w:t>
            </w:r>
          </w:p>
        </w:tc>
        <w:tc>
          <w:tcPr>
            <w:tcW w:w="1123" w:type="dxa"/>
            <w:noWrap/>
            <w:hideMark/>
          </w:tcPr>
          <w:p w14:paraId="1C34234F" w14:textId="77777777" w:rsidR="000B6662" w:rsidRPr="000B6662" w:rsidRDefault="000B6662" w:rsidP="000B6662">
            <w:pPr>
              <w:spacing w:line="240" w:lineRule="auto"/>
              <w:rPr>
                <w:sz w:val="22"/>
                <w:szCs w:val="22"/>
              </w:rPr>
            </w:pPr>
            <w:r w:rsidRPr="000B6662">
              <w:rPr>
                <w:sz w:val="22"/>
                <w:szCs w:val="22"/>
              </w:rPr>
              <w:t>25</w:t>
            </w:r>
          </w:p>
        </w:tc>
        <w:tc>
          <w:tcPr>
            <w:tcW w:w="1281" w:type="dxa"/>
            <w:noWrap/>
            <w:hideMark/>
          </w:tcPr>
          <w:p w14:paraId="173B3E2E" w14:textId="77777777" w:rsidR="000B6662" w:rsidRPr="000B6662" w:rsidRDefault="000B6662" w:rsidP="000B6662">
            <w:pPr>
              <w:spacing w:line="240" w:lineRule="auto"/>
              <w:rPr>
                <w:sz w:val="22"/>
                <w:szCs w:val="22"/>
              </w:rPr>
            </w:pPr>
            <w:r w:rsidRPr="000B6662">
              <w:rPr>
                <w:sz w:val="22"/>
                <w:szCs w:val="22"/>
              </w:rPr>
              <w:t>3</w:t>
            </w:r>
          </w:p>
        </w:tc>
        <w:tc>
          <w:tcPr>
            <w:tcW w:w="986" w:type="dxa"/>
            <w:noWrap/>
            <w:hideMark/>
          </w:tcPr>
          <w:p w14:paraId="56CD3231" w14:textId="77777777" w:rsidR="000B6662" w:rsidRPr="000B6662" w:rsidRDefault="000B6662" w:rsidP="000B6662">
            <w:pPr>
              <w:spacing w:line="240" w:lineRule="auto"/>
              <w:rPr>
                <w:sz w:val="22"/>
                <w:szCs w:val="22"/>
              </w:rPr>
            </w:pPr>
            <w:r w:rsidRPr="000B6662">
              <w:rPr>
                <w:sz w:val="22"/>
                <w:szCs w:val="22"/>
              </w:rPr>
              <w:t>0</w:t>
            </w:r>
          </w:p>
        </w:tc>
        <w:tc>
          <w:tcPr>
            <w:tcW w:w="1066" w:type="dxa"/>
            <w:noWrap/>
            <w:hideMark/>
          </w:tcPr>
          <w:p w14:paraId="190B6695" w14:textId="77777777" w:rsidR="000B6662" w:rsidRPr="000B6662" w:rsidRDefault="000B6662" w:rsidP="000B6662">
            <w:pPr>
              <w:spacing w:line="240" w:lineRule="auto"/>
              <w:rPr>
                <w:sz w:val="22"/>
                <w:szCs w:val="22"/>
              </w:rPr>
            </w:pPr>
            <w:r w:rsidRPr="000B6662">
              <w:rPr>
                <w:sz w:val="22"/>
                <w:szCs w:val="22"/>
              </w:rPr>
              <w:t>0</w:t>
            </w:r>
          </w:p>
        </w:tc>
        <w:tc>
          <w:tcPr>
            <w:tcW w:w="1634" w:type="dxa"/>
            <w:noWrap/>
            <w:hideMark/>
          </w:tcPr>
          <w:p w14:paraId="656B215E" w14:textId="77777777" w:rsidR="000B6662" w:rsidRPr="000B6662" w:rsidRDefault="000B6662" w:rsidP="000B6662">
            <w:pPr>
              <w:spacing w:line="240" w:lineRule="auto"/>
              <w:rPr>
                <w:sz w:val="22"/>
                <w:szCs w:val="22"/>
              </w:rPr>
            </w:pPr>
            <w:r w:rsidRPr="000B6662">
              <w:rPr>
                <w:sz w:val="22"/>
                <w:szCs w:val="22"/>
              </w:rPr>
              <w:t>0</w:t>
            </w:r>
          </w:p>
        </w:tc>
      </w:tr>
      <w:tr w:rsidR="000B6662" w:rsidRPr="000B6662" w14:paraId="4696DE60" w14:textId="77777777" w:rsidTr="000B6662">
        <w:trPr>
          <w:divId w:val="424883975"/>
          <w:trHeight w:val="420"/>
        </w:trPr>
        <w:tc>
          <w:tcPr>
            <w:tcW w:w="846" w:type="dxa"/>
            <w:noWrap/>
            <w:hideMark/>
          </w:tcPr>
          <w:p w14:paraId="4CAFE368" w14:textId="77777777" w:rsidR="000B6662" w:rsidRPr="000B6662" w:rsidRDefault="000B6662" w:rsidP="000B6662">
            <w:pPr>
              <w:spacing w:line="240" w:lineRule="auto"/>
              <w:rPr>
                <w:sz w:val="22"/>
                <w:szCs w:val="22"/>
              </w:rPr>
            </w:pPr>
            <w:r w:rsidRPr="000B6662">
              <w:rPr>
                <w:sz w:val="22"/>
                <w:szCs w:val="22"/>
              </w:rPr>
              <w:t>2018</w:t>
            </w:r>
          </w:p>
        </w:tc>
        <w:tc>
          <w:tcPr>
            <w:tcW w:w="1422" w:type="dxa"/>
            <w:noWrap/>
            <w:hideMark/>
          </w:tcPr>
          <w:p w14:paraId="12B3EF77" w14:textId="77777777" w:rsidR="000B6662" w:rsidRPr="000B6662" w:rsidRDefault="000B6662" w:rsidP="000B6662">
            <w:pPr>
              <w:spacing w:line="240" w:lineRule="auto"/>
              <w:rPr>
                <w:sz w:val="22"/>
                <w:szCs w:val="22"/>
              </w:rPr>
            </w:pPr>
            <w:r w:rsidRPr="000B6662">
              <w:rPr>
                <w:sz w:val="22"/>
                <w:szCs w:val="22"/>
              </w:rPr>
              <w:t>Yes</w:t>
            </w:r>
          </w:p>
        </w:tc>
        <w:tc>
          <w:tcPr>
            <w:tcW w:w="856" w:type="dxa"/>
            <w:noWrap/>
            <w:hideMark/>
          </w:tcPr>
          <w:p w14:paraId="1BF6642D" w14:textId="77777777" w:rsidR="000B6662" w:rsidRPr="000B6662" w:rsidRDefault="000B6662" w:rsidP="000B6662">
            <w:pPr>
              <w:spacing w:line="240" w:lineRule="auto"/>
              <w:rPr>
                <w:sz w:val="22"/>
                <w:szCs w:val="22"/>
              </w:rPr>
            </w:pPr>
            <w:r w:rsidRPr="000B6662">
              <w:rPr>
                <w:sz w:val="22"/>
                <w:szCs w:val="22"/>
              </w:rPr>
              <w:t>54</w:t>
            </w:r>
          </w:p>
        </w:tc>
        <w:tc>
          <w:tcPr>
            <w:tcW w:w="1123" w:type="dxa"/>
            <w:noWrap/>
            <w:hideMark/>
          </w:tcPr>
          <w:p w14:paraId="566DD1D0" w14:textId="77777777" w:rsidR="000B6662" w:rsidRPr="000B6662" w:rsidRDefault="000B6662" w:rsidP="000B6662">
            <w:pPr>
              <w:spacing w:line="240" w:lineRule="auto"/>
              <w:rPr>
                <w:sz w:val="22"/>
                <w:szCs w:val="22"/>
              </w:rPr>
            </w:pPr>
            <w:r w:rsidRPr="000B6662">
              <w:rPr>
                <w:sz w:val="22"/>
                <w:szCs w:val="22"/>
              </w:rPr>
              <w:t>88</w:t>
            </w:r>
          </w:p>
        </w:tc>
        <w:tc>
          <w:tcPr>
            <w:tcW w:w="1281" w:type="dxa"/>
            <w:noWrap/>
            <w:hideMark/>
          </w:tcPr>
          <w:p w14:paraId="4E16ECA2" w14:textId="77777777" w:rsidR="000B6662" w:rsidRPr="000B6662" w:rsidRDefault="000B6662" w:rsidP="000B6662">
            <w:pPr>
              <w:spacing w:line="240" w:lineRule="auto"/>
              <w:rPr>
                <w:sz w:val="22"/>
                <w:szCs w:val="22"/>
              </w:rPr>
            </w:pPr>
            <w:r w:rsidRPr="000B6662">
              <w:rPr>
                <w:sz w:val="22"/>
                <w:szCs w:val="22"/>
              </w:rPr>
              <w:t>3</w:t>
            </w:r>
          </w:p>
        </w:tc>
        <w:tc>
          <w:tcPr>
            <w:tcW w:w="986" w:type="dxa"/>
            <w:noWrap/>
            <w:hideMark/>
          </w:tcPr>
          <w:p w14:paraId="6080D50C" w14:textId="77777777" w:rsidR="000B6662" w:rsidRPr="000B6662" w:rsidRDefault="000B6662" w:rsidP="000B6662">
            <w:pPr>
              <w:spacing w:line="240" w:lineRule="auto"/>
              <w:rPr>
                <w:sz w:val="22"/>
                <w:szCs w:val="22"/>
              </w:rPr>
            </w:pPr>
            <w:r w:rsidRPr="000B6662">
              <w:rPr>
                <w:sz w:val="22"/>
                <w:szCs w:val="22"/>
              </w:rPr>
              <w:t>29</w:t>
            </w:r>
          </w:p>
        </w:tc>
        <w:tc>
          <w:tcPr>
            <w:tcW w:w="1066" w:type="dxa"/>
            <w:noWrap/>
            <w:hideMark/>
          </w:tcPr>
          <w:p w14:paraId="497A112A" w14:textId="77777777" w:rsidR="000B6662" w:rsidRPr="000B6662" w:rsidRDefault="000B6662" w:rsidP="000B6662">
            <w:pPr>
              <w:spacing w:line="240" w:lineRule="auto"/>
              <w:rPr>
                <w:sz w:val="22"/>
                <w:szCs w:val="22"/>
              </w:rPr>
            </w:pPr>
            <w:r w:rsidRPr="000B6662">
              <w:rPr>
                <w:sz w:val="22"/>
                <w:szCs w:val="22"/>
              </w:rPr>
              <w:t>36</w:t>
            </w:r>
          </w:p>
        </w:tc>
        <w:tc>
          <w:tcPr>
            <w:tcW w:w="1634" w:type="dxa"/>
            <w:noWrap/>
            <w:hideMark/>
          </w:tcPr>
          <w:p w14:paraId="6AF14FFF" w14:textId="77777777" w:rsidR="000B6662" w:rsidRPr="000B6662" w:rsidRDefault="000B6662" w:rsidP="000B6662">
            <w:pPr>
              <w:spacing w:line="240" w:lineRule="auto"/>
              <w:rPr>
                <w:sz w:val="22"/>
                <w:szCs w:val="22"/>
              </w:rPr>
            </w:pPr>
            <w:r w:rsidRPr="000B6662">
              <w:rPr>
                <w:sz w:val="22"/>
                <w:szCs w:val="22"/>
              </w:rPr>
              <w:t>65</w:t>
            </w:r>
          </w:p>
        </w:tc>
      </w:tr>
      <w:tr w:rsidR="000B6662" w:rsidRPr="000B6662" w14:paraId="17EBC42A" w14:textId="77777777" w:rsidTr="000B6662">
        <w:trPr>
          <w:divId w:val="424883975"/>
          <w:trHeight w:val="420"/>
        </w:trPr>
        <w:tc>
          <w:tcPr>
            <w:tcW w:w="846" w:type="dxa"/>
            <w:noWrap/>
            <w:hideMark/>
          </w:tcPr>
          <w:p w14:paraId="24DDE2B7" w14:textId="77777777" w:rsidR="000B6662" w:rsidRPr="000B6662" w:rsidRDefault="000B6662" w:rsidP="000B6662">
            <w:pPr>
              <w:spacing w:line="240" w:lineRule="auto"/>
              <w:rPr>
                <w:sz w:val="22"/>
                <w:szCs w:val="22"/>
              </w:rPr>
            </w:pPr>
            <w:r w:rsidRPr="000B6662">
              <w:rPr>
                <w:sz w:val="22"/>
                <w:szCs w:val="22"/>
              </w:rPr>
              <w:t>2018</w:t>
            </w:r>
          </w:p>
        </w:tc>
        <w:tc>
          <w:tcPr>
            <w:tcW w:w="1422" w:type="dxa"/>
            <w:noWrap/>
            <w:hideMark/>
          </w:tcPr>
          <w:p w14:paraId="6F4F5826" w14:textId="77777777" w:rsidR="000B6662" w:rsidRPr="000B6662" w:rsidRDefault="000B6662" w:rsidP="000B6662">
            <w:pPr>
              <w:spacing w:line="240" w:lineRule="auto"/>
              <w:rPr>
                <w:sz w:val="22"/>
                <w:szCs w:val="22"/>
              </w:rPr>
            </w:pPr>
            <w:r w:rsidRPr="000B6662">
              <w:rPr>
                <w:sz w:val="22"/>
                <w:szCs w:val="22"/>
              </w:rPr>
              <w:t>No</w:t>
            </w:r>
          </w:p>
        </w:tc>
        <w:tc>
          <w:tcPr>
            <w:tcW w:w="856" w:type="dxa"/>
            <w:noWrap/>
            <w:hideMark/>
          </w:tcPr>
          <w:p w14:paraId="51F5A98F" w14:textId="77777777" w:rsidR="000B6662" w:rsidRPr="000B6662" w:rsidRDefault="000B6662" w:rsidP="000B6662">
            <w:pPr>
              <w:spacing w:line="240" w:lineRule="auto"/>
              <w:rPr>
                <w:sz w:val="22"/>
                <w:szCs w:val="22"/>
              </w:rPr>
            </w:pPr>
            <w:r w:rsidRPr="000B6662">
              <w:rPr>
                <w:sz w:val="22"/>
                <w:szCs w:val="22"/>
              </w:rPr>
              <w:t>21</w:t>
            </w:r>
          </w:p>
        </w:tc>
        <w:tc>
          <w:tcPr>
            <w:tcW w:w="1123" w:type="dxa"/>
            <w:noWrap/>
            <w:hideMark/>
          </w:tcPr>
          <w:p w14:paraId="5876A140" w14:textId="77777777" w:rsidR="000B6662" w:rsidRPr="000B6662" w:rsidRDefault="000B6662" w:rsidP="000B6662">
            <w:pPr>
              <w:spacing w:line="240" w:lineRule="auto"/>
              <w:rPr>
                <w:sz w:val="22"/>
                <w:szCs w:val="22"/>
              </w:rPr>
            </w:pPr>
            <w:r w:rsidRPr="000B6662">
              <w:rPr>
                <w:sz w:val="22"/>
                <w:szCs w:val="22"/>
              </w:rPr>
              <w:t>28</w:t>
            </w:r>
          </w:p>
        </w:tc>
        <w:tc>
          <w:tcPr>
            <w:tcW w:w="1281" w:type="dxa"/>
            <w:noWrap/>
            <w:hideMark/>
          </w:tcPr>
          <w:p w14:paraId="5A14E6F8" w14:textId="77777777" w:rsidR="000B6662" w:rsidRPr="000B6662" w:rsidRDefault="000B6662" w:rsidP="000B6662">
            <w:pPr>
              <w:spacing w:line="240" w:lineRule="auto"/>
              <w:rPr>
                <w:sz w:val="22"/>
                <w:szCs w:val="22"/>
              </w:rPr>
            </w:pPr>
            <w:r w:rsidRPr="000B6662">
              <w:rPr>
                <w:sz w:val="22"/>
                <w:szCs w:val="22"/>
              </w:rPr>
              <w:t>0</w:t>
            </w:r>
          </w:p>
        </w:tc>
        <w:tc>
          <w:tcPr>
            <w:tcW w:w="986" w:type="dxa"/>
            <w:noWrap/>
            <w:hideMark/>
          </w:tcPr>
          <w:p w14:paraId="6EEDA650" w14:textId="77777777" w:rsidR="000B6662" w:rsidRPr="000B6662" w:rsidRDefault="000B6662" w:rsidP="000B6662">
            <w:pPr>
              <w:spacing w:line="240" w:lineRule="auto"/>
              <w:rPr>
                <w:sz w:val="22"/>
                <w:szCs w:val="22"/>
              </w:rPr>
            </w:pPr>
            <w:r w:rsidRPr="000B6662">
              <w:rPr>
                <w:sz w:val="22"/>
                <w:szCs w:val="22"/>
              </w:rPr>
              <w:t>0</w:t>
            </w:r>
          </w:p>
        </w:tc>
        <w:tc>
          <w:tcPr>
            <w:tcW w:w="1066" w:type="dxa"/>
            <w:noWrap/>
            <w:hideMark/>
          </w:tcPr>
          <w:p w14:paraId="2E122C52" w14:textId="77777777" w:rsidR="000B6662" w:rsidRPr="000B6662" w:rsidRDefault="000B6662" w:rsidP="000B6662">
            <w:pPr>
              <w:spacing w:line="240" w:lineRule="auto"/>
              <w:rPr>
                <w:sz w:val="22"/>
                <w:szCs w:val="22"/>
              </w:rPr>
            </w:pPr>
            <w:r w:rsidRPr="000B6662">
              <w:rPr>
                <w:sz w:val="22"/>
                <w:szCs w:val="22"/>
              </w:rPr>
              <w:t>0</w:t>
            </w:r>
          </w:p>
        </w:tc>
        <w:tc>
          <w:tcPr>
            <w:tcW w:w="1634" w:type="dxa"/>
            <w:noWrap/>
            <w:hideMark/>
          </w:tcPr>
          <w:p w14:paraId="0A3B16F1" w14:textId="77777777" w:rsidR="000B6662" w:rsidRPr="000B6662" w:rsidRDefault="000B6662" w:rsidP="000B6662">
            <w:pPr>
              <w:spacing w:line="240" w:lineRule="auto"/>
              <w:rPr>
                <w:sz w:val="22"/>
                <w:szCs w:val="22"/>
              </w:rPr>
            </w:pPr>
            <w:r w:rsidRPr="000B6662">
              <w:rPr>
                <w:sz w:val="22"/>
                <w:szCs w:val="22"/>
              </w:rPr>
              <w:t>0</w:t>
            </w:r>
          </w:p>
        </w:tc>
      </w:tr>
      <w:tr w:rsidR="000B6662" w:rsidRPr="000B6662" w14:paraId="493CC229" w14:textId="77777777" w:rsidTr="000B6662">
        <w:trPr>
          <w:divId w:val="424883975"/>
          <w:trHeight w:val="420"/>
        </w:trPr>
        <w:tc>
          <w:tcPr>
            <w:tcW w:w="846" w:type="dxa"/>
            <w:noWrap/>
            <w:hideMark/>
          </w:tcPr>
          <w:p w14:paraId="4AD143F7" w14:textId="77777777" w:rsidR="000B6662" w:rsidRPr="000B6662" w:rsidRDefault="000B6662" w:rsidP="000B6662">
            <w:pPr>
              <w:spacing w:line="240" w:lineRule="auto"/>
              <w:rPr>
                <w:sz w:val="22"/>
                <w:szCs w:val="22"/>
              </w:rPr>
            </w:pPr>
            <w:r w:rsidRPr="000B6662">
              <w:rPr>
                <w:sz w:val="22"/>
                <w:szCs w:val="22"/>
              </w:rPr>
              <w:t>2019</w:t>
            </w:r>
          </w:p>
        </w:tc>
        <w:tc>
          <w:tcPr>
            <w:tcW w:w="1422" w:type="dxa"/>
            <w:noWrap/>
            <w:hideMark/>
          </w:tcPr>
          <w:p w14:paraId="59294A39" w14:textId="77777777" w:rsidR="000B6662" w:rsidRPr="000B6662" w:rsidRDefault="000B6662" w:rsidP="000B6662">
            <w:pPr>
              <w:spacing w:line="240" w:lineRule="auto"/>
              <w:rPr>
                <w:sz w:val="22"/>
                <w:szCs w:val="22"/>
              </w:rPr>
            </w:pPr>
            <w:r w:rsidRPr="000B6662">
              <w:rPr>
                <w:sz w:val="22"/>
                <w:szCs w:val="22"/>
              </w:rPr>
              <w:t>Yes</w:t>
            </w:r>
          </w:p>
        </w:tc>
        <w:tc>
          <w:tcPr>
            <w:tcW w:w="856" w:type="dxa"/>
            <w:noWrap/>
            <w:hideMark/>
          </w:tcPr>
          <w:p w14:paraId="20115157" w14:textId="77777777" w:rsidR="000B6662" w:rsidRPr="000B6662" w:rsidRDefault="000B6662" w:rsidP="000B6662">
            <w:pPr>
              <w:spacing w:line="240" w:lineRule="auto"/>
              <w:rPr>
                <w:sz w:val="22"/>
                <w:szCs w:val="22"/>
              </w:rPr>
            </w:pPr>
            <w:r w:rsidRPr="000B6662">
              <w:rPr>
                <w:sz w:val="22"/>
                <w:szCs w:val="22"/>
              </w:rPr>
              <w:t>64</w:t>
            </w:r>
          </w:p>
        </w:tc>
        <w:tc>
          <w:tcPr>
            <w:tcW w:w="1123" w:type="dxa"/>
            <w:noWrap/>
            <w:hideMark/>
          </w:tcPr>
          <w:p w14:paraId="536A27E8" w14:textId="77777777" w:rsidR="000B6662" w:rsidRPr="000B6662" w:rsidRDefault="000B6662" w:rsidP="000B6662">
            <w:pPr>
              <w:spacing w:line="240" w:lineRule="auto"/>
              <w:rPr>
                <w:sz w:val="22"/>
                <w:szCs w:val="22"/>
              </w:rPr>
            </w:pPr>
            <w:r w:rsidRPr="000B6662">
              <w:rPr>
                <w:sz w:val="22"/>
                <w:szCs w:val="22"/>
              </w:rPr>
              <w:t>124</w:t>
            </w:r>
          </w:p>
        </w:tc>
        <w:tc>
          <w:tcPr>
            <w:tcW w:w="1281" w:type="dxa"/>
            <w:noWrap/>
            <w:hideMark/>
          </w:tcPr>
          <w:p w14:paraId="2A89DD0E" w14:textId="77777777" w:rsidR="000B6662" w:rsidRPr="000B6662" w:rsidRDefault="000B6662" w:rsidP="000B6662">
            <w:pPr>
              <w:spacing w:line="240" w:lineRule="auto"/>
              <w:rPr>
                <w:sz w:val="22"/>
                <w:szCs w:val="22"/>
              </w:rPr>
            </w:pPr>
            <w:r w:rsidRPr="000B6662">
              <w:rPr>
                <w:sz w:val="22"/>
                <w:szCs w:val="22"/>
              </w:rPr>
              <w:t>12</w:t>
            </w:r>
          </w:p>
        </w:tc>
        <w:tc>
          <w:tcPr>
            <w:tcW w:w="986" w:type="dxa"/>
            <w:noWrap/>
            <w:hideMark/>
          </w:tcPr>
          <w:p w14:paraId="05F21989" w14:textId="77777777" w:rsidR="000B6662" w:rsidRPr="000B6662" w:rsidRDefault="000B6662" w:rsidP="000B6662">
            <w:pPr>
              <w:spacing w:line="240" w:lineRule="auto"/>
              <w:rPr>
                <w:sz w:val="22"/>
                <w:szCs w:val="22"/>
              </w:rPr>
            </w:pPr>
            <w:r w:rsidRPr="000B6662">
              <w:rPr>
                <w:sz w:val="22"/>
                <w:szCs w:val="22"/>
              </w:rPr>
              <w:t>30</w:t>
            </w:r>
          </w:p>
        </w:tc>
        <w:tc>
          <w:tcPr>
            <w:tcW w:w="1066" w:type="dxa"/>
            <w:noWrap/>
            <w:hideMark/>
          </w:tcPr>
          <w:p w14:paraId="33CA6022" w14:textId="77777777" w:rsidR="000B6662" w:rsidRPr="000B6662" w:rsidRDefault="000B6662" w:rsidP="000B6662">
            <w:pPr>
              <w:spacing w:line="240" w:lineRule="auto"/>
              <w:rPr>
                <w:sz w:val="22"/>
                <w:szCs w:val="22"/>
              </w:rPr>
            </w:pPr>
            <w:r w:rsidRPr="000B6662">
              <w:rPr>
                <w:sz w:val="22"/>
                <w:szCs w:val="22"/>
              </w:rPr>
              <w:t>57</w:t>
            </w:r>
          </w:p>
        </w:tc>
        <w:tc>
          <w:tcPr>
            <w:tcW w:w="1634" w:type="dxa"/>
            <w:noWrap/>
            <w:hideMark/>
          </w:tcPr>
          <w:p w14:paraId="75D6B723" w14:textId="77777777" w:rsidR="000B6662" w:rsidRPr="000B6662" w:rsidRDefault="000B6662" w:rsidP="000B6662">
            <w:pPr>
              <w:spacing w:line="240" w:lineRule="auto"/>
              <w:rPr>
                <w:sz w:val="22"/>
                <w:szCs w:val="22"/>
              </w:rPr>
            </w:pPr>
            <w:r w:rsidRPr="000B6662">
              <w:rPr>
                <w:sz w:val="22"/>
                <w:szCs w:val="22"/>
              </w:rPr>
              <w:t>87</w:t>
            </w:r>
          </w:p>
        </w:tc>
      </w:tr>
      <w:tr w:rsidR="000B6662" w:rsidRPr="000B6662" w14:paraId="31E3209C" w14:textId="77777777" w:rsidTr="000B6662">
        <w:trPr>
          <w:divId w:val="424883975"/>
          <w:trHeight w:val="420"/>
        </w:trPr>
        <w:tc>
          <w:tcPr>
            <w:tcW w:w="846" w:type="dxa"/>
            <w:noWrap/>
            <w:hideMark/>
          </w:tcPr>
          <w:p w14:paraId="3AF16FE5" w14:textId="77777777" w:rsidR="000B6662" w:rsidRPr="000B6662" w:rsidRDefault="000B6662" w:rsidP="000B6662">
            <w:pPr>
              <w:spacing w:line="240" w:lineRule="auto"/>
              <w:rPr>
                <w:sz w:val="22"/>
                <w:szCs w:val="22"/>
              </w:rPr>
            </w:pPr>
            <w:r w:rsidRPr="000B6662">
              <w:rPr>
                <w:sz w:val="22"/>
                <w:szCs w:val="22"/>
              </w:rPr>
              <w:t>2019</w:t>
            </w:r>
          </w:p>
        </w:tc>
        <w:tc>
          <w:tcPr>
            <w:tcW w:w="1422" w:type="dxa"/>
            <w:tcBorders>
              <w:bottom w:val="single" w:sz="4" w:space="0" w:color="auto"/>
            </w:tcBorders>
            <w:noWrap/>
            <w:hideMark/>
          </w:tcPr>
          <w:p w14:paraId="5B5E653A" w14:textId="77777777" w:rsidR="000B6662" w:rsidRPr="000B6662" w:rsidRDefault="000B6662" w:rsidP="000B6662">
            <w:pPr>
              <w:spacing w:line="240" w:lineRule="auto"/>
              <w:rPr>
                <w:sz w:val="22"/>
                <w:szCs w:val="22"/>
              </w:rPr>
            </w:pPr>
            <w:r w:rsidRPr="000B6662">
              <w:rPr>
                <w:sz w:val="22"/>
                <w:szCs w:val="22"/>
              </w:rPr>
              <w:t>No</w:t>
            </w:r>
          </w:p>
        </w:tc>
        <w:tc>
          <w:tcPr>
            <w:tcW w:w="856" w:type="dxa"/>
            <w:tcBorders>
              <w:bottom w:val="single" w:sz="4" w:space="0" w:color="auto"/>
            </w:tcBorders>
            <w:noWrap/>
            <w:hideMark/>
          </w:tcPr>
          <w:p w14:paraId="4F5E5562" w14:textId="77777777" w:rsidR="000B6662" w:rsidRPr="000B6662" w:rsidRDefault="000B6662" w:rsidP="000B6662">
            <w:pPr>
              <w:spacing w:line="240" w:lineRule="auto"/>
              <w:rPr>
                <w:sz w:val="22"/>
                <w:szCs w:val="22"/>
              </w:rPr>
            </w:pPr>
            <w:r w:rsidRPr="000B6662">
              <w:rPr>
                <w:sz w:val="22"/>
                <w:szCs w:val="22"/>
              </w:rPr>
              <w:t>22</w:t>
            </w:r>
          </w:p>
        </w:tc>
        <w:tc>
          <w:tcPr>
            <w:tcW w:w="1123" w:type="dxa"/>
            <w:tcBorders>
              <w:bottom w:val="single" w:sz="4" w:space="0" w:color="auto"/>
            </w:tcBorders>
            <w:noWrap/>
            <w:hideMark/>
          </w:tcPr>
          <w:p w14:paraId="70FE7F58" w14:textId="77777777" w:rsidR="000B6662" w:rsidRPr="000B6662" w:rsidRDefault="000B6662" w:rsidP="000B6662">
            <w:pPr>
              <w:spacing w:line="240" w:lineRule="auto"/>
              <w:rPr>
                <w:sz w:val="22"/>
                <w:szCs w:val="22"/>
              </w:rPr>
            </w:pPr>
            <w:r w:rsidRPr="000B6662">
              <w:rPr>
                <w:sz w:val="22"/>
                <w:szCs w:val="22"/>
              </w:rPr>
              <w:t>33</w:t>
            </w:r>
          </w:p>
        </w:tc>
        <w:tc>
          <w:tcPr>
            <w:tcW w:w="1281" w:type="dxa"/>
            <w:tcBorders>
              <w:bottom w:val="single" w:sz="4" w:space="0" w:color="auto"/>
            </w:tcBorders>
            <w:noWrap/>
            <w:hideMark/>
          </w:tcPr>
          <w:p w14:paraId="6E683EA3" w14:textId="77777777" w:rsidR="000B6662" w:rsidRPr="000B6662" w:rsidRDefault="000B6662" w:rsidP="000B6662">
            <w:pPr>
              <w:spacing w:line="240" w:lineRule="auto"/>
              <w:rPr>
                <w:sz w:val="22"/>
                <w:szCs w:val="22"/>
              </w:rPr>
            </w:pPr>
            <w:r w:rsidRPr="000B6662">
              <w:rPr>
                <w:sz w:val="22"/>
                <w:szCs w:val="22"/>
              </w:rPr>
              <w:t>0</w:t>
            </w:r>
          </w:p>
        </w:tc>
        <w:tc>
          <w:tcPr>
            <w:tcW w:w="986" w:type="dxa"/>
            <w:tcBorders>
              <w:bottom w:val="single" w:sz="4" w:space="0" w:color="auto"/>
            </w:tcBorders>
            <w:noWrap/>
            <w:hideMark/>
          </w:tcPr>
          <w:p w14:paraId="3037F42B" w14:textId="77777777" w:rsidR="000B6662" w:rsidRPr="000B6662" w:rsidRDefault="000B6662" w:rsidP="000B6662">
            <w:pPr>
              <w:spacing w:line="240" w:lineRule="auto"/>
              <w:rPr>
                <w:sz w:val="22"/>
                <w:szCs w:val="22"/>
              </w:rPr>
            </w:pPr>
            <w:r w:rsidRPr="000B6662">
              <w:rPr>
                <w:sz w:val="22"/>
                <w:szCs w:val="22"/>
              </w:rPr>
              <w:t>0</w:t>
            </w:r>
          </w:p>
        </w:tc>
        <w:tc>
          <w:tcPr>
            <w:tcW w:w="1066" w:type="dxa"/>
            <w:tcBorders>
              <w:bottom w:val="single" w:sz="4" w:space="0" w:color="auto"/>
            </w:tcBorders>
            <w:noWrap/>
            <w:hideMark/>
          </w:tcPr>
          <w:p w14:paraId="6D9EE052" w14:textId="77777777" w:rsidR="000B6662" w:rsidRPr="000B6662" w:rsidRDefault="000B6662" w:rsidP="000B6662">
            <w:pPr>
              <w:spacing w:line="240" w:lineRule="auto"/>
              <w:rPr>
                <w:sz w:val="22"/>
                <w:szCs w:val="22"/>
              </w:rPr>
            </w:pPr>
            <w:r w:rsidRPr="000B6662">
              <w:rPr>
                <w:sz w:val="22"/>
                <w:szCs w:val="22"/>
              </w:rPr>
              <w:t>0</w:t>
            </w:r>
          </w:p>
        </w:tc>
        <w:tc>
          <w:tcPr>
            <w:tcW w:w="1634" w:type="dxa"/>
            <w:tcBorders>
              <w:bottom w:val="single" w:sz="4" w:space="0" w:color="auto"/>
            </w:tcBorders>
            <w:noWrap/>
            <w:hideMark/>
          </w:tcPr>
          <w:p w14:paraId="0310ADAB" w14:textId="77777777" w:rsidR="000B6662" w:rsidRPr="000B6662" w:rsidRDefault="000B6662" w:rsidP="000B6662">
            <w:pPr>
              <w:spacing w:line="240" w:lineRule="auto"/>
              <w:rPr>
                <w:sz w:val="22"/>
                <w:szCs w:val="22"/>
              </w:rPr>
            </w:pPr>
            <w:r w:rsidRPr="000B6662">
              <w:rPr>
                <w:sz w:val="22"/>
                <w:szCs w:val="22"/>
              </w:rPr>
              <w:t>0</w:t>
            </w:r>
          </w:p>
        </w:tc>
      </w:tr>
      <w:tr w:rsidR="000B6662" w:rsidRPr="000B6662" w14:paraId="754586B5" w14:textId="77777777" w:rsidTr="000B6662">
        <w:trPr>
          <w:divId w:val="424883975"/>
          <w:trHeight w:val="420"/>
        </w:trPr>
        <w:tc>
          <w:tcPr>
            <w:tcW w:w="846" w:type="dxa"/>
            <w:noWrap/>
            <w:hideMark/>
          </w:tcPr>
          <w:p w14:paraId="7166CFF2" w14:textId="77777777" w:rsidR="000B6662" w:rsidRPr="000B6662" w:rsidRDefault="000B6662" w:rsidP="000B6662">
            <w:pPr>
              <w:spacing w:line="240" w:lineRule="auto"/>
              <w:rPr>
                <w:sz w:val="22"/>
                <w:szCs w:val="22"/>
              </w:rPr>
            </w:pPr>
          </w:p>
        </w:tc>
        <w:tc>
          <w:tcPr>
            <w:tcW w:w="1422" w:type="dxa"/>
            <w:tcBorders>
              <w:top w:val="single" w:sz="4" w:space="0" w:color="auto"/>
            </w:tcBorders>
            <w:noWrap/>
            <w:hideMark/>
          </w:tcPr>
          <w:p w14:paraId="10446E81" w14:textId="77777777" w:rsidR="000B6662" w:rsidRPr="000B6662" w:rsidRDefault="000B6662" w:rsidP="000B6662">
            <w:pPr>
              <w:spacing w:line="240" w:lineRule="auto"/>
              <w:rPr>
                <w:sz w:val="22"/>
                <w:szCs w:val="22"/>
              </w:rPr>
            </w:pPr>
            <w:r w:rsidRPr="000B6662">
              <w:rPr>
                <w:sz w:val="22"/>
                <w:szCs w:val="22"/>
              </w:rPr>
              <w:t>Total tests (</w:t>
            </w:r>
            <w:proofErr w:type="spellStart"/>
            <w:r w:rsidRPr="000B6662">
              <w:rPr>
                <w:sz w:val="22"/>
                <w:szCs w:val="22"/>
              </w:rPr>
              <w:t>Pred</w:t>
            </w:r>
            <w:proofErr w:type="spellEnd"/>
            <w:r w:rsidRPr="000B6662">
              <w:rPr>
                <w:sz w:val="22"/>
                <w:szCs w:val="22"/>
              </w:rPr>
              <w:t>+)</w:t>
            </w:r>
          </w:p>
        </w:tc>
        <w:tc>
          <w:tcPr>
            <w:tcW w:w="856" w:type="dxa"/>
            <w:tcBorders>
              <w:top w:val="single" w:sz="4" w:space="0" w:color="auto"/>
            </w:tcBorders>
            <w:noWrap/>
            <w:hideMark/>
          </w:tcPr>
          <w:p w14:paraId="2C4FFA72" w14:textId="77777777" w:rsidR="000B6662" w:rsidRPr="000B6662" w:rsidRDefault="000B6662" w:rsidP="000B6662">
            <w:pPr>
              <w:spacing w:line="240" w:lineRule="auto"/>
              <w:rPr>
                <w:sz w:val="22"/>
                <w:szCs w:val="22"/>
              </w:rPr>
            </w:pPr>
            <w:r w:rsidRPr="000B6662">
              <w:rPr>
                <w:sz w:val="22"/>
                <w:szCs w:val="22"/>
              </w:rPr>
              <w:t>828</w:t>
            </w:r>
          </w:p>
        </w:tc>
        <w:tc>
          <w:tcPr>
            <w:tcW w:w="1123" w:type="dxa"/>
            <w:tcBorders>
              <w:top w:val="single" w:sz="4" w:space="0" w:color="auto"/>
            </w:tcBorders>
            <w:noWrap/>
            <w:hideMark/>
          </w:tcPr>
          <w:p w14:paraId="1347A801" w14:textId="77777777" w:rsidR="000B6662" w:rsidRPr="000B6662" w:rsidRDefault="000B6662" w:rsidP="000B6662">
            <w:pPr>
              <w:spacing w:line="240" w:lineRule="auto"/>
              <w:rPr>
                <w:sz w:val="22"/>
                <w:szCs w:val="22"/>
              </w:rPr>
            </w:pPr>
            <w:r w:rsidRPr="000B6662">
              <w:rPr>
                <w:sz w:val="22"/>
                <w:szCs w:val="22"/>
              </w:rPr>
              <w:t>1680</w:t>
            </w:r>
          </w:p>
        </w:tc>
        <w:tc>
          <w:tcPr>
            <w:tcW w:w="1281" w:type="dxa"/>
            <w:tcBorders>
              <w:top w:val="single" w:sz="4" w:space="0" w:color="auto"/>
            </w:tcBorders>
            <w:noWrap/>
            <w:hideMark/>
          </w:tcPr>
          <w:p w14:paraId="3F04F7DE" w14:textId="77777777" w:rsidR="000B6662" w:rsidRPr="000B6662" w:rsidRDefault="000B6662" w:rsidP="000B6662">
            <w:pPr>
              <w:spacing w:line="240" w:lineRule="auto"/>
              <w:rPr>
                <w:sz w:val="22"/>
                <w:szCs w:val="22"/>
              </w:rPr>
            </w:pPr>
            <w:r w:rsidRPr="000B6662">
              <w:rPr>
                <w:sz w:val="22"/>
                <w:szCs w:val="22"/>
              </w:rPr>
              <w:t>278</w:t>
            </w:r>
          </w:p>
        </w:tc>
        <w:tc>
          <w:tcPr>
            <w:tcW w:w="986" w:type="dxa"/>
            <w:tcBorders>
              <w:top w:val="single" w:sz="4" w:space="0" w:color="auto"/>
            </w:tcBorders>
            <w:noWrap/>
            <w:hideMark/>
          </w:tcPr>
          <w:p w14:paraId="3CA5E0C2" w14:textId="77777777" w:rsidR="000B6662" w:rsidRPr="000B6662" w:rsidRDefault="000B6662" w:rsidP="000B6662">
            <w:pPr>
              <w:spacing w:line="240" w:lineRule="auto"/>
              <w:rPr>
                <w:sz w:val="22"/>
                <w:szCs w:val="22"/>
              </w:rPr>
            </w:pPr>
            <w:r w:rsidRPr="000B6662">
              <w:rPr>
                <w:sz w:val="22"/>
                <w:szCs w:val="22"/>
              </w:rPr>
              <w:t>336</w:t>
            </w:r>
          </w:p>
        </w:tc>
        <w:tc>
          <w:tcPr>
            <w:tcW w:w="1066" w:type="dxa"/>
            <w:tcBorders>
              <w:top w:val="single" w:sz="4" w:space="0" w:color="auto"/>
            </w:tcBorders>
            <w:noWrap/>
            <w:hideMark/>
          </w:tcPr>
          <w:p w14:paraId="42AC358A" w14:textId="77777777" w:rsidR="000B6662" w:rsidRPr="000B6662" w:rsidRDefault="000B6662" w:rsidP="000B6662">
            <w:pPr>
              <w:spacing w:line="240" w:lineRule="auto"/>
              <w:rPr>
                <w:sz w:val="22"/>
                <w:szCs w:val="22"/>
              </w:rPr>
            </w:pPr>
            <w:r w:rsidRPr="000B6662">
              <w:rPr>
                <w:sz w:val="22"/>
                <w:szCs w:val="22"/>
              </w:rPr>
              <w:t>469</w:t>
            </w:r>
          </w:p>
        </w:tc>
        <w:tc>
          <w:tcPr>
            <w:tcW w:w="1634" w:type="dxa"/>
            <w:tcBorders>
              <w:top w:val="single" w:sz="4" w:space="0" w:color="auto"/>
            </w:tcBorders>
            <w:noWrap/>
            <w:hideMark/>
          </w:tcPr>
          <w:p w14:paraId="638EB869" w14:textId="77777777" w:rsidR="000B6662" w:rsidRPr="000B6662" w:rsidRDefault="000B6662" w:rsidP="000B6662">
            <w:pPr>
              <w:spacing w:line="240" w:lineRule="auto"/>
              <w:rPr>
                <w:sz w:val="22"/>
                <w:szCs w:val="22"/>
              </w:rPr>
            </w:pPr>
            <w:r w:rsidRPr="000B6662">
              <w:rPr>
                <w:sz w:val="22"/>
                <w:szCs w:val="22"/>
              </w:rPr>
              <w:t>805</w:t>
            </w:r>
          </w:p>
        </w:tc>
      </w:tr>
    </w:tbl>
    <w:p w14:paraId="71076822" w14:textId="34D7C1CB" w:rsidR="00BC6B3C" w:rsidRDefault="007D2DB3" w:rsidP="002F2CCB">
      <w:r>
        <w:fldChar w:fldCharType="end"/>
      </w:r>
    </w:p>
    <w:p w14:paraId="00014ABF" w14:textId="77777777" w:rsidR="00BC6B3C" w:rsidRDefault="00BC6B3C" w:rsidP="00BC6B3C">
      <w:pPr>
        <w:sectPr w:rsidR="00BC6B3C" w:rsidSect="008977CC">
          <w:pgSz w:w="12240" w:h="15840"/>
          <w:pgMar w:top="1588" w:right="1588" w:bottom="1588" w:left="1440" w:header="720" w:footer="720" w:gutter="0"/>
          <w:lnNumType w:countBy="1" w:restart="continuous"/>
          <w:cols w:space="720"/>
          <w:docGrid w:linePitch="326"/>
        </w:sectPr>
      </w:pPr>
    </w:p>
    <w:p w14:paraId="69046F9E" w14:textId="3E621CE1" w:rsidR="00B80A79" w:rsidRPr="00B80A79" w:rsidRDefault="00B132D6" w:rsidP="00B80A79">
      <w:pPr>
        <w:pStyle w:val="Caption"/>
        <w:keepNext/>
        <w:spacing w:after="0" w:line="480" w:lineRule="auto"/>
      </w:pPr>
      <w:r w:rsidRPr="00581288">
        <w:lastRenderedPageBreak/>
        <w:t xml:space="preserve">Table 4 Evaluation of the impact of proactively reinterpreting IRs in the disclosing test at severe level, compared to the number of IRs that </w:t>
      </w:r>
      <w:r w:rsidR="00C240F9" w:rsidRPr="00581288">
        <w:t>were</w:t>
      </w:r>
      <w:r w:rsidRPr="00581288">
        <w:t xml:space="preserve"> reactors or IRs at the 60-day retest in high-risk </w:t>
      </w:r>
      <w:r w:rsidR="003679A7" w:rsidRPr="00581288">
        <w:t>tests predicted by the</w:t>
      </w:r>
      <w:r w:rsidRPr="00581288">
        <w:t xml:space="preserve"> classification tree analysis on the 2020 testing dataset (Test 2). The “</w:t>
      </w:r>
      <w:r w:rsidR="003679A7" w:rsidRPr="00581288">
        <w:t>Severe reactor IRs</w:t>
      </w:r>
      <w:r w:rsidRPr="00581288">
        <w:t>” column shows the number of IRs that would have been reactors at severe level, if the disclosing test had been reinterpreted</w:t>
      </w:r>
      <w:r w:rsidR="00222C75" w:rsidRPr="00581288">
        <w:t xml:space="preserve">. </w:t>
      </w:r>
      <w:r w:rsidR="00B80A79">
        <w:fldChar w:fldCharType="begin"/>
      </w:r>
      <w:r w:rsidR="00B80A79">
        <w:instrText xml:space="preserve"> LINK Excel.Sheet.12 "Book5" "Sheet1!R1C1:R9C9" \a \f 4 \h </w:instrText>
      </w:r>
      <w:r w:rsidR="001364D9">
        <w:instrText xml:space="preserve"> \* MERGEFORMAT </w:instrText>
      </w:r>
      <w:r w:rsidR="00B80A79">
        <w:fldChar w:fldCharType="separate"/>
      </w:r>
    </w:p>
    <w:p w14:paraId="567F0C9A" w14:textId="77777777" w:rsidR="00350CF4" w:rsidRPr="00581288" w:rsidRDefault="00B80A79" w:rsidP="00C57824">
      <w:r>
        <w:fldChar w:fldCharType="end"/>
      </w:r>
    </w:p>
    <w:tbl>
      <w:tblPr>
        <w:tblW w:w="11199" w:type="dxa"/>
        <w:tblLook w:val="04A0" w:firstRow="1" w:lastRow="0" w:firstColumn="1" w:lastColumn="0" w:noHBand="0" w:noVBand="1"/>
      </w:tblPr>
      <w:tblGrid>
        <w:gridCol w:w="656"/>
        <w:gridCol w:w="1187"/>
        <w:gridCol w:w="1766"/>
        <w:gridCol w:w="142"/>
        <w:gridCol w:w="856"/>
        <w:gridCol w:w="1128"/>
        <w:gridCol w:w="1495"/>
        <w:gridCol w:w="1417"/>
        <w:gridCol w:w="992"/>
        <w:gridCol w:w="1560"/>
      </w:tblGrid>
      <w:tr w:rsidR="00DA1156" w:rsidRPr="007D7FE2" w14:paraId="6C04A456" w14:textId="77777777" w:rsidTr="00C22BD4">
        <w:trPr>
          <w:trHeight w:val="313"/>
        </w:trPr>
        <w:tc>
          <w:tcPr>
            <w:tcW w:w="656" w:type="dxa"/>
            <w:tcBorders>
              <w:bottom w:val="single" w:sz="4" w:space="0" w:color="7F7F7F" w:themeColor="text1" w:themeTint="80"/>
            </w:tcBorders>
            <w:shd w:val="clear" w:color="auto" w:fill="auto"/>
            <w:hideMark/>
          </w:tcPr>
          <w:p w14:paraId="63135339" w14:textId="77777777" w:rsidR="00350CF4" w:rsidRPr="002048EA" w:rsidRDefault="00350CF4" w:rsidP="00C22BD4">
            <w:pPr>
              <w:spacing w:after="0" w:line="240" w:lineRule="auto"/>
              <w:jc w:val="center"/>
              <w:rPr>
                <w:sz w:val="22"/>
              </w:rPr>
            </w:pPr>
            <w:bookmarkStart w:id="19" w:name="_Hlk90487294"/>
            <w:r w:rsidRPr="002048EA">
              <w:rPr>
                <w:sz w:val="22"/>
              </w:rPr>
              <w:t>Year</w:t>
            </w:r>
          </w:p>
        </w:tc>
        <w:tc>
          <w:tcPr>
            <w:tcW w:w="1187" w:type="dxa"/>
            <w:tcBorders>
              <w:bottom w:val="single" w:sz="4" w:space="0" w:color="7F7F7F" w:themeColor="text1" w:themeTint="80"/>
            </w:tcBorders>
            <w:shd w:val="clear" w:color="auto" w:fill="auto"/>
            <w:hideMark/>
          </w:tcPr>
          <w:p w14:paraId="776CA565" w14:textId="77777777" w:rsidR="00350CF4" w:rsidRPr="002048EA" w:rsidRDefault="00350CF4" w:rsidP="00C22BD4">
            <w:pPr>
              <w:spacing w:after="0" w:line="240" w:lineRule="auto"/>
              <w:jc w:val="center"/>
              <w:rPr>
                <w:sz w:val="22"/>
              </w:rPr>
            </w:pPr>
            <w:r w:rsidRPr="002048EA">
              <w:rPr>
                <w:sz w:val="22"/>
              </w:rPr>
              <w:t>Risk area</w:t>
            </w:r>
          </w:p>
        </w:tc>
        <w:tc>
          <w:tcPr>
            <w:tcW w:w="1766" w:type="dxa"/>
            <w:tcBorders>
              <w:bottom w:val="single" w:sz="4" w:space="0" w:color="7F7F7F" w:themeColor="text1" w:themeTint="80"/>
            </w:tcBorders>
            <w:shd w:val="clear" w:color="auto" w:fill="auto"/>
            <w:hideMark/>
          </w:tcPr>
          <w:p w14:paraId="1E11FEEB" w14:textId="5EFA2617" w:rsidR="00350CF4" w:rsidRPr="002048EA" w:rsidRDefault="00350CF4" w:rsidP="00C22BD4">
            <w:pPr>
              <w:spacing w:after="0" w:line="240" w:lineRule="auto"/>
              <w:jc w:val="center"/>
              <w:rPr>
                <w:sz w:val="22"/>
              </w:rPr>
            </w:pPr>
            <w:r w:rsidRPr="002048EA">
              <w:rPr>
                <w:sz w:val="22"/>
              </w:rPr>
              <w:t xml:space="preserve">Any </w:t>
            </w:r>
            <w:r w:rsidR="007D7FE2" w:rsidRPr="002048EA">
              <w:rPr>
                <w:sz w:val="22"/>
              </w:rPr>
              <w:t>r</w:t>
            </w:r>
            <w:r w:rsidRPr="002048EA">
              <w:rPr>
                <w:sz w:val="22"/>
              </w:rPr>
              <w:t>eactor or IR at retest</w:t>
            </w:r>
          </w:p>
        </w:tc>
        <w:tc>
          <w:tcPr>
            <w:tcW w:w="998" w:type="dxa"/>
            <w:gridSpan w:val="2"/>
            <w:tcBorders>
              <w:bottom w:val="single" w:sz="4" w:space="0" w:color="7F7F7F" w:themeColor="text1" w:themeTint="80"/>
            </w:tcBorders>
            <w:shd w:val="clear" w:color="auto" w:fill="auto"/>
            <w:hideMark/>
          </w:tcPr>
          <w:p w14:paraId="336D2E27" w14:textId="55DA4EA2" w:rsidR="00350CF4" w:rsidRPr="002048EA" w:rsidRDefault="00350CF4" w:rsidP="00C22BD4">
            <w:pPr>
              <w:spacing w:after="0" w:line="240" w:lineRule="auto"/>
              <w:jc w:val="center"/>
              <w:rPr>
                <w:sz w:val="22"/>
              </w:rPr>
            </w:pPr>
            <w:r w:rsidRPr="002048EA">
              <w:rPr>
                <w:sz w:val="22"/>
              </w:rPr>
              <w:t xml:space="preserve">Total </w:t>
            </w:r>
            <w:r w:rsidR="007D7FE2" w:rsidRPr="002048EA">
              <w:rPr>
                <w:sz w:val="22"/>
              </w:rPr>
              <w:t>t</w:t>
            </w:r>
            <w:r w:rsidRPr="002048EA">
              <w:rPr>
                <w:sz w:val="22"/>
              </w:rPr>
              <w:t>ests</w:t>
            </w:r>
          </w:p>
        </w:tc>
        <w:tc>
          <w:tcPr>
            <w:tcW w:w="1128" w:type="dxa"/>
            <w:tcBorders>
              <w:bottom w:val="single" w:sz="4" w:space="0" w:color="7F7F7F" w:themeColor="text1" w:themeTint="80"/>
            </w:tcBorders>
            <w:shd w:val="clear" w:color="auto" w:fill="auto"/>
            <w:hideMark/>
          </w:tcPr>
          <w:p w14:paraId="7E904B28" w14:textId="77777777" w:rsidR="00350CF4" w:rsidRPr="002048EA" w:rsidRDefault="00350CF4" w:rsidP="00C22BD4">
            <w:pPr>
              <w:spacing w:after="0" w:line="240" w:lineRule="auto"/>
              <w:jc w:val="center"/>
              <w:rPr>
                <w:sz w:val="22"/>
              </w:rPr>
            </w:pPr>
            <w:r w:rsidRPr="002048EA">
              <w:rPr>
                <w:sz w:val="22"/>
              </w:rPr>
              <w:t>Total IRs disclosed</w:t>
            </w:r>
          </w:p>
        </w:tc>
        <w:tc>
          <w:tcPr>
            <w:tcW w:w="1495" w:type="dxa"/>
            <w:tcBorders>
              <w:bottom w:val="single" w:sz="4" w:space="0" w:color="7F7F7F" w:themeColor="text1" w:themeTint="80"/>
            </w:tcBorders>
            <w:shd w:val="clear" w:color="auto" w:fill="auto"/>
            <w:hideMark/>
          </w:tcPr>
          <w:p w14:paraId="00A03831" w14:textId="17954A50" w:rsidR="00350CF4" w:rsidRPr="002048EA" w:rsidRDefault="007D7FE2" w:rsidP="00C22BD4">
            <w:pPr>
              <w:spacing w:after="0" w:line="240" w:lineRule="auto"/>
              <w:jc w:val="center"/>
              <w:rPr>
                <w:sz w:val="22"/>
              </w:rPr>
            </w:pPr>
            <w:r w:rsidRPr="002048EA">
              <w:rPr>
                <w:sz w:val="22"/>
              </w:rPr>
              <w:t>Severe reactor</w:t>
            </w:r>
            <w:r w:rsidR="00350CF4" w:rsidRPr="002048EA">
              <w:rPr>
                <w:sz w:val="22"/>
              </w:rPr>
              <w:t xml:space="preserve"> IRs</w:t>
            </w:r>
            <w:r w:rsidRPr="002048EA">
              <w:rPr>
                <w:sz w:val="22"/>
              </w:rPr>
              <w:t xml:space="preserve"> (%)</w:t>
            </w:r>
          </w:p>
        </w:tc>
        <w:tc>
          <w:tcPr>
            <w:tcW w:w="1417" w:type="dxa"/>
            <w:tcBorders>
              <w:bottom w:val="single" w:sz="4" w:space="0" w:color="7F7F7F" w:themeColor="text1" w:themeTint="80"/>
            </w:tcBorders>
            <w:shd w:val="clear" w:color="auto" w:fill="auto"/>
            <w:hideMark/>
          </w:tcPr>
          <w:p w14:paraId="1D98709E" w14:textId="6B62B026" w:rsidR="00350CF4" w:rsidRPr="002048EA" w:rsidRDefault="00350CF4" w:rsidP="00C22BD4">
            <w:pPr>
              <w:spacing w:after="0" w:line="240" w:lineRule="auto"/>
              <w:jc w:val="center"/>
              <w:rPr>
                <w:sz w:val="22"/>
              </w:rPr>
            </w:pPr>
            <w:r w:rsidRPr="002048EA">
              <w:rPr>
                <w:sz w:val="22"/>
              </w:rPr>
              <w:t xml:space="preserve">Retest </w:t>
            </w:r>
            <w:r w:rsidR="007D7FE2" w:rsidRPr="002048EA">
              <w:rPr>
                <w:sz w:val="22"/>
              </w:rPr>
              <w:t>r</w:t>
            </w:r>
            <w:r w:rsidRPr="002048EA">
              <w:rPr>
                <w:sz w:val="22"/>
              </w:rPr>
              <w:t>eactors</w:t>
            </w:r>
            <w:r w:rsidR="007D7FE2" w:rsidRPr="002048EA">
              <w:rPr>
                <w:sz w:val="22"/>
              </w:rPr>
              <w:t xml:space="preserve"> (%)</w:t>
            </w:r>
          </w:p>
        </w:tc>
        <w:tc>
          <w:tcPr>
            <w:tcW w:w="992" w:type="dxa"/>
            <w:tcBorders>
              <w:bottom w:val="single" w:sz="4" w:space="0" w:color="7F7F7F" w:themeColor="text1" w:themeTint="80"/>
            </w:tcBorders>
            <w:shd w:val="clear" w:color="auto" w:fill="auto"/>
            <w:hideMark/>
          </w:tcPr>
          <w:p w14:paraId="7C251571" w14:textId="2A071E33" w:rsidR="00350CF4" w:rsidRPr="002048EA" w:rsidRDefault="00350CF4" w:rsidP="00C22BD4">
            <w:pPr>
              <w:spacing w:after="0" w:line="240" w:lineRule="auto"/>
              <w:jc w:val="center"/>
              <w:rPr>
                <w:sz w:val="22"/>
              </w:rPr>
            </w:pPr>
            <w:r w:rsidRPr="002048EA">
              <w:rPr>
                <w:sz w:val="22"/>
              </w:rPr>
              <w:t>Retest IRs</w:t>
            </w:r>
            <w:r w:rsidR="007D7FE2" w:rsidRPr="002048EA">
              <w:rPr>
                <w:sz w:val="22"/>
              </w:rPr>
              <w:t xml:space="preserve"> (%)</w:t>
            </w:r>
          </w:p>
        </w:tc>
        <w:tc>
          <w:tcPr>
            <w:tcW w:w="1560" w:type="dxa"/>
            <w:tcBorders>
              <w:bottom w:val="single" w:sz="4" w:space="0" w:color="7F7F7F" w:themeColor="text1" w:themeTint="80"/>
            </w:tcBorders>
            <w:shd w:val="clear" w:color="auto" w:fill="auto"/>
            <w:hideMark/>
          </w:tcPr>
          <w:p w14:paraId="35B496A9" w14:textId="6AA832B0" w:rsidR="00350CF4" w:rsidRPr="002048EA" w:rsidRDefault="00350CF4" w:rsidP="00C22BD4">
            <w:pPr>
              <w:spacing w:after="0" w:line="240" w:lineRule="auto"/>
              <w:jc w:val="center"/>
              <w:rPr>
                <w:sz w:val="22"/>
              </w:rPr>
            </w:pPr>
            <w:r w:rsidRPr="002048EA">
              <w:rPr>
                <w:sz w:val="22"/>
              </w:rPr>
              <w:t xml:space="preserve">Retest </w:t>
            </w:r>
            <w:r w:rsidR="007D7FE2" w:rsidRPr="002048EA">
              <w:rPr>
                <w:sz w:val="22"/>
              </w:rPr>
              <w:t>r</w:t>
            </w:r>
            <w:r w:rsidRPr="002048EA">
              <w:rPr>
                <w:sz w:val="22"/>
              </w:rPr>
              <w:t>eactors or IRs</w:t>
            </w:r>
            <w:r w:rsidR="007D7FE2" w:rsidRPr="002048EA">
              <w:rPr>
                <w:sz w:val="22"/>
              </w:rPr>
              <w:t xml:space="preserve"> (%)</w:t>
            </w:r>
          </w:p>
        </w:tc>
      </w:tr>
      <w:tr w:rsidR="00DA1156" w:rsidRPr="007D7FE2" w14:paraId="464F596C" w14:textId="77777777" w:rsidTr="00C22BD4">
        <w:trPr>
          <w:trHeight w:val="420"/>
        </w:trPr>
        <w:tc>
          <w:tcPr>
            <w:tcW w:w="656" w:type="dxa"/>
            <w:tcBorders>
              <w:top w:val="single" w:sz="4" w:space="0" w:color="7F7F7F" w:themeColor="text1" w:themeTint="80"/>
            </w:tcBorders>
            <w:shd w:val="clear" w:color="auto" w:fill="auto"/>
            <w:noWrap/>
            <w:hideMark/>
          </w:tcPr>
          <w:p w14:paraId="09217A5F" w14:textId="77777777" w:rsidR="00350CF4" w:rsidRPr="002048EA" w:rsidRDefault="00350CF4" w:rsidP="00C22BD4">
            <w:pPr>
              <w:spacing w:after="0" w:line="240" w:lineRule="auto"/>
              <w:jc w:val="center"/>
              <w:rPr>
                <w:sz w:val="22"/>
              </w:rPr>
            </w:pPr>
            <w:bookmarkStart w:id="20" w:name="_Hlk89191168"/>
            <w:bookmarkEnd w:id="19"/>
            <w:r w:rsidRPr="002048EA">
              <w:rPr>
                <w:sz w:val="22"/>
              </w:rPr>
              <w:t>2020</w:t>
            </w:r>
          </w:p>
        </w:tc>
        <w:tc>
          <w:tcPr>
            <w:tcW w:w="1187" w:type="dxa"/>
            <w:tcBorders>
              <w:top w:val="single" w:sz="4" w:space="0" w:color="7F7F7F" w:themeColor="text1" w:themeTint="80"/>
            </w:tcBorders>
            <w:shd w:val="clear" w:color="auto" w:fill="auto"/>
            <w:noWrap/>
            <w:hideMark/>
          </w:tcPr>
          <w:p w14:paraId="64603D31" w14:textId="77777777" w:rsidR="00350CF4" w:rsidRPr="002048EA" w:rsidRDefault="00350CF4" w:rsidP="00C22BD4">
            <w:pPr>
              <w:spacing w:after="0" w:line="240" w:lineRule="auto"/>
              <w:jc w:val="center"/>
              <w:rPr>
                <w:sz w:val="22"/>
              </w:rPr>
            </w:pPr>
            <w:r w:rsidRPr="002048EA">
              <w:rPr>
                <w:sz w:val="22"/>
              </w:rPr>
              <w:t>HRA</w:t>
            </w:r>
          </w:p>
        </w:tc>
        <w:tc>
          <w:tcPr>
            <w:tcW w:w="1908" w:type="dxa"/>
            <w:gridSpan w:val="2"/>
            <w:tcBorders>
              <w:top w:val="single" w:sz="4" w:space="0" w:color="7F7F7F" w:themeColor="text1" w:themeTint="80"/>
            </w:tcBorders>
            <w:shd w:val="clear" w:color="auto" w:fill="auto"/>
            <w:noWrap/>
            <w:hideMark/>
          </w:tcPr>
          <w:p w14:paraId="5B1860DC" w14:textId="77777777" w:rsidR="00350CF4" w:rsidRPr="002048EA" w:rsidRDefault="00350CF4" w:rsidP="00C22BD4">
            <w:pPr>
              <w:spacing w:after="0" w:line="240" w:lineRule="auto"/>
              <w:jc w:val="center"/>
              <w:rPr>
                <w:sz w:val="22"/>
              </w:rPr>
            </w:pPr>
            <w:r w:rsidRPr="002048EA">
              <w:rPr>
                <w:sz w:val="22"/>
              </w:rPr>
              <w:t>Yes</w:t>
            </w:r>
          </w:p>
        </w:tc>
        <w:tc>
          <w:tcPr>
            <w:tcW w:w="856" w:type="dxa"/>
            <w:tcBorders>
              <w:top w:val="single" w:sz="4" w:space="0" w:color="7F7F7F" w:themeColor="text1" w:themeTint="80"/>
            </w:tcBorders>
            <w:shd w:val="clear" w:color="auto" w:fill="auto"/>
            <w:noWrap/>
            <w:hideMark/>
          </w:tcPr>
          <w:p w14:paraId="5148AC84" w14:textId="54FAC8F7" w:rsidR="00350CF4" w:rsidRPr="002048EA" w:rsidRDefault="00350CF4" w:rsidP="00C22BD4">
            <w:pPr>
              <w:spacing w:after="0" w:line="240" w:lineRule="auto"/>
              <w:jc w:val="center"/>
              <w:rPr>
                <w:sz w:val="22"/>
              </w:rPr>
            </w:pPr>
            <w:r w:rsidRPr="00350CF4">
              <w:rPr>
                <w:rFonts w:eastAsia="Times New Roman" w:cs="Times New Roman"/>
                <w:sz w:val="22"/>
                <w:szCs w:val="22"/>
                <w:lang w:eastAsia="en-GB"/>
              </w:rPr>
              <w:t>187</w:t>
            </w:r>
          </w:p>
        </w:tc>
        <w:tc>
          <w:tcPr>
            <w:tcW w:w="1128" w:type="dxa"/>
            <w:tcBorders>
              <w:top w:val="single" w:sz="4" w:space="0" w:color="7F7F7F" w:themeColor="text1" w:themeTint="80"/>
            </w:tcBorders>
            <w:shd w:val="clear" w:color="auto" w:fill="auto"/>
            <w:noWrap/>
            <w:hideMark/>
          </w:tcPr>
          <w:p w14:paraId="6C0F2090" w14:textId="33FC94C8" w:rsidR="00350CF4" w:rsidRPr="002048EA" w:rsidRDefault="00350CF4" w:rsidP="00C22BD4">
            <w:pPr>
              <w:spacing w:after="0" w:line="240" w:lineRule="auto"/>
              <w:jc w:val="center"/>
              <w:rPr>
                <w:sz w:val="22"/>
              </w:rPr>
            </w:pPr>
            <w:r w:rsidRPr="00350CF4">
              <w:rPr>
                <w:rFonts w:eastAsia="Times New Roman" w:cs="Times New Roman"/>
                <w:sz w:val="22"/>
                <w:szCs w:val="22"/>
                <w:lang w:eastAsia="en-GB"/>
              </w:rPr>
              <w:t>332</w:t>
            </w:r>
          </w:p>
        </w:tc>
        <w:tc>
          <w:tcPr>
            <w:tcW w:w="1495" w:type="dxa"/>
            <w:tcBorders>
              <w:top w:val="single" w:sz="4" w:space="0" w:color="7F7F7F" w:themeColor="text1" w:themeTint="80"/>
            </w:tcBorders>
            <w:shd w:val="clear" w:color="auto" w:fill="auto"/>
            <w:noWrap/>
            <w:hideMark/>
          </w:tcPr>
          <w:p w14:paraId="1B6121A3" w14:textId="2F4F809D" w:rsidR="00350CF4" w:rsidRPr="002048EA" w:rsidRDefault="00350CF4" w:rsidP="00C22BD4">
            <w:pPr>
              <w:spacing w:after="0" w:line="240" w:lineRule="auto"/>
              <w:jc w:val="center"/>
              <w:rPr>
                <w:sz w:val="22"/>
              </w:rPr>
            </w:pPr>
            <w:r w:rsidRPr="002048EA">
              <w:rPr>
                <w:sz w:val="22"/>
              </w:rPr>
              <w:t>33</w:t>
            </w:r>
          </w:p>
        </w:tc>
        <w:tc>
          <w:tcPr>
            <w:tcW w:w="1417" w:type="dxa"/>
            <w:tcBorders>
              <w:top w:val="single" w:sz="4" w:space="0" w:color="7F7F7F" w:themeColor="text1" w:themeTint="80"/>
            </w:tcBorders>
            <w:shd w:val="clear" w:color="auto" w:fill="auto"/>
            <w:noWrap/>
            <w:hideMark/>
          </w:tcPr>
          <w:p w14:paraId="78541E49" w14:textId="3B4D4FC6" w:rsidR="00350CF4" w:rsidRPr="002048EA" w:rsidRDefault="00350CF4" w:rsidP="00C22BD4">
            <w:pPr>
              <w:spacing w:after="0" w:line="240" w:lineRule="auto"/>
              <w:jc w:val="center"/>
              <w:rPr>
                <w:sz w:val="22"/>
              </w:rPr>
            </w:pPr>
            <w:r w:rsidRPr="00350CF4">
              <w:rPr>
                <w:rFonts w:eastAsia="Times New Roman" w:cs="Times New Roman"/>
                <w:sz w:val="22"/>
                <w:szCs w:val="22"/>
                <w:lang w:eastAsia="en-GB"/>
              </w:rPr>
              <w:t>104</w:t>
            </w:r>
          </w:p>
        </w:tc>
        <w:tc>
          <w:tcPr>
            <w:tcW w:w="992" w:type="dxa"/>
            <w:tcBorders>
              <w:top w:val="single" w:sz="4" w:space="0" w:color="7F7F7F" w:themeColor="text1" w:themeTint="80"/>
            </w:tcBorders>
            <w:shd w:val="clear" w:color="auto" w:fill="auto"/>
            <w:noWrap/>
            <w:hideMark/>
          </w:tcPr>
          <w:p w14:paraId="4E1ADFF0" w14:textId="27C112DC" w:rsidR="00350CF4" w:rsidRPr="002048EA" w:rsidRDefault="00350CF4" w:rsidP="00C22BD4">
            <w:pPr>
              <w:spacing w:after="0" w:line="240" w:lineRule="auto"/>
              <w:jc w:val="center"/>
              <w:rPr>
                <w:sz w:val="22"/>
              </w:rPr>
            </w:pPr>
            <w:r w:rsidRPr="00350CF4">
              <w:rPr>
                <w:rFonts w:eastAsia="Times New Roman" w:cs="Times New Roman"/>
                <w:sz w:val="22"/>
                <w:szCs w:val="22"/>
                <w:lang w:eastAsia="en-GB"/>
              </w:rPr>
              <w:t>161</w:t>
            </w:r>
          </w:p>
        </w:tc>
        <w:tc>
          <w:tcPr>
            <w:tcW w:w="1560" w:type="dxa"/>
            <w:tcBorders>
              <w:top w:val="single" w:sz="4" w:space="0" w:color="7F7F7F" w:themeColor="text1" w:themeTint="80"/>
            </w:tcBorders>
            <w:shd w:val="clear" w:color="auto" w:fill="auto"/>
            <w:noWrap/>
            <w:hideMark/>
          </w:tcPr>
          <w:p w14:paraId="780DD91E" w14:textId="48D96269" w:rsidR="00350CF4" w:rsidRPr="002048EA" w:rsidRDefault="00350CF4" w:rsidP="00C22BD4">
            <w:pPr>
              <w:spacing w:after="0" w:line="240" w:lineRule="auto"/>
              <w:jc w:val="center"/>
              <w:rPr>
                <w:sz w:val="22"/>
              </w:rPr>
            </w:pPr>
            <w:r w:rsidRPr="00350CF4">
              <w:rPr>
                <w:rFonts w:eastAsia="Times New Roman" w:cs="Times New Roman"/>
                <w:sz w:val="22"/>
                <w:szCs w:val="22"/>
                <w:lang w:eastAsia="en-GB"/>
              </w:rPr>
              <w:t>265</w:t>
            </w:r>
          </w:p>
        </w:tc>
      </w:tr>
      <w:tr w:rsidR="00DA1156" w:rsidRPr="007D7FE2" w14:paraId="0C99BD34" w14:textId="77777777" w:rsidTr="00C22BD4">
        <w:trPr>
          <w:trHeight w:val="420"/>
        </w:trPr>
        <w:tc>
          <w:tcPr>
            <w:tcW w:w="656" w:type="dxa"/>
            <w:shd w:val="clear" w:color="auto" w:fill="auto"/>
            <w:noWrap/>
            <w:hideMark/>
          </w:tcPr>
          <w:p w14:paraId="6D265215" w14:textId="77777777" w:rsidR="00350CF4" w:rsidRPr="002048EA" w:rsidRDefault="00350CF4" w:rsidP="00C22BD4">
            <w:pPr>
              <w:spacing w:after="0" w:line="240" w:lineRule="auto"/>
              <w:jc w:val="center"/>
              <w:rPr>
                <w:sz w:val="22"/>
              </w:rPr>
            </w:pPr>
            <w:r w:rsidRPr="002048EA">
              <w:rPr>
                <w:sz w:val="22"/>
              </w:rPr>
              <w:t>2020</w:t>
            </w:r>
          </w:p>
        </w:tc>
        <w:tc>
          <w:tcPr>
            <w:tcW w:w="1187" w:type="dxa"/>
            <w:shd w:val="clear" w:color="auto" w:fill="auto"/>
            <w:noWrap/>
            <w:hideMark/>
          </w:tcPr>
          <w:p w14:paraId="7227E543" w14:textId="77777777" w:rsidR="00350CF4" w:rsidRPr="002048EA" w:rsidRDefault="00350CF4" w:rsidP="00C22BD4">
            <w:pPr>
              <w:spacing w:after="0" w:line="240" w:lineRule="auto"/>
              <w:jc w:val="center"/>
              <w:rPr>
                <w:sz w:val="22"/>
              </w:rPr>
            </w:pPr>
            <w:r w:rsidRPr="002048EA">
              <w:rPr>
                <w:sz w:val="22"/>
              </w:rPr>
              <w:t>HRA</w:t>
            </w:r>
          </w:p>
        </w:tc>
        <w:tc>
          <w:tcPr>
            <w:tcW w:w="1908" w:type="dxa"/>
            <w:gridSpan w:val="2"/>
            <w:shd w:val="clear" w:color="auto" w:fill="auto"/>
            <w:noWrap/>
            <w:hideMark/>
          </w:tcPr>
          <w:p w14:paraId="7F93426F" w14:textId="77777777" w:rsidR="00350CF4" w:rsidRPr="002048EA" w:rsidRDefault="00350CF4" w:rsidP="00C22BD4">
            <w:pPr>
              <w:spacing w:after="0" w:line="240" w:lineRule="auto"/>
              <w:jc w:val="center"/>
              <w:rPr>
                <w:sz w:val="22"/>
              </w:rPr>
            </w:pPr>
            <w:r w:rsidRPr="002048EA">
              <w:rPr>
                <w:sz w:val="22"/>
              </w:rPr>
              <w:t>No</w:t>
            </w:r>
          </w:p>
        </w:tc>
        <w:tc>
          <w:tcPr>
            <w:tcW w:w="856" w:type="dxa"/>
            <w:shd w:val="clear" w:color="auto" w:fill="auto"/>
            <w:noWrap/>
            <w:hideMark/>
          </w:tcPr>
          <w:p w14:paraId="4F688958" w14:textId="77777777" w:rsidR="00350CF4" w:rsidRPr="002048EA" w:rsidRDefault="00350CF4" w:rsidP="00C22BD4">
            <w:pPr>
              <w:spacing w:after="0" w:line="240" w:lineRule="auto"/>
              <w:jc w:val="center"/>
              <w:rPr>
                <w:sz w:val="22"/>
              </w:rPr>
            </w:pPr>
            <w:r w:rsidRPr="002048EA">
              <w:rPr>
                <w:sz w:val="22"/>
              </w:rPr>
              <w:t>51</w:t>
            </w:r>
          </w:p>
        </w:tc>
        <w:tc>
          <w:tcPr>
            <w:tcW w:w="1128" w:type="dxa"/>
            <w:shd w:val="clear" w:color="auto" w:fill="auto"/>
            <w:noWrap/>
            <w:hideMark/>
          </w:tcPr>
          <w:p w14:paraId="7869D9E5" w14:textId="77777777" w:rsidR="00350CF4" w:rsidRPr="002048EA" w:rsidRDefault="00350CF4" w:rsidP="00C22BD4">
            <w:pPr>
              <w:spacing w:after="0" w:line="240" w:lineRule="auto"/>
              <w:jc w:val="center"/>
              <w:rPr>
                <w:sz w:val="22"/>
              </w:rPr>
            </w:pPr>
            <w:r w:rsidRPr="002048EA">
              <w:rPr>
                <w:sz w:val="22"/>
              </w:rPr>
              <w:t>81</w:t>
            </w:r>
          </w:p>
        </w:tc>
        <w:tc>
          <w:tcPr>
            <w:tcW w:w="1495" w:type="dxa"/>
            <w:shd w:val="clear" w:color="auto" w:fill="auto"/>
            <w:noWrap/>
            <w:hideMark/>
          </w:tcPr>
          <w:p w14:paraId="0FD919BC" w14:textId="6ED78CC5" w:rsidR="00350CF4" w:rsidRPr="002048EA" w:rsidRDefault="00350CF4" w:rsidP="00C22BD4">
            <w:pPr>
              <w:spacing w:after="0" w:line="240" w:lineRule="auto"/>
              <w:jc w:val="center"/>
              <w:rPr>
                <w:sz w:val="22"/>
              </w:rPr>
            </w:pPr>
            <w:r w:rsidRPr="002048EA">
              <w:rPr>
                <w:sz w:val="22"/>
              </w:rPr>
              <w:t>13</w:t>
            </w:r>
          </w:p>
        </w:tc>
        <w:tc>
          <w:tcPr>
            <w:tcW w:w="1417" w:type="dxa"/>
            <w:shd w:val="clear" w:color="auto" w:fill="auto"/>
            <w:noWrap/>
            <w:hideMark/>
          </w:tcPr>
          <w:p w14:paraId="16BCF85F" w14:textId="45A37799" w:rsidR="00350CF4" w:rsidRPr="002048EA" w:rsidRDefault="00350CF4" w:rsidP="00C22BD4">
            <w:pPr>
              <w:spacing w:after="0" w:line="240" w:lineRule="auto"/>
              <w:jc w:val="center"/>
              <w:rPr>
                <w:sz w:val="22"/>
              </w:rPr>
            </w:pPr>
            <w:r w:rsidRPr="002048EA">
              <w:rPr>
                <w:sz w:val="22"/>
              </w:rPr>
              <w:t>0</w:t>
            </w:r>
          </w:p>
        </w:tc>
        <w:tc>
          <w:tcPr>
            <w:tcW w:w="992" w:type="dxa"/>
            <w:shd w:val="clear" w:color="auto" w:fill="auto"/>
            <w:noWrap/>
            <w:hideMark/>
          </w:tcPr>
          <w:p w14:paraId="6A911B64" w14:textId="5809D993" w:rsidR="00350CF4" w:rsidRPr="002048EA" w:rsidRDefault="00350CF4" w:rsidP="00C22BD4">
            <w:pPr>
              <w:spacing w:after="0" w:line="240" w:lineRule="auto"/>
              <w:jc w:val="center"/>
              <w:rPr>
                <w:sz w:val="22"/>
              </w:rPr>
            </w:pPr>
            <w:r w:rsidRPr="002048EA">
              <w:rPr>
                <w:sz w:val="22"/>
              </w:rPr>
              <w:t>0</w:t>
            </w:r>
          </w:p>
        </w:tc>
        <w:tc>
          <w:tcPr>
            <w:tcW w:w="1560" w:type="dxa"/>
            <w:shd w:val="clear" w:color="auto" w:fill="auto"/>
            <w:noWrap/>
            <w:hideMark/>
          </w:tcPr>
          <w:p w14:paraId="5BD4C516" w14:textId="54B1CFEE" w:rsidR="00350CF4" w:rsidRPr="002048EA" w:rsidRDefault="00350CF4" w:rsidP="00C22BD4">
            <w:pPr>
              <w:spacing w:after="0" w:line="240" w:lineRule="auto"/>
              <w:jc w:val="center"/>
              <w:rPr>
                <w:sz w:val="22"/>
              </w:rPr>
            </w:pPr>
            <w:r w:rsidRPr="002048EA">
              <w:rPr>
                <w:sz w:val="22"/>
              </w:rPr>
              <w:t>0</w:t>
            </w:r>
          </w:p>
        </w:tc>
      </w:tr>
      <w:tr w:rsidR="00DA1156" w:rsidRPr="007D7FE2" w14:paraId="1D8D1F56" w14:textId="77777777" w:rsidTr="00C22BD4">
        <w:trPr>
          <w:trHeight w:val="420"/>
        </w:trPr>
        <w:tc>
          <w:tcPr>
            <w:tcW w:w="656" w:type="dxa"/>
            <w:shd w:val="clear" w:color="auto" w:fill="auto"/>
            <w:noWrap/>
            <w:hideMark/>
          </w:tcPr>
          <w:p w14:paraId="00FC3010" w14:textId="77777777" w:rsidR="00350CF4" w:rsidRPr="002048EA" w:rsidRDefault="00350CF4" w:rsidP="00C22BD4">
            <w:pPr>
              <w:spacing w:after="0" w:line="240" w:lineRule="auto"/>
              <w:jc w:val="center"/>
              <w:rPr>
                <w:sz w:val="22"/>
              </w:rPr>
            </w:pPr>
            <w:r w:rsidRPr="002048EA">
              <w:rPr>
                <w:sz w:val="22"/>
              </w:rPr>
              <w:t>2020</w:t>
            </w:r>
          </w:p>
        </w:tc>
        <w:tc>
          <w:tcPr>
            <w:tcW w:w="1187" w:type="dxa"/>
            <w:shd w:val="clear" w:color="auto" w:fill="auto"/>
            <w:noWrap/>
            <w:hideMark/>
          </w:tcPr>
          <w:p w14:paraId="65CC83D1" w14:textId="77777777" w:rsidR="00350CF4" w:rsidRPr="002048EA" w:rsidRDefault="00350CF4" w:rsidP="00C22BD4">
            <w:pPr>
              <w:spacing w:after="0" w:line="240" w:lineRule="auto"/>
              <w:jc w:val="center"/>
              <w:rPr>
                <w:sz w:val="22"/>
              </w:rPr>
            </w:pPr>
            <w:r w:rsidRPr="002048EA">
              <w:rPr>
                <w:sz w:val="22"/>
              </w:rPr>
              <w:t>EA</w:t>
            </w:r>
          </w:p>
        </w:tc>
        <w:tc>
          <w:tcPr>
            <w:tcW w:w="1908" w:type="dxa"/>
            <w:gridSpan w:val="2"/>
            <w:shd w:val="clear" w:color="auto" w:fill="auto"/>
            <w:noWrap/>
            <w:hideMark/>
          </w:tcPr>
          <w:p w14:paraId="71E9D6FE" w14:textId="77777777" w:rsidR="00350CF4" w:rsidRPr="002048EA" w:rsidRDefault="00350CF4" w:rsidP="00C22BD4">
            <w:pPr>
              <w:spacing w:after="0" w:line="240" w:lineRule="auto"/>
              <w:jc w:val="center"/>
              <w:rPr>
                <w:sz w:val="22"/>
              </w:rPr>
            </w:pPr>
            <w:r w:rsidRPr="002048EA">
              <w:rPr>
                <w:sz w:val="22"/>
              </w:rPr>
              <w:t>Yes</w:t>
            </w:r>
          </w:p>
        </w:tc>
        <w:tc>
          <w:tcPr>
            <w:tcW w:w="856" w:type="dxa"/>
            <w:shd w:val="clear" w:color="auto" w:fill="auto"/>
            <w:noWrap/>
            <w:hideMark/>
          </w:tcPr>
          <w:p w14:paraId="32E9D36C" w14:textId="4482CCBB" w:rsidR="00350CF4" w:rsidRPr="002048EA" w:rsidRDefault="00350CF4" w:rsidP="00C22BD4">
            <w:pPr>
              <w:spacing w:after="0" w:line="240" w:lineRule="auto"/>
              <w:jc w:val="center"/>
              <w:rPr>
                <w:sz w:val="22"/>
              </w:rPr>
            </w:pPr>
            <w:r w:rsidRPr="00350CF4">
              <w:rPr>
                <w:rFonts w:eastAsia="Times New Roman" w:cs="Times New Roman"/>
                <w:sz w:val="22"/>
                <w:szCs w:val="22"/>
                <w:lang w:eastAsia="en-GB"/>
              </w:rPr>
              <w:t>54</w:t>
            </w:r>
          </w:p>
        </w:tc>
        <w:tc>
          <w:tcPr>
            <w:tcW w:w="1128" w:type="dxa"/>
            <w:shd w:val="clear" w:color="auto" w:fill="auto"/>
            <w:noWrap/>
            <w:hideMark/>
          </w:tcPr>
          <w:p w14:paraId="4F60A788" w14:textId="68F4F1A8" w:rsidR="00350CF4" w:rsidRPr="002048EA" w:rsidRDefault="00350CF4" w:rsidP="00C22BD4">
            <w:pPr>
              <w:spacing w:after="0" w:line="240" w:lineRule="auto"/>
              <w:jc w:val="center"/>
              <w:rPr>
                <w:sz w:val="22"/>
              </w:rPr>
            </w:pPr>
            <w:r w:rsidRPr="00350CF4">
              <w:rPr>
                <w:rFonts w:eastAsia="Times New Roman" w:cs="Times New Roman"/>
                <w:sz w:val="22"/>
                <w:szCs w:val="22"/>
                <w:lang w:eastAsia="en-GB"/>
              </w:rPr>
              <w:t>72</w:t>
            </w:r>
          </w:p>
        </w:tc>
        <w:tc>
          <w:tcPr>
            <w:tcW w:w="1495" w:type="dxa"/>
            <w:shd w:val="clear" w:color="auto" w:fill="auto"/>
            <w:noWrap/>
            <w:hideMark/>
          </w:tcPr>
          <w:p w14:paraId="4A07E951" w14:textId="569C8B18" w:rsidR="00350CF4" w:rsidRPr="002048EA" w:rsidRDefault="00350CF4" w:rsidP="00C22BD4">
            <w:pPr>
              <w:spacing w:after="0" w:line="240" w:lineRule="auto"/>
              <w:jc w:val="center"/>
              <w:rPr>
                <w:sz w:val="22"/>
              </w:rPr>
            </w:pPr>
            <w:r w:rsidRPr="002048EA">
              <w:rPr>
                <w:sz w:val="22"/>
              </w:rPr>
              <w:t>4</w:t>
            </w:r>
          </w:p>
        </w:tc>
        <w:tc>
          <w:tcPr>
            <w:tcW w:w="1417" w:type="dxa"/>
            <w:shd w:val="clear" w:color="auto" w:fill="auto"/>
            <w:noWrap/>
            <w:hideMark/>
          </w:tcPr>
          <w:p w14:paraId="2C8EAB42" w14:textId="1376BE08" w:rsidR="00350CF4" w:rsidRPr="002048EA" w:rsidRDefault="00350CF4" w:rsidP="00C22BD4">
            <w:pPr>
              <w:spacing w:after="0" w:line="240" w:lineRule="auto"/>
              <w:jc w:val="center"/>
              <w:rPr>
                <w:sz w:val="22"/>
              </w:rPr>
            </w:pPr>
            <w:r w:rsidRPr="00350CF4">
              <w:rPr>
                <w:rFonts w:eastAsia="Times New Roman" w:cs="Times New Roman"/>
                <w:sz w:val="22"/>
                <w:szCs w:val="22"/>
                <w:lang w:eastAsia="en-GB"/>
              </w:rPr>
              <w:t>24</w:t>
            </w:r>
          </w:p>
        </w:tc>
        <w:tc>
          <w:tcPr>
            <w:tcW w:w="992" w:type="dxa"/>
            <w:shd w:val="clear" w:color="auto" w:fill="auto"/>
            <w:noWrap/>
            <w:hideMark/>
          </w:tcPr>
          <w:p w14:paraId="784CCCDA" w14:textId="04AAE724" w:rsidR="00350CF4" w:rsidRPr="002048EA" w:rsidRDefault="00350CF4" w:rsidP="00C22BD4">
            <w:pPr>
              <w:spacing w:after="0" w:line="240" w:lineRule="auto"/>
              <w:jc w:val="center"/>
              <w:rPr>
                <w:sz w:val="22"/>
              </w:rPr>
            </w:pPr>
            <w:r w:rsidRPr="00350CF4">
              <w:rPr>
                <w:rFonts w:eastAsia="Times New Roman" w:cs="Times New Roman"/>
                <w:sz w:val="22"/>
                <w:szCs w:val="22"/>
                <w:lang w:eastAsia="en-GB"/>
              </w:rPr>
              <w:t>39</w:t>
            </w:r>
          </w:p>
        </w:tc>
        <w:tc>
          <w:tcPr>
            <w:tcW w:w="1560" w:type="dxa"/>
            <w:shd w:val="clear" w:color="auto" w:fill="auto"/>
            <w:noWrap/>
            <w:hideMark/>
          </w:tcPr>
          <w:p w14:paraId="355BCB25" w14:textId="33F0CB25" w:rsidR="00350CF4" w:rsidRPr="002048EA" w:rsidRDefault="00350CF4" w:rsidP="00C22BD4">
            <w:pPr>
              <w:spacing w:after="0" w:line="240" w:lineRule="auto"/>
              <w:jc w:val="center"/>
              <w:rPr>
                <w:sz w:val="22"/>
              </w:rPr>
            </w:pPr>
            <w:r w:rsidRPr="00350CF4">
              <w:rPr>
                <w:rFonts w:eastAsia="Times New Roman" w:cs="Times New Roman"/>
                <w:sz w:val="22"/>
                <w:szCs w:val="22"/>
                <w:lang w:eastAsia="en-GB"/>
              </w:rPr>
              <w:t>63</w:t>
            </w:r>
          </w:p>
        </w:tc>
      </w:tr>
      <w:tr w:rsidR="00DA1156" w:rsidRPr="007D7FE2" w14:paraId="5C7A91F6" w14:textId="77777777" w:rsidTr="00C22BD4">
        <w:trPr>
          <w:trHeight w:val="420"/>
        </w:trPr>
        <w:tc>
          <w:tcPr>
            <w:tcW w:w="656" w:type="dxa"/>
            <w:shd w:val="clear" w:color="auto" w:fill="auto"/>
            <w:noWrap/>
            <w:hideMark/>
          </w:tcPr>
          <w:p w14:paraId="49F7F85D" w14:textId="77777777" w:rsidR="00350CF4" w:rsidRPr="002048EA" w:rsidRDefault="00350CF4" w:rsidP="00C22BD4">
            <w:pPr>
              <w:spacing w:after="0" w:line="240" w:lineRule="auto"/>
              <w:jc w:val="center"/>
              <w:rPr>
                <w:sz w:val="22"/>
              </w:rPr>
            </w:pPr>
            <w:r w:rsidRPr="002048EA">
              <w:rPr>
                <w:sz w:val="22"/>
              </w:rPr>
              <w:t>2020</w:t>
            </w:r>
          </w:p>
        </w:tc>
        <w:tc>
          <w:tcPr>
            <w:tcW w:w="1187" w:type="dxa"/>
            <w:shd w:val="clear" w:color="auto" w:fill="auto"/>
            <w:noWrap/>
            <w:hideMark/>
          </w:tcPr>
          <w:p w14:paraId="48FFE49F" w14:textId="77777777" w:rsidR="00350CF4" w:rsidRPr="002048EA" w:rsidRDefault="00350CF4" w:rsidP="00C22BD4">
            <w:pPr>
              <w:spacing w:after="0" w:line="240" w:lineRule="auto"/>
              <w:jc w:val="center"/>
              <w:rPr>
                <w:sz w:val="22"/>
              </w:rPr>
            </w:pPr>
            <w:r w:rsidRPr="002048EA">
              <w:rPr>
                <w:sz w:val="22"/>
              </w:rPr>
              <w:t>EA</w:t>
            </w:r>
          </w:p>
        </w:tc>
        <w:tc>
          <w:tcPr>
            <w:tcW w:w="1908" w:type="dxa"/>
            <w:gridSpan w:val="2"/>
            <w:shd w:val="clear" w:color="auto" w:fill="auto"/>
            <w:noWrap/>
            <w:hideMark/>
          </w:tcPr>
          <w:p w14:paraId="1BF283A0" w14:textId="77777777" w:rsidR="00350CF4" w:rsidRPr="002048EA" w:rsidRDefault="00350CF4" w:rsidP="00C22BD4">
            <w:pPr>
              <w:spacing w:after="0" w:line="240" w:lineRule="auto"/>
              <w:jc w:val="center"/>
              <w:rPr>
                <w:sz w:val="22"/>
              </w:rPr>
            </w:pPr>
            <w:r w:rsidRPr="002048EA">
              <w:rPr>
                <w:sz w:val="22"/>
              </w:rPr>
              <w:t>No</w:t>
            </w:r>
          </w:p>
        </w:tc>
        <w:tc>
          <w:tcPr>
            <w:tcW w:w="856" w:type="dxa"/>
            <w:shd w:val="clear" w:color="auto" w:fill="auto"/>
            <w:noWrap/>
            <w:hideMark/>
          </w:tcPr>
          <w:p w14:paraId="41B05F20" w14:textId="77777777" w:rsidR="00350CF4" w:rsidRPr="002048EA" w:rsidRDefault="00350CF4" w:rsidP="00C22BD4">
            <w:pPr>
              <w:spacing w:after="0" w:line="240" w:lineRule="auto"/>
              <w:jc w:val="center"/>
              <w:rPr>
                <w:sz w:val="22"/>
              </w:rPr>
            </w:pPr>
            <w:r w:rsidRPr="002048EA">
              <w:rPr>
                <w:sz w:val="22"/>
              </w:rPr>
              <w:t>22</w:t>
            </w:r>
          </w:p>
        </w:tc>
        <w:tc>
          <w:tcPr>
            <w:tcW w:w="1128" w:type="dxa"/>
            <w:shd w:val="clear" w:color="auto" w:fill="auto"/>
            <w:noWrap/>
            <w:hideMark/>
          </w:tcPr>
          <w:p w14:paraId="263E2BD6" w14:textId="77777777" w:rsidR="00350CF4" w:rsidRPr="002048EA" w:rsidRDefault="00350CF4" w:rsidP="00C22BD4">
            <w:pPr>
              <w:spacing w:after="0" w:line="240" w:lineRule="auto"/>
              <w:jc w:val="center"/>
              <w:rPr>
                <w:sz w:val="22"/>
              </w:rPr>
            </w:pPr>
            <w:r w:rsidRPr="002048EA">
              <w:rPr>
                <w:sz w:val="22"/>
              </w:rPr>
              <w:t>40</w:t>
            </w:r>
          </w:p>
        </w:tc>
        <w:tc>
          <w:tcPr>
            <w:tcW w:w="1495" w:type="dxa"/>
            <w:shd w:val="clear" w:color="auto" w:fill="auto"/>
            <w:noWrap/>
            <w:hideMark/>
          </w:tcPr>
          <w:p w14:paraId="3A248915" w14:textId="43BA7F6A" w:rsidR="00350CF4" w:rsidRPr="002048EA" w:rsidRDefault="00350CF4" w:rsidP="00C22BD4">
            <w:pPr>
              <w:spacing w:after="0" w:line="240" w:lineRule="auto"/>
              <w:jc w:val="center"/>
              <w:rPr>
                <w:sz w:val="22"/>
              </w:rPr>
            </w:pPr>
            <w:r w:rsidRPr="002048EA">
              <w:rPr>
                <w:sz w:val="22"/>
              </w:rPr>
              <w:t>3</w:t>
            </w:r>
          </w:p>
        </w:tc>
        <w:tc>
          <w:tcPr>
            <w:tcW w:w="1417" w:type="dxa"/>
            <w:shd w:val="clear" w:color="auto" w:fill="auto"/>
            <w:noWrap/>
            <w:hideMark/>
          </w:tcPr>
          <w:p w14:paraId="26ABCA64" w14:textId="7C0E97C7" w:rsidR="00350CF4" w:rsidRPr="002048EA" w:rsidRDefault="00350CF4" w:rsidP="00C22BD4">
            <w:pPr>
              <w:spacing w:after="0" w:line="240" w:lineRule="auto"/>
              <w:jc w:val="center"/>
              <w:rPr>
                <w:sz w:val="22"/>
              </w:rPr>
            </w:pPr>
            <w:r w:rsidRPr="002048EA">
              <w:rPr>
                <w:sz w:val="22"/>
              </w:rPr>
              <w:t>0</w:t>
            </w:r>
          </w:p>
        </w:tc>
        <w:tc>
          <w:tcPr>
            <w:tcW w:w="992" w:type="dxa"/>
            <w:shd w:val="clear" w:color="auto" w:fill="auto"/>
            <w:noWrap/>
            <w:hideMark/>
          </w:tcPr>
          <w:p w14:paraId="2780170D" w14:textId="4BD1D072" w:rsidR="00350CF4" w:rsidRPr="002048EA" w:rsidRDefault="00350CF4" w:rsidP="00C22BD4">
            <w:pPr>
              <w:spacing w:after="0" w:line="240" w:lineRule="auto"/>
              <w:jc w:val="center"/>
              <w:rPr>
                <w:sz w:val="22"/>
              </w:rPr>
            </w:pPr>
            <w:r w:rsidRPr="002048EA">
              <w:rPr>
                <w:sz w:val="22"/>
              </w:rPr>
              <w:t>0</w:t>
            </w:r>
          </w:p>
        </w:tc>
        <w:tc>
          <w:tcPr>
            <w:tcW w:w="1560" w:type="dxa"/>
            <w:shd w:val="clear" w:color="auto" w:fill="auto"/>
            <w:noWrap/>
            <w:hideMark/>
          </w:tcPr>
          <w:p w14:paraId="78011474" w14:textId="2B01B770" w:rsidR="00350CF4" w:rsidRPr="002048EA" w:rsidRDefault="00350CF4" w:rsidP="00C22BD4">
            <w:pPr>
              <w:spacing w:after="0" w:line="240" w:lineRule="auto"/>
              <w:jc w:val="center"/>
              <w:rPr>
                <w:sz w:val="22"/>
              </w:rPr>
            </w:pPr>
            <w:r w:rsidRPr="002048EA">
              <w:rPr>
                <w:sz w:val="22"/>
              </w:rPr>
              <w:t>0</w:t>
            </w:r>
          </w:p>
        </w:tc>
      </w:tr>
      <w:tr w:rsidR="00DA1156" w:rsidRPr="007D7FE2" w14:paraId="606447CF" w14:textId="77777777" w:rsidTr="00C22BD4">
        <w:trPr>
          <w:trHeight w:val="420"/>
        </w:trPr>
        <w:tc>
          <w:tcPr>
            <w:tcW w:w="656" w:type="dxa"/>
            <w:shd w:val="clear" w:color="auto" w:fill="auto"/>
            <w:noWrap/>
            <w:hideMark/>
          </w:tcPr>
          <w:p w14:paraId="653E72E4" w14:textId="77777777" w:rsidR="00350CF4" w:rsidRPr="002048EA" w:rsidRDefault="00350CF4" w:rsidP="00C22BD4">
            <w:pPr>
              <w:spacing w:after="0" w:line="240" w:lineRule="auto"/>
              <w:jc w:val="center"/>
              <w:rPr>
                <w:sz w:val="22"/>
              </w:rPr>
            </w:pPr>
            <w:r w:rsidRPr="002048EA">
              <w:rPr>
                <w:sz w:val="22"/>
              </w:rPr>
              <w:t>2020</w:t>
            </w:r>
          </w:p>
        </w:tc>
        <w:tc>
          <w:tcPr>
            <w:tcW w:w="1187" w:type="dxa"/>
            <w:shd w:val="clear" w:color="auto" w:fill="auto"/>
            <w:noWrap/>
            <w:hideMark/>
          </w:tcPr>
          <w:p w14:paraId="27CA7D94" w14:textId="77777777" w:rsidR="00350CF4" w:rsidRPr="002048EA" w:rsidRDefault="00350CF4" w:rsidP="00C22BD4">
            <w:pPr>
              <w:spacing w:after="0" w:line="240" w:lineRule="auto"/>
              <w:jc w:val="center"/>
              <w:rPr>
                <w:sz w:val="22"/>
              </w:rPr>
            </w:pPr>
            <w:r w:rsidRPr="002048EA">
              <w:rPr>
                <w:sz w:val="22"/>
              </w:rPr>
              <w:t>LRA</w:t>
            </w:r>
          </w:p>
        </w:tc>
        <w:tc>
          <w:tcPr>
            <w:tcW w:w="1908" w:type="dxa"/>
            <w:gridSpan w:val="2"/>
            <w:shd w:val="clear" w:color="auto" w:fill="auto"/>
            <w:noWrap/>
            <w:hideMark/>
          </w:tcPr>
          <w:p w14:paraId="1E406E0F" w14:textId="77777777" w:rsidR="00350CF4" w:rsidRPr="002048EA" w:rsidRDefault="00350CF4" w:rsidP="00C22BD4">
            <w:pPr>
              <w:spacing w:after="0" w:line="240" w:lineRule="auto"/>
              <w:jc w:val="center"/>
              <w:rPr>
                <w:sz w:val="22"/>
              </w:rPr>
            </w:pPr>
            <w:r w:rsidRPr="002048EA">
              <w:rPr>
                <w:sz w:val="22"/>
              </w:rPr>
              <w:t>Yes</w:t>
            </w:r>
          </w:p>
        </w:tc>
        <w:tc>
          <w:tcPr>
            <w:tcW w:w="856" w:type="dxa"/>
            <w:shd w:val="clear" w:color="auto" w:fill="auto"/>
            <w:noWrap/>
            <w:hideMark/>
          </w:tcPr>
          <w:p w14:paraId="28CB0061" w14:textId="7BE70313" w:rsidR="00350CF4" w:rsidRPr="002048EA" w:rsidRDefault="00350CF4" w:rsidP="00C22BD4">
            <w:pPr>
              <w:spacing w:after="0" w:line="240" w:lineRule="auto"/>
              <w:jc w:val="center"/>
              <w:rPr>
                <w:sz w:val="22"/>
              </w:rPr>
            </w:pPr>
            <w:r w:rsidRPr="00350CF4">
              <w:rPr>
                <w:rFonts w:eastAsia="Times New Roman" w:cs="Times New Roman"/>
                <w:sz w:val="22"/>
                <w:szCs w:val="22"/>
                <w:lang w:eastAsia="en-GB"/>
              </w:rPr>
              <w:t>24</w:t>
            </w:r>
          </w:p>
        </w:tc>
        <w:tc>
          <w:tcPr>
            <w:tcW w:w="1128" w:type="dxa"/>
            <w:shd w:val="clear" w:color="auto" w:fill="auto"/>
            <w:noWrap/>
            <w:hideMark/>
          </w:tcPr>
          <w:p w14:paraId="0EDA554B" w14:textId="686DFA5E" w:rsidR="00350CF4" w:rsidRPr="002048EA" w:rsidRDefault="00350CF4" w:rsidP="00C22BD4">
            <w:pPr>
              <w:spacing w:after="0" w:line="240" w:lineRule="auto"/>
              <w:jc w:val="center"/>
              <w:rPr>
                <w:sz w:val="22"/>
              </w:rPr>
            </w:pPr>
            <w:r w:rsidRPr="00350CF4">
              <w:rPr>
                <w:rFonts w:eastAsia="Times New Roman" w:cs="Times New Roman"/>
                <w:sz w:val="22"/>
                <w:szCs w:val="22"/>
                <w:lang w:eastAsia="en-GB"/>
              </w:rPr>
              <w:t>59</w:t>
            </w:r>
          </w:p>
        </w:tc>
        <w:tc>
          <w:tcPr>
            <w:tcW w:w="1495" w:type="dxa"/>
            <w:shd w:val="clear" w:color="auto" w:fill="auto"/>
            <w:noWrap/>
            <w:hideMark/>
          </w:tcPr>
          <w:p w14:paraId="6906DFBB" w14:textId="31FFEFE8" w:rsidR="00350CF4" w:rsidRPr="002048EA" w:rsidRDefault="00350CF4" w:rsidP="00C22BD4">
            <w:pPr>
              <w:spacing w:after="0" w:line="240" w:lineRule="auto"/>
              <w:jc w:val="center"/>
              <w:rPr>
                <w:sz w:val="22"/>
              </w:rPr>
            </w:pPr>
            <w:r w:rsidRPr="002048EA">
              <w:rPr>
                <w:sz w:val="22"/>
              </w:rPr>
              <w:t>15</w:t>
            </w:r>
          </w:p>
        </w:tc>
        <w:tc>
          <w:tcPr>
            <w:tcW w:w="1417" w:type="dxa"/>
            <w:shd w:val="clear" w:color="auto" w:fill="auto"/>
            <w:noWrap/>
            <w:hideMark/>
          </w:tcPr>
          <w:p w14:paraId="47C1FFB2" w14:textId="51C7400B" w:rsidR="00350CF4" w:rsidRPr="002048EA" w:rsidRDefault="00350CF4" w:rsidP="00C22BD4">
            <w:pPr>
              <w:spacing w:after="0" w:line="240" w:lineRule="auto"/>
              <w:jc w:val="center"/>
              <w:rPr>
                <w:sz w:val="22"/>
              </w:rPr>
            </w:pPr>
            <w:r w:rsidRPr="002048EA">
              <w:rPr>
                <w:sz w:val="22"/>
              </w:rPr>
              <w:t>6</w:t>
            </w:r>
          </w:p>
        </w:tc>
        <w:tc>
          <w:tcPr>
            <w:tcW w:w="992" w:type="dxa"/>
            <w:shd w:val="clear" w:color="auto" w:fill="auto"/>
            <w:noWrap/>
            <w:hideMark/>
          </w:tcPr>
          <w:p w14:paraId="787B25AE" w14:textId="642708C0" w:rsidR="00350CF4" w:rsidRPr="002048EA" w:rsidRDefault="00350CF4" w:rsidP="00C22BD4">
            <w:pPr>
              <w:spacing w:after="0" w:line="240" w:lineRule="auto"/>
              <w:jc w:val="center"/>
              <w:rPr>
                <w:sz w:val="22"/>
              </w:rPr>
            </w:pPr>
            <w:r w:rsidRPr="00350CF4">
              <w:rPr>
                <w:rFonts w:eastAsia="Times New Roman" w:cs="Times New Roman"/>
                <w:sz w:val="22"/>
                <w:szCs w:val="22"/>
                <w:lang w:eastAsia="en-GB"/>
              </w:rPr>
              <w:t>28</w:t>
            </w:r>
          </w:p>
        </w:tc>
        <w:tc>
          <w:tcPr>
            <w:tcW w:w="1560" w:type="dxa"/>
            <w:shd w:val="clear" w:color="auto" w:fill="auto"/>
            <w:noWrap/>
            <w:hideMark/>
          </w:tcPr>
          <w:p w14:paraId="27617222" w14:textId="1A4632BB" w:rsidR="00350CF4" w:rsidRPr="002048EA" w:rsidRDefault="00350CF4" w:rsidP="00C22BD4">
            <w:pPr>
              <w:spacing w:after="0" w:line="240" w:lineRule="auto"/>
              <w:jc w:val="center"/>
              <w:rPr>
                <w:sz w:val="22"/>
              </w:rPr>
            </w:pPr>
            <w:r w:rsidRPr="00350CF4">
              <w:rPr>
                <w:rFonts w:eastAsia="Times New Roman" w:cs="Times New Roman"/>
                <w:sz w:val="22"/>
                <w:szCs w:val="22"/>
                <w:lang w:eastAsia="en-GB"/>
              </w:rPr>
              <w:t>34</w:t>
            </w:r>
          </w:p>
        </w:tc>
      </w:tr>
      <w:tr w:rsidR="00DA1156" w:rsidRPr="007D7FE2" w14:paraId="60BB7BAE" w14:textId="77777777" w:rsidTr="00C22BD4">
        <w:trPr>
          <w:trHeight w:val="420"/>
        </w:trPr>
        <w:tc>
          <w:tcPr>
            <w:tcW w:w="656" w:type="dxa"/>
            <w:shd w:val="clear" w:color="auto" w:fill="auto"/>
            <w:noWrap/>
            <w:hideMark/>
          </w:tcPr>
          <w:p w14:paraId="0223B8A7" w14:textId="77777777" w:rsidR="00350CF4" w:rsidRPr="002048EA" w:rsidRDefault="00350CF4" w:rsidP="00C22BD4">
            <w:pPr>
              <w:spacing w:after="0" w:line="240" w:lineRule="auto"/>
              <w:jc w:val="center"/>
              <w:rPr>
                <w:sz w:val="22"/>
              </w:rPr>
            </w:pPr>
            <w:r w:rsidRPr="002048EA">
              <w:rPr>
                <w:sz w:val="22"/>
              </w:rPr>
              <w:t>2020</w:t>
            </w:r>
          </w:p>
        </w:tc>
        <w:tc>
          <w:tcPr>
            <w:tcW w:w="1187" w:type="dxa"/>
            <w:shd w:val="clear" w:color="auto" w:fill="auto"/>
            <w:noWrap/>
            <w:hideMark/>
          </w:tcPr>
          <w:p w14:paraId="2F6F9A16" w14:textId="77777777" w:rsidR="00350CF4" w:rsidRPr="002048EA" w:rsidRDefault="00350CF4" w:rsidP="00C22BD4">
            <w:pPr>
              <w:spacing w:after="0" w:line="240" w:lineRule="auto"/>
              <w:jc w:val="center"/>
              <w:rPr>
                <w:sz w:val="22"/>
              </w:rPr>
            </w:pPr>
            <w:r w:rsidRPr="002048EA">
              <w:rPr>
                <w:sz w:val="22"/>
              </w:rPr>
              <w:t>LRA</w:t>
            </w:r>
          </w:p>
        </w:tc>
        <w:tc>
          <w:tcPr>
            <w:tcW w:w="1908" w:type="dxa"/>
            <w:gridSpan w:val="2"/>
            <w:shd w:val="clear" w:color="auto" w:fill="auto"/>
            <w:noWrap/>
            <w:hideMark/>
          </w:tcPr>
          <w:p w14:paraId="67771968" w14:textId="77777777" w:rsidR="00350CF4" w:rsidRPr="002048EA" w:rsidRDefault="00350CF4" w:rsidP="00C22BD4">
            <w:pPr>
              <w:spacing w:after="0" w:line="240" w:lineRule="auto"/>
              <w:jc w:val="center"/>
              <w:rPr>
                <w:sz w:val="22"/>
              </w:rPr>
            </w:pPr>
            <w:r w:rsidRPr="002048EA">
              <w:rPr>
                <w:sz w:val="22"/>
              </w:rPr>
              <w:t>No</w:t>
            </w:r>
          </w:p>
        </w:tc>
        <w:tc>
          <w:tcPr>
            <w:tcW w:w="856" w:type="dxa"/>
            <w:tcBorders>
              <w:bottom w:val="single" w:sz="4" w:space="0" w:color="7F7F7F" w:themeColor="text1" w:themeTint="80"/>
            </w:tcBorders>
            <w:shd w:val="clear" w:color="auto" w:fill="auto"/>
            <w:noWrap/>
            <w:hideMark/>
          </w:tcPr>
          <w:p w14:paraId="5F168C56" w14:textId="77777777" w:rsidR="00350CF4" w:rsidRPr="002048EA" w:rsidRDefault="00350CF4" w:rsidP="00C22BD4">
            <w:pPr>
              <w:spacing w:after="0" w:line="240" w:lineRule="auto"/>
              <w:jc w:val="center"/>
              <w:rPr>
                <w:sz w:val="22"/>
              </w:rPr>
            </w:pPr>
            <w:r w:rsidRPr="002048EA">
              <w:rPr>
                <w:sz w:val="22"/>
              </w:rPr>
              <w:t>3</w:t>
            </w:r>
          </w:p>
        </w:tc>
        <w:tc>
          <w:tcPr>
            <w:tcW w:w="1128" w:type="dxa"/>
            <w:tcBorders>
              <w:bottom w:val="single" w:sz="4" w:space="0" w:color="7F7F7F" w:themeColor="text1" w:themeTint="80"/>
            </w:tcBorders>
            <w:shd w:val="clear" w:color="auto" w:fill="auto"/>
            <w:noWrap/>
            <w:hideMark/>
          </w:tcPr>
          <w:p w14:paraId="7F12AC1C" w14:textId="77777777" w:rsidR="00350CF4" w:rsidRPr="002048EA" w:rsidRDefault="00350CF4" w:rsidP="00C22BD4">
            <w:pPr>
              <w:spacing w:after="0" w:line="240" w:lineRule="auto"/>
              <w:jc w:val="center"/>
              <w:rPr>
                <w:sz w:val="22"/>
              </w:rPr>
            </w:pPr>
            <w:r w:rsidRPr="002048EA">
              <w:rPr>
                <w:sz w:val="22"/>
              </w:rPr>
              <w:t>6</w:t>
            </w:r>
          </w:p>
        </w:tc>
        <w:tc>
          <w:tcPr>
            <w:tcW w:w="1495" w:type="dxa"/>
            <w:tcBorders>
              <w:bottom w:val="single" w:sz="4" w:space="0" w:color="7F7F7F" w:themeColor="text1" w:themeTint="80"/>
            </w:tcBorders>
            <w:shd w:val="clear" w:color="auto" w:fill="auto"/>
            <w:noWrap/>
            <w:hideMark/>
          </w:tcPr>
          <w:p w14:paraId="0A61AB75" w14:textId="16157555" w:rsidR="00350CF4" w:rsidRPr="002048EA" w:rsidRDefault="00350CF4" w:rsidP="00C22BD4">
            <w:pPr>
              <w:spacing w:after="0" w:line="240" w:lineRule="auto"/>
              <w:jc w:val="center"/>
              <w:rPr>
                <w:sz w:val="22"/>
              </w:rPr>
            </w:pPr>
            <w:r w:rsidRPr="002048EA">
              <w:rPr>
                <w:sz w:val="22"/>
              </w:rPr>
              <w:t>0</w:t>
            </w:r>
          </w:p>
        </w:tc>
        <w:tc>
          <w:tcPr>
            <w:tcW w:w="1417" w:type="dxa"/>
            <w:tcBorders>
              <w:bottom w:val="single" w:sz="4" w:space="0" w:color="7F7F7F" w:themeColor="text1" w:themeTint="80"/>
            </w:tcBorders>
            <w:shd w:val="clear" w:color="auto" w:fill="auto"/>
            <w:noWrap/>
            <w:hideMark/>
          </w:tcPr>
          <w:p w14:paraId="5FFB4F97" w14:textId="4575F549" w:rsidR="00350CF4" w:rsidRPr="002048EA" w:rsidRDefault="00350CF4" w:rsidP="00C22BD4">
            <w:pPr>
              <w:spacing w:after="0" w:line="240" w:lineRule="auto"/>
              <w:jc w:val="center"/>
              <w:rPr>
                <w:sz w:val="22"/>
              </w:rPr>
            </w:pPr>
            <w:r w:rsidRPr="002048EA">
              <w:rPr>
                <w:sz w:val="22"/>
              </w:rPr>
              <w:t>0</w:t>
            </w:r>
          </w:p>
        </w:tc>
        <w:tc>
          <w:tcPr>
            <w:tcW w:w="992" w:type="dxa"/>
            <w:tcBorders>
              <w:bottom w:val="single" w:sz="4" w:space="0" w:color="7F7F7F" w:themeColor="text1" w:themeTint="80"/>
            </w:tcBorders>
            <w:shd w:val="clear" w:color="auto" w:fill="auto"/>
            <w:noWrap/>
            <w:hideMark/>
          </w:tcPr>
          <w:p w14:paraId="47293483" w14:textId="3EE813D3" w:rsidR="00350CF4" w:rsidRPr="002048EA" w:rsidRDefault="00350CF4" w:rsidP="00C22BD4">
            <w:pPr>
              <w:spacing w:after="0" w:line="240" w:lineRule="auto"/>
              <w:jc w:val="center"/>
              <w:rPr>
                <w:sz w:val="22"/>
              </w:rPr>
            </w:pPr>
            <w:r w:rsidRPr="002048EA">
              <w:rPr>
                <w:sz w:val="22"/>
              </w:rPr>
              <w:t>0</w:t>
            </w:r>
          </w:p>
        </w:tc>
        <w:tc>
          <w:tcPr>
            <w:tcW w:w="1560" w:type="dxa"/>
            <w:tcBorders>
              <w:bottom w:val="single" w:sz="4" w:space="0" w:color="7F7F7F" w:themeColor="text1" w:themeTint="80"/>
            </w:tcBorders>
            <w:shd w:val="clear" w:color="auto" w:fill="auto"/>
            <w:noWrap/>
            <w:hideMark/>
          </w:tcPr>
          <w:p w14:paraId="12D06B92" w14:textId="1C85E65C" w:rsidR="00350CF4" w:rsidRPr="002048EA" w:rsidRDefault="00350CF4" w:rsidP="00C22BD4">
            <w:pPr>
              <w:spacing w:after="0" w:line="240" w:lineRule="auto"/>
              <w:jc w:val="center"/>
              <w:rPr>
                <w:sz w:val="22"/>
              </w:rPr>
            </w:pPr>
            <w:r w:rsidRPr="002048EA">
              <w:rPr>
                <w:sz w:val="22"/>
              </w:rPr>
              <w:t>0</w:t>
            </w:r>
          </w:p>
        </w:tc>
      </w:tr>
      <w:tr w:rsidR="00DA1156" w:rsidRPr="007D7FE2" w14:paraId="21E0FB27" w14:textId="77777777" w:rsidTr="00C22BD4">
        <w:trPr>
          <w:trHeight w:val="420"/>
        </w:trPr>
        <w:tc>
          <w:tcPr>
            <w:tcW w:w="656" w:type="dxa"/>
            <w:shd w:val="clear" w:color="auto" w:fill="auto"/>
            <w:noWrap/>
            <w:hideMark/>
          </w:tcPr>
          <w:p w14:paraId="0ADD5368" w14:textId="77777777" w:rsidR="00350CF4" w:rsidRPr="002048EA" w:rsidRDefault="00350CF4" w:rsidP="00C22BD4">
            <w:pPr>
              <w:spacing w:after="0" w:line="240" w:lineRule="auto"/>
              <w:jc w:val="center"/>
              <w:rPr>
                <w:sz w:val="22"/>
              </w:rPr>
            </w:pPr>
          </w:p>
        </w:tc>
        <w:tc>
          <w:tcPr>
            <w:tcW w:w="1187" w:type="dxa"/>
            <w:shd w:val="clear" w:color="auto" w:fill="auto"/>
            <w:noWrap/>
            <w:hideMark/>
          </w:tcPr>
          <w:p w14:paraId="67D56384" w14:textId="77777777" w:rsidR="00350CF4" w:rsidRPr="002048EA" w:rsidRDefault="00350CF4" w:rsidP="00C22BD4">
            <w:pPr>
              <w:spacing w:after="0" w:line="240" w:lineRule="auto"/>
              <w:jc w:val="center"/>
              <w:rPr>
                <w:sz w:val="22"/>
              </w:rPr>
            </w:pPr>
          </w:p>
        </w:tc>
        <w:tc>
          <w:tcPr>
            <w:tcW w:w="1908" w:type="dxa"/>
            <w:gridSpan w:val="2"/>
            <w:shd w:val="clear" w:color="auto" w:fill="auto"/>
            <w:noWrap/>
            <w:hideMark/>
          </w:tcPr>
          <w:p w14:paraId="0057BBA3" w14:textId="77777777" w:rsidR="00350CF4" w:rsidRPr="002048EA" w:rsidRDefault="00350CF4" w:rsidP="00C22BD4">
            <w:pPr>
              <w:spacing w:after="0" w:line="240" w:lineRule="auto"/>
              <w:jc w:val="center"/>
              <w:rPr>
                <w:sz w:val="22"/>
              </w:rPr>
            </w:pPr>
            <w:r w:rsidRPr="002048EA">
              <w:rPr>
                <w:sz w:val="22"/>
              </w:rPr>
              <w:t>Total</w:t>
            </w:r>
            <w:r w:rsidRPr="00350CF4">
              <w:rPr>
                <w:rFonts w:eastAsia="Times New Roman" w:cs="Times New Roman"/>
                <w:sz w:val="22"/>
                <w:szCs w:val="22"/>
                <w:lang w:eastAsia="en-GB"/>
              </w:rPr>
              <w:t xml:space="preserve"> tests (</w:t>
            </w:r>
            <w:proofErr w:type="spellStart"/>
            <w:r w:rsidRPr="00350CF4">
              <w:rPr>
                <w:rFonts w:eastAsia="Times New Roman" w:cs="Times New Roman"/>
                <w:sz w:val="22"/>
                <w:szCs w:val="22"/>
                <w:lang w:eastAsia="en-GB"/>
              </w:rPr>
              <w:t>Pred</w:t>
            </w:r>
            <w:proofErr w:type="spellEnd"/>
            <w:r w:rsidRPr="00350CF4">
              <w:rPr>
                <w:rFonts w:eastAsia="Times New Roman" w:cs="Times New Roman"/>
                <w:sz w:val="22"/>
                <w:szCs w:val="22"/>
                <w:lang w:eastAsia="en-GB"/>
              </w:rPr>
              <w:t>+)</w:t>
            </w:r>
          </w:p>
        </w:tc>
        <w:tc>
          <w:tcPr>
            <w:tcW w:w="856" w:type="dxa"/>
            <w:shd w:val="clear" w:color="auto" w:fill="auto"/>
            <w:noWrap/>
            <w:hideMark/>
          </w:tcPr>
          <w:p w14:paraId="40C61948" w14:textId="57E31EFA" w:rsidR="00350CF4" w:rsidRPr="002048EA" w:rsidRDefault="00350CF4" w:rsidP="00C22BD4">
            <w:pPr>
              <w:spacing w:after="0" w:line="240" w:lineRule="auto"/>
              <w:jc w:val="center"/>
              <w:rPr>
                <w:sz w:val="22"/>
              </w:rPr>
            </w:pPr>
            <w:r w:rsidRPr="00350CF4">
              <w:rPr>
                <w:rFonts w:eastAsia="Times New Roman" w:cs="Times New Roman"/>
                <w:sz w:val="22"/>
                <w:szCs w:val="22"/>
                <w:lang w:eastAsia="en-GB"/>
              </w:rPr>
              <w:t>341</w:t>
            </w:r>
          </w:p>
        </w:tc>
        <w:tc>
          <w:tcPr>
            <w:tcW w:w="1128" w:type="dxa"/>
            <w:shd w:val="clear" w:color="auto" w:fill="auto"/>
            <w:noWrap/>
            <w:hideMark/>
          </w:tcPr>
          <w:p w14:paraId="0AC4BA6D" w14:textId="3F284891" w:rsidR="00350CF4" w:rsidRPr="002048EA" w:rsidRDefault="00350CF4" w:rsidP="00C22BD4">
            <w:pPr>
              <w:spacing w:after="0" w:line="240" w:lineRule="auto"/>
              <w:jc w:val="center"/>
              <w:rPr>
                <w:sz w:val="22"/>
              </w:rPr>
            </w:pPr>
            <w:r w:rsidRPr="00350CF4">
              <w:rPr>
                <w:rFonts w:eastAsia="Times New Roman" w:cs="Times New Roman"/>
                <w:sz w:val="22"/>
                <w:szCs w:val="22"/>
                <w:lang w:eastAsia="en-GB"/>
              </w:rPr>
              <w:t>590</w:t>
            </w:r>
          </w:p>
        </w:tc>
        <w:tc>
          <w:tcPr>
            <w:tcW w:w="1495" w:type="dxa"/>
            <w:shd w:val="clear" w:color="auto" w:fill="auto"/>
            <w:noWrap/>
            <w:hideMark/>
          </w:tcPr>
          <w:p w14:paraId="38308C3D" w14:textId="0774C429" w:rsidR="00350CF4" w:rsidRPr="002048EA" w:rsidRDefault="00350CF4" w:rsidP="00C22BD4">
            <w:pPr>
              <w:spacing w:after="0" w:line="240" w:lineRule="auto"/>
              <w:jc w:val="center"/>
              <w:rPr>
                <w:sz w:val="22"/>
              </w:rPr>
            </w:pPr>
            <w:r w:rsidRPr="002048EA">
              <w:rPr>
                <w:sz w:val="22"/>
              </w:rPr>
              <w:t>68</w:t>
            </w:r>
            <w:r w:rsidR="007D7FE2" w:rsidRPr="002048EA">
              <w:rPr>
                <w:sz w:val="22"/>
              </w:rPr>
              <w:t xml:space="preserve"> (</w:t>
            </w:r>
            <w:r w:rsidR="007D7FE2">
              <w:rPr>
                <w:rFonts w:eastAsia="Times New Roman" w:cs="Times New Roman"/>
                <w:sz w:val="22"/>
                <w:szCs w:val="22"/>
                <w:lang w:eastAsia="en-GB"/>
              </w:rPr>
              <w:t>12</w:t>
            </w:r>
            <w:r w:rsidR="007D7FE2" w:rsidRPr="002048EA">
              <w:rPr>
                <w:sz w:val="22"/>
              </w:rPr>
              <w:t>)</w:t>
            </w:r>
          </w:p>
        </w:tc>
        <w:tc>
          <w:tcPr>
            <w:tcW w:w="1417" w:type="dxa"/>
            <w:shd w:val="clear" w:color="auto" w:fill="auto"/>
            <w:noWrap/>
            <w:hideMark/>
          </w:tcPr>
          <w:p w14:paraId="3980D32E" w14:textId="25961870" w:rsidR="00350CF4" w:rsidRPr="002048EA" w:rsidRDefault="00350CF4" w:rsidP="00C22BD4">
            <w:pPr>
              <w:spacing w:after="0" w:line="240" w:lineRule="auto"/>
              <w:jc w:val="center"/>
              <w:rPr>
                <w:sz w:val="22"/>
              </w:rPr>
            </w:pPr>
            <w:r w:rsidRPr="00350CF4">
              <w:rPr>
                <w:rFonts w:eastAsia="Times New Roman" w:cs="Times New Roman"/>
                <w:sz w:val="22"/>
                <w:szCs w:val="22"/>
                <w:lang w:eastAsia="en-GB"/>
              </w:rPr>
              <w:t>134</w:t>
            </w:r>
            <w:r w:rsidR="007D7FE2" w:rsidRPr="002048EA">
              <w:rPr>
                <w:sz w:val="22"/>
              </w:rPr>
              <w:t xml:space="preserve"> (23)</w:t>
            </w:r>
          </w:p>
        </w:tc>
        <w:tc>
          <w:tcPr>
            <w:tcW w:w="992" w:type="dxa"/>
            <w:shd w:val="clear" w:color="auto" w:fill="auto"/>
            <w:noWrap/>
            <w:hideMark/>
          </w:tcPr>
          <w:p w14:paraId="1E326F71" w14:textId="0A34355E" w:rsidR="00350CF4" w:rsidRPr="002048EA" w:rsidRDefault="00350CF4" w:rsidP="00C22BD4">
            <w:pPr>
              <w:spacing w:after="0" w:line="240" w:lineRule="auto"/>
              <w:jc w:val="center"/>
              <w:rPr>
                <w:sz w:val="22"/>
              </w:rPr>
            </w:pPr>
            <w:r w:rsidRPr="00350CF4">
              <w:rPr>
                <w:rFonts w:eastAsia="Times New Roman" w:cs="Times New Roman"/>
                <w:sz w:val="22"/>
                <w:szCs w:val="22"/>
                <w:lang w:eastAsia="en-GB"/>
              </w:rPr>
              <w:t>228</w:t>
            </w:r>
            <w:r w:rsidR="007D7FE2" w:rsidRPr="002048EA">
              <w:rPr>
                <w:sz w:val="22"/>
              </w:rPr>
              <w:t xml:space="preserve"> (39)</w:t>
            </w:r>
          </w:p>
        </w:tc>
        <w:tc>
          <w:tcPr>
            <w:tcW w:w="1560" w:type="dxa"/>
            <w:shd w:val="clear" w:color="auto" w:fill="auto"/>
            <w:noWrap/>
            <w:hideMark/>
          </w:tcPr>
          <w:p w14:paraId="0FEA12D4" w14:textId="7D5613A9" w:rsidR="00350CF4" w:rsidRPr="002048EA" w:rsidRDefault="00350CF4" w:rsidP="00C22BD4">
            <w:pPr>
              <w:spacing w:after="0" w:line="240" w:lineRule="auto"/>
              <w:jc w:val="center"/>
              <w:rPr>
                <w:sz w:val="22"/>
              </w:rPr>
            </w:pPr>
            <w:r w:rsidRPr="00350CF4">
              <w:rPr>
                <w:rFonts w:eastAsia="Times New Roman" w:cs="Times New Roman"/>
                <w:sz w:val="22"/>
                <w:szCs w:val="22"/>
                <w:lang w:eastAsia="en-GB"/>
              </w:rPr>
              <w:t>362</w:t>
            </w:r>
            <w:r w:rsidR="007D7FE2">
              <w:rPr>
                <w:rFonts w:eastAsia="Times New Roman" w:cs="Times New Roman"/>
                <w:sz w:val="22"/>
                <w:szCs w:val="22"/>
                <w:lang w:eastAsia="en-GB"/>
              </w:rPr>
              <w:t xml:space="preserve"> (61</w:t>
            </w:r>
            <w:r w:rsidR="007D7FE2" w:rsidRPr="002048EA">
              <w:rPr>
                <w:sz w:val="22"/>
              </w:rPr>
              <w:t>)</w:t>
            </w:r>
          </w:p>
        </w:tc>
      </w:tr>
      <w:tr w:rsidR="007D7FE2" w:rsidRPr="007D7FE2" w14:paraId="2AD91AD3" w14:textId="77777777" w:rsidTr="00C22BD4">
        <w:trPr>
          <w:trHeight w:val="420"/>
        </w:trPr>
        <w:tc>
          <w:tcPr>
            <w:tcW w:w="656" w:type="dxa"/>
            <w:shd w:val="clear" w:color="auto" w:fill="auto"/>
            <w:noWrap/>
            <w:hideMark/>
          </w:tcPr>
          <w:p w14:paraId="4F0FBA1E" w14:textId="77777777" w:rsidR="00350CF4" w:rsidRPr="00350CF4" w:rsidRDefault="00350CF4" w:rsidP="00C22BD4">
            <w:pPr>
              <w:spacing w:after="0" w:line="240" w:lineRule="auto"/>
              <w:jc w:val="center"/>
              <w:rPr>
                <w:rFonts w:eastAsia="Times New Roman" w:cs="Times New Roman"/>
                <w:sz w:val="22"/>
                <w:szCs w:val="22"/>
                <w:lang w:eastAsia="en-GB"/>
              </w:rPr>
            </w:pPr>
          </w:p>
        </w:tc>
        <w:tc>
          <w:tcPr>
            <w:tcW w:w="1187" w:type="dxa"/>
            <w:shd w:val="clear" w:color="auto" w:fill="auto"/>
            <w:noWrap/>
            <w:hideMark/>
          </w:tcPr>
          <w:p w14:paraId="2963FE85" w14:textId="77777777" w:rsidR="00350CF4" w:rsidRPr="00350CF4" w:rsidRDefault="00350CF4" w:rsidP="00C22BD4">
            <w:pPr>
              <w:spacing w:after="0" w:line="240" w:lineRule="auto"/>
              <w:jc w:val="center"/>
              <w:rPr>
                <w:rFonts w:eastAsia="Times New Roman" w:cs="Times New Roman"/>
                <w:sz w:val="22"/>
                <w:szCs w:val="22"/>
                <w:lang w:eastAsia="en-GB"/>
              </w:rPr>
            </w:pPr>
          </w:p>
        </w:tc>
        <w:tc>
          <w:tcPr>
            <w:tcW w:w="1908" w:type="dxa"/>
            <w:gridSpan w:val="2"/>
            <w:shd w:val="clear" w:color="auto" w:fill="auto"/>
            <w:noWrap/>
            <w:hideMark/>
          </w:tcPr>
          <w:p w14:paraId="7C280430" w14:textId="77777777" w:rsidR="00350CF4" w:rsidRPr="00350CF4" w:rsidRDefault="00350CF4" w:rsidP="00C22BD4">
            <w:pPr>
              <w:spacing w:after="0" w:line="240" w:lineRule="auto"/>
              <w:jc w:val="center"/>
              <w:rPr>
                <w:rFonts w:eastAsia="Times New Roman" w:cs="Times New Roman"/>
                <w:sz w:val="22"/>
                <w:szCs w:val="22"/>
                <w:lang w:eastAsia="en-GB"/>
              </w:rPr>
            </w:pPr>
            <w:r w:rsidRPr="00350CF4">
              <w:rPr>
                <w:rFonts w:eastAsia="Times New Roman" w:cs="Times New Roman"/>
                <w:sz w:val="22"/>
                <w:szCs w:val="22"/>
                <w:lang w:eastAsia="en-GB"/>
              </w:rPr>
              <w:t>HRA tests (</w:t>
            </w:r>
            <w:proofErr w:type="spellStart"/>
            <w:r w:rsidRPr="00350CF4">
              <w:rPr>
                <w:rFonts w:eastAsia="Times New Roman" w:cs="Times New Roman"/>
                <w:sz w:val="22"/>
                <w:szCs w:val="22"/>
                <w:lang w:eastAsia="en-GB"/>
              </w:rPr>
              <w:t>Pred</w:t>
            </w:r>
            <w:proofErr w:type="spellEnd"/>
            <w:r w:rsidRPr="00350CF4">
              <w:rPr>
                <w:rFonts w:eastAsia="Times New Roman" w:cs="Times New Roman"/>
                <w:sz w:val="22"/>
                <w:szCs w:val="22"/>
                <w:lang w:eastAsia="en-GB"/>
              </w:rPr>
              <w:t>+)</w:t>
            </w:r>
          </w:p>
        </w:tc>
        <w:tc>
          <w:tcPr>
            <w:tcW w:w="856" w:type="dxa"/>
            <w:shd w:val="clear" w:color="auto" w:fill="auto"/>
            <w:noWrap/>
            <w:hideMark/>
          </w:tcPr>
          <w:p w14:paraId="26359768" w14:textId="77777777" w:rsidR="00350CF4" w:rsidRPr="00350CF4" w:rsidRDefault="00350CF4" w:rsidP="00C22BD4">
            <w:pPr>
              <w:spacing w:after="0" w:line="240" w:lineRule="auto"/>
              <w:jc w:val="center"/>
              <w:rPr>
                <w:rFonts w:eastAsia="Times New Roman" w:cs="Times New Roman"/>
                <w:sz w:val="22"/>
                <w:szCs w:val="22"/>
                <w:lang w:eastAsia="en-GB"/>
              </w:rPr>
            </w:pPr>
            <w:r w:rsidRPr="00350CF4">
              <w:rPr>
                <w:rFonts w:eastAsia="Times New Roman" w:cs="Times New Roman"/>
                <w:sz w:val="22"/>
                <w:szCs w:val="22"/>
                <w:lang w:eastAsia="en-GB"/>
              </w:rPr>
              <w:t>238</w:t>
            </w:r>
          </w:p>
        </w:tc>
        <w:tc>
          <w:tcPr>
            <w:tcW w:w="1128" w:type="dxa"/>
            <w:shd w:val="clear" w:color="auto" w:fill="auto"/>
            <w:noWrap/>
            <w:hideMark/>
          </w:tcPr>
          <w:p w14:paraId="70FE2EE5" w14:textId="77777777" w:rsidR="00350CF4" w:rsidRPr="00350CF4" w:rsidRDefault="00350CF4" w:rsidP="00C22BD4">
            <w:pPr>
              <w:spacing w:after="0" w:line="240" w:lineRule="auto"/>
              <w:jc w:val="center"/>
              <w:rPr>
                <w:rFonts w:eastAsia="Times New Roman" w:cs="Times New Roman"/>
                <w:sz w:val="22"/>
                <w:szCs w:val="22"/>
                <w:lang w:eastAsia="en-GB"/>
              </w:rPr>
            </w:pPr>
            <w:r w:rsidRPr="00350CF4">
              <w:rPr>
                <w:rFonts w:eastAsia="Times New Roman" w:cs="Times New Roman"/>
                <w:sz w:val="22"/>
                <w:szCs w:val="22"/>
                <w:lang w:eastAsia="en-GB"/>
              </w:rPr>
              <w:t>413</w:t>
            </w:r>
          </w:p>
        </w:tc>
        <w:tc>
          <w:tcPr>
            <w:tcW w:w="1495" w:type="dxa"/>
            <w:shd w:val="clear" w:color="auto" w:fill="auto"/>
            <w:noWrap/>
            <w:hideMark/>
          </w:tcPr>
          <w:p w14:paraId="6259F748" w14:textId="0815A545" w:rsidR="00350CF4" w:rsidRPr="00350CF4" w:rsidRDefault="00350CF4" w:rsidP="00C22BD4">
            <w:pPr>
              <w:spacing w:after="0" w:line="240" w:lineRule="auto"/>
              <w:jc w:val="center"/>
              <w:rPr>
                <w:rFonts w:eastAsia="Times New Roman" w:cs="Times New Roman"/>
                <w:sz w:val="22"/>
                <w:szCs w:val="22"/>
                <w:lang w:eastAsia="en-GB"/>
              </w:rPr>
            </w:pPr>
            <w:r w:rsidRPr="00350CF4">
              <w:rPr>
                <w:rFonts w:eastAsia="Times New Roman" w:cs="Times New Roman"/>
                <w:sz w:val="22"/>
                <w:szCs w:val="22"/>
                <w:lang w:eastAsia="en-GB"/>
              </w:rPr>
              <w:t>4</w:t>
            </w:r>
            <w:r w:rsidR="007D7FE2">
              <w:rPr>
                <w:rFonts w:eastAsia="Times New Roman" w:cs="Times New Roman"/>
                <w:sz w:val="22"/>
                <w:szCs w:val="22"/>
                <w:lang w:eastAsia="en-GB"/>
              </w:rPr>
              <w:t>6</w:t>
            </w:r>
          </w:p>
        </w:tc>
        <w:tc>
          <w:tcPr>
            <w:tcW w:w="1417" w:type="dxa"/>
            <w:shd w:val="clear" w:color="auto" w:fill="auto"/>
            <w:noWrap/>
            <w:hideMark/>
          </w:tcPr>
          <w:p w14:paraId="30707B2B" w14:textId="77777777" w:rsidR="00350CF4" w:rsidRPr="00350CF4" w:rsidRDefault="00350CF4" w:rsidP="00C22BD4">
            <w:pPr>
              <w:spacing w:after="0" w:line="240" w:lineRule="auto"/>
              <w:jc w:val="center"/>
              <w:rPr>
                <w:rFonts w:eastAsia="Times New Roman" w:cs="Times New Roman"/>
                <w:sz w:val="22"/>
                <w:szCs w:val="22"/>
                <w:lang w:eastAsia="en-GB"/>
              </w:rPr>
            </w:pPr>
            <w:r w:rsidRPr="00350CF4">
              <w:rPr>
                <w:rFonts w:eastAsia="Times New Roman" w:cs="Times New Roman"/>
                <w:sz w:val="22"/>
                <w:szCs w:val="22"/>
                <w:lang w:eastAsia="en-GB"/>
              </w:rPr>
              <w:t>104</w:t>
            </w:r>
          </w:p>
        </w:tc>
        <w:tc>
          <w:tcPr>
            <w:tcW w:w="992" w:type="dxa"/>
            <w:shd w:val="clear" w:color="auto" w:fill="auto"/>
            <w:noWrap/>
            <w:hideMark/>
          </w:tcPr>
          <w:p w14:paraId="6631FDAE" w14:textId="77777777" w:rsidR="00350CF4" w:rsidRPr="00350CF4" w:rsidRDefault="00350CF4" w:rsidP="00C22BD4">
            <w:pPr>
              <w:spacing w:after="0" w:line="240" w:lineRule="auto"/>
              <w:jc w:val="center"/>
              <w:rPr>
                <w:rFonts w:eastAsia="Times New Roman" w:cs="Times New Roman"/>
                <w:sz w:val="22"/>
                <w:szCs w:val="22"/>
                <w:lang w:eastAsia="en-GB"/>
              </w:rPr>
            </w:pPr>
            <w:r w:rsidRPr="00350CF4">
              <w:rPr>
                <w:rFonts w:eastAsia="Times New Roman" w:cs="Times New Roman"/>
                <w:sz w:val="22"/>
                <w:szCs w:val="22"/>
                <w:lang w:eastAsia="en-GB"/>
              </w:rPr>
              <w:t>161</w:t>
            </w:r>
          </w:p>
        </w:tc>
        <w:tc>
          <w:tcPr>
            <w:tcW w:w="1560" w:type="dxa"/>
            <w:shd w:val="clear" w:color="auto" w:fill="auto"/>
            <w:noWrap/>
            <w:hideMark/>
          </w:tcPr>
          <w:p w14:paraId="26DDECFB" w14:textId="77777777" w:rsidR="00350CF4" w:rsidRPr="00350CF4" w:rsidRDefault="00350CF4" w:rsidP="00C22BD4">
            <w:pPr>
              <w:spacing w:after="0" w:line="240" w:lineRule="auto"/>
              <w:jc w:val="center"/>
              <w:rPr>
                <w:rFonts w:eastAsia="Times New Roman" w:cs="Times New Roman"/>
                <w:sz w:val="22"/>
                <w:szCs w:val="22"/>
                <w:lang w:eastAsia="en-GB"/>
              </w:rPr>
            </w:pPr>
            <w:r w:rsidRPr="00350CF4">
              <w:rPr>
                <w:rFonts w:eastAsia="Times New Roman" w:cs="Times New Roman"/>
                <w:sz w:val="22"/>
                <w:szCs w:val="22"/>
                <w:lang w:eastAsia="en-GB"/>
              </w:rPr>
              <w:t>265</w:t>
            </w:r>
          </w:p>
        </w:tc>
      </w:tr>
      <w:tr w:rsidR="00DA1156" w:rsidRPr="007D7FE2" w14:paraId="3AEE9D50" w14:textId="77777777" w:rsidTr="00C22BD4">
        <w:trPr>
          <w:trHeight w:val="420"/>
        </w:trPr>
        <w:tc>
          <w:tcPr>
            <w:tcW w:w="656" w:type="dxa"/>
            <w:shd w:val="clear" w:color="auto" w:fill="auto"/>
            <w:noWrap/>
            <w:hideMark/>
          </w:tcPr>
          <w:p w14:paraId="65E6C89F" w14:textId="77777777" w:rsidR="00350CF4" w:rsidRPr="002048EA" w:rsidRDefault="00350CF4" w:rsidP="00C22BD4">
            <w:pPr>
              <w:spacing w:after="0" w:line="240" w:lineRule="auto"/>
              <w:jc w:val="center"/>
              <w:rPr>
                <w:sz w:val="22"/>
              </w:rPr>
            </w:pPr>
          </w:p>
        </w:tc>
        <w:tc>
          <w:tcPr>
            <w:tcW w:w="1187" w:type="dxa"/>
            <w:shd w:val="clear" w:color="auto" w:fill="auto"/>
            <w:noWrap/>
            <w:hideMark/>
          </w:tcPr>
          <w:p w14:paraId="61AB6FE6" w14:textId="77777777" w:rsidR="00350CF4" w:rsidRPr="002048EA" w:rsidRDefault="00350CF4" w:rsidP="00C22BD4">
            <w:pPr>
              <w:spacing w:after="0" w:line="240" w:lineRule="auto"/>
              <w:jc w:val="center"/>
              <w:rPr>
                <w:sz w:val="22"/>
              </w:rPr>
            </w:pPr>
          </w:p>
        </w:tc>
        <w:tc>
          <w:tcPr>
            <w:tcW w:w="1908" w:type="dxa"/>
            <w:gridSpan w:val="2"/>
            <w:shd w:val="clear" w:color="auto" w:fill="auto"/>
            <w:noWrap/>
            <w:hideMark/>
          </w:tcPr>
          <w:p w14:paraId="08F0B93A" w14:textId="6A3D40E3" w:rsidR="00350CF4" w:rsidRPr="002048EA" w:rsidRDefault="00350CF4" w:rsidP="00C22BD4">
            <w:pPr>
              <w:spacing w:after="0" w:line="240" w:lineRule="auto"/>
              <w:jc w:val="center"/>
              <w:rPr>
                <w:sz w:val="22"/>
              </w:rPr>
            </w:pPr>
            <w:r w:rsidRPr="002048EA">
              <w:rPr>
                <w:sz w:val="22"/>
              </w:rPr>
              <w:t xml:space="preserve">HRA </w:t>
            </w:r>
            <w:r w:rsidRPr="00350CF4">
              <w:rPr>
                <w:rFonts w:eastAsia="Times New Roman" w:cs="Times New Roman"/>
                <w:sz w:val="22"/>
                <w:szCs w:val="22"/>
                <w:lang w:eastAsia="en-GB"/>
              </w:rPr>
              <w:t>percentage</w:t>
            </w:r>
          </w:p>
        </w:tc>
        <w:tc>
          <w:tcPr>
            <w:tcW w:w="856" w:type="dxa"/>
            <w:shd w:val="clear" w:color="auto" w:fill="auto"/>
            <w:noWrap/>
            <w:hideMark/>
          </w:tcPr>
          <w:p w14:paraId="15FEA46A" w14:textId="541C6111" w:rsidR="00350CF4" w:rsidRPr="002048EA" w:rsidRDefault="00350CF4" w:rsidP="00C22BD4">
            <w:pPr>
              <w:spacing w:after="0" w:line="240" w:lineRule="auto"/>
              <w:jc w:val="center"/>
              <w:rPr>
                <w:sz w:val="22"/>
              </w:rPr>
            </w:pPr>
            <w:r w:rsidRPr="00350CF4">
              <w:rPr>
                <w:rFonts w:eastAsia="Times New Roman" w:cs="Times New Roman"/>
                <w:sz w:val="22"/>
                <w:szCs w:val="22"/>
                <w:lang w:eastAsia="en-GB"/>
              </w:rPr>
              <w:t>70</w:t>
            </w:r>
          </w:p>
        </w:tc>
        <w:tc>
          <w:tcPr>
            <w:tcW w:w="1128" w:type="dxa"/>
            <w:shd w:val="clear" w:color="auto" w:fill="auto"/>
            <w:noWrap/>
            <w:hideMark/>
          </w:tcPr>
          <w:p w14:paraId="64F62EC7" w14:textId="17B9CA97" w:rsidR="00350CF4" w:rsidRPr="002048EA" w:rsidRDefault="00350CF4" w:rsidP="00C22BD4">
            <w:pPr>
              <w:spacing w:after="0" w:line="240" w:lineRule="auto"/>
              <w:jc w:val="center"/>
              <w:rPr>
                <w:sz w:val="22"/>
              </w:rPr>
            </w:pPr>
            <w:r w:rsidRPr="002048EA">
              <w:rPr>
                <w:sz w:val="22"/>
              </w:rPr>
              <w:t>70</w:t>
            </w:r>
          </w:p>
        </w:tc>
        <w:tc>
          <w:tcPr>
            <w:tcW w:w="1495" w:type="dxa"/>
            <w:shd w:val="clear" w:color="auto" w:fill="auto"/>
            <w:noWrap/>
            <w:hideMark/>
          </w:tcPr>
          <w:p w14:paraId="536D71F1" w14:textId="38EC8F95" w:rsidR="00350CF4" w:rsidRPr="002048EA" w:rsidRDefault="00350CF4" w:rsidP="00C22BD4">
            <w:pPr>
              <w:spacing w:after="0" w:line="240" w:lineRule="auto"/>
              <w:jc w:val="center"/>
              <w:rPr>
                <w:sz w:val="22"/>
              </w:rPr>
            </w:pPr>
            <w:r w:rsidRPr="002048EA">
              <w:rPr>
                <w:sz w:val="22"/>
              </w:rPr>
              <w:t>68</w:t>
            </w:r>
          </w:p>
        </w:tc>
        <w:tc>
          <w:tcPr>
            <w:tcW w:w="1417" w:type="dxa"/>
            <w:shd w:val="clear" w:color="auto" w:fill="auto"/>
            <w:noWrap/>
            <w:hideMark/>
          </w:tcPr>
          <w:p w14:paraId="28B908BD" w14:textId="664D1E1E" w:rsidR="00350CF4" w:rsidRPr="002048EA" w:rsidRDefault="00350CF4" w:rsidP="00C22BD4">
            <w:pPr>
              <w:spacing w:after="0" w:line="240" w:lineRule="auto"/>
              <w:jc w:val="center"/>
              <w:rPr>
                <w:sz w:val="22"/>
              </w:rPr>
            </w:pPr>
            <w:r w:rsidRPr="00350CF4">
              <w:rPr>
                <w:rFonts w:eastAsia="Times New Roman" w:cs="Times New Roman"/>
                <w:sz w:val="22"/>
                <w:szCs w:val="22"/>
                <w:lang w:eastAsia="en-GB"/>
              </w:rPr>
              <w:t>78</w:t>
            </w:r>
          </w:p>
        </w:tc>
        <w:tc>
          <w:tcPr>
            <w:tcW w:w="992" w:type="dxa"/>
            <w:shd w:val="clear" w:color="auto" w:fill="auto"/>
            <w:noWrap/>
            <w:hideMark/>
          </w:tcPr>
          <w:p w14:paraId="5D90FA7F" w14:textId="378960AE" w:rsidR="00350CF4" w:rsidRPr="002048EA" w:rsidRDefault="00350CF4" w:rsidP="00C22BD4">
            <w:pPr>
              <w:spacing w:after="0" w:line="240" w:lineRule="auto"/>
              <w:jc w:val="center"/>
              <w:rPr>
                <w:sz w:val="22"/>
              </w:rPr>
            </w:pPr>
            <w:r w:rsidRPr="00350CF4">
              <w:rPr>
                <w:rFonts w:eastAsia="Times New Roman" w:cs="Times New Roman"/>
                <w:sz w:val="22"/>
                <w:szCs w:val="22"/>
                <w:lang w:eastAsia="en-GB"/>
              </w:rPr>
              <w:t>71</w:t>
            </w:r>
          </w:p>
        </w:tc>
        <w:tc>
          <w:tcPr>
            <w:tcW w:w="1560" w:type="dxa"/>
            <w:shd w:val="clear" w:color="auto" w:fill="auto"/>
            <w:noWrap/>
            <w:hideMark/>
          </w:tcPr>
          <w:p w14:paraId="1DE6D10D" w14:textId="6684B8BD" w:rsidR="00350CF4" w:rsidRPr="002048EA" w:rsidRDefault="00350CF4" w:rsidP="00C22BD4">
            <w:pPr>
              <w:spacing w:after="0" w:line="240" w:lineRule="auto"/>
              <w:jc w:val="center"/>
              <w:rPr>
                <w:sz w:val="22"/>
              </w:rPr>
            </w:pPr>
            <w:r w:rsidRPr="002048EA">
              <w:rPr>
                <w:sz w:val="22"/>
              </w:rPr>
              <w:t>73</w:t>
            </w:r>
          </w:p>
        </w:tc>
      </w:tr>
      <w:bookmarkEnd w:id="20"/>
    </w:tbl>
    <w:p w14:paraId="15BFC151" w14:textId="18001700" w:rsidR="00B132D6" w:rsidRPr="00581288" w:rsidRDefault="00B132D6" w:rsidP="00C57824"/>
    <w:p w14:paraId="34FAD8AE" w14:textId="77777777" w:rsidR="00B132D6" w:rsidRPr="00581288" w:rsidRDefault="00B132D6" w:rsidP="00C57824"/>
    <w:p w14:paraId="01A4AC60" w14:textId="60DA6252" w:rsidR="00B132D6" w:rsidRPr="00581288" w:rsidRDefault="00B132D6" w:rsidP="00C57824">
      <w:pPr>
        <w:sectPr w:rsidR="00B132D6" w:rsidRPr="00581288" w:rsidSect="007D7FE2">
          <w:pgSz w:w="15840" w:h="12240" w:orient="landscape"/>
          <w:pgMar w:top="1440" w:right="1588" w:bottom="1588" w:left="1588" w:header="720" w:footer="720" w:gutter="0"/>
          <w:lnNumType w:countBy="1" w:restart="continuous"/>
          <w:cols w:space="720"/>
          <w:docGrid w:linePitch="326"/>
        </w:sectPr>
      </w:pPr>
    </w:p>
    <w:p w14:paraId="4766BB98" w14:textId="5453C59C" w:rsidR="000820A0" w:rsidRPr="00581288" w:rsidRDefault="00A44E03" w:rsidP="000075CC">
      <w:pPr>
        <w:pStyle w:val="Heading1"/>
        <w:spacing w:after="0" w:line="480" w:lineRule="auto"/>
      </w:pPr>
      <w:r w:rsidRPr="00581288">
        <w:lastRenderedPageBreak/>
        <w:t>Figures</w:t>
      </w:r>
    </w:p>
    <w:p w14:paraId="5A37F34C" w14:textId="430A9A83" w:rsidR="00F04790" w:rsidRPr="00581288" w:rsidRDefault="00F04790" w:rsidP="00002FBB">
      <w:pPr>
        <w:pStyle w:val="TableofFigures"/>
        <w:tabs>
          <w:tab w:val="right" w:leader="dot" w:pos="9350"/>
        </w:tabs>
        <w:ind w:left="284" w:hanging="284"/>
        <w:rPr>
          <w:rFonts w:ascii="Times New Roman" w:hAnsi="Times New Roman" w:cs="Times New Roman"/>
          <w:b w:val="0"/>
          <w:sz w:val="24"/>
          <w:szCs w:val="24"/>
        </w:rPr>
      </w:pPr>
      <w:r w:rsidRPr="00581288">
        <w:rPr>
          <w:rFonts w:ascii="Times New Roman" w:hAnsi="Times New Roman" w:cs="Times New Roman"/>
          <w:b w:val="0"/>
          <w:sz w:val="24"/>
          <w:szCs w:val="24"/>
        </w:rPr>
        <w:t>Figure 1.</w:t>
      </w:r>
      <w:r w:rsidR="00721646" w:rsidRPr="00581288">
        <w:rPr>
          <w:rFonts w:ascii="Times New Roman" w:eastAsia="Times New Roman" w:hAnsi="Times New Roman" w:cs="Times New Roman"/>
          <w:b w:val="0"/>
          <w:bCs w:val="0"/>
          <w:sz w:val="24"/>
          <w:szCs w:val="24"/>
          <w:lang w:eastAsia="en-GB"/>
        </w:rPr>
        <w:t xml:space="preserve"> </w:t>
      </w:r>
      <w:r w:rsidR="00721646" w:rsidRPr="00581288">
        <w:rPr>
          <w:rFonts w:ascii="Times New Roman" w:hAnsi="Times New Roman" w:cs="Times New Roman"/>
          <w:b w:val="0"/>
          <w:sz w:val="24"/>
          <w:szCs w:val="24"/>
        </w:rPr>
        <w:t xml:space="preserve">Data reduction process </w:t>
      </w:r>
      <w:r w:rsidR="00614DA7" w:rsidRPr="00581288">
        <w:rPr>
          <w:rFonts w:ascii="Times New Roman" w:hAnsi="Times New Roman" w:cs="Times New Roman"/>
          <w:b w:val="0"/>
          <w:sz w:val="24"/>
          <w:szCs w:val="24"/>
        </w:rPr>
        <w:t>for the</w:t>
      </w:r>
      <w:r w:rsidR="00721646" w:rsidRPr="00581288">
        <w:rPr>
          <w:rFonts w:ascii="Times New Roman" w:hAnsi="Times New Roman" w:cs="Times New Roman"/>
          <w:b w:val="0"/>
          <w:sz w:val="24"/>
          <w:szCs w:val="24"/>
        </w:rPr>
        <w:t xml:space="preserve"> selection of eligible IR-only surveillance tests in England (2012-2020) based on complete 60-day retest results with reactor (R), IR or clear outcomes only. Training and testing </w:t>
      </w:r>
      <w:r w:rsidR="00E63CFC" w:rsidRPr="00581288">
        <w:rPr>
          <w:rFonts w:ascii="Times New Roman" w:hAnsi="Times New Roman" w:cs="Times New Roman"/>
          <w:b w:val="0"/>
          <w:sz w:val="24"/>
          <w:szCs w:val="24"/>
        </w:rPr>
        <w:t xml:space="preserve">datasets </w:t>
      </w:r>
      <w:r w:rsidR="00721646" w:rsidRPr="00581288">
        <w:rPr>
          <w:rFonts w:ascii="Times New Roman" w:hAnsi="Times New Roman" w:cs="Times New Roman"/>
          <w:b w:val="0"/>
          <w:sz w:val="24"/>
          <w:szCs w:val="24"/>
        </w:rPr>
        <w:t>split also shown</w:t>
      </w:r>
      <w:r w:rsidRPr="00581288">
        <w:rPr>
          <w:rFonts w:ascii="Times New Roman" w:hAnsi="Times New Roman" w:cs="Times New Roman"/>
          <w:b w:val="0"/>
          <w:sz w:val="24"/>
          <w:szCs w:val="24"/>
        </w:rPr>
        <w:t xml:space="preserve">. </w:t>
      </w:r>
    </w:p>
    <w:p w14:paraId="031423A0" w14:textId="72074E62" w:rsidR="00543F8A" w:rsidRPr="00581288" w:rsidRDefault="00F04790" w:rsidP="00002FBB">
      <w:pPr>
        <w:spacing w:after="0"/>
        <w:ind w:left="284" w:hanging="284"/>
      </w:pPr>
      <w:r w:rsidRPr="00581288">
        <w:t>Figure 2.</w:t>
      </w:r>
      <w:r w:rsidR="00721646" w:rsidRPr="00581288">
        <w:t xml:space="preserve"> a) The majority of </w:t>
      </w:r>
      <w:r w:rsidR="00F52CE4" w:rsidRPr="00581288">
        <w:t xml:space="preserve">eligible </w:t>
      </w:r>
      <w:r w:rsidR="00721646" w:rsidRPr="00581288">
        <w:t>IR-only surveillance tests in the study population (2012-2020) d</w:t>
      </w:r>
      <w:r w:rsidR="006959F9" w:rsidRPr="00581288">
        <w:t>etected</w:t>
      </w:r>
      <w:r w:rsidR="00721646" w:rsidRPr="00581288">
        <w:t xml:space="preserve"> a single IR</w:t>
      </w:r>
      <w:r w:rsidR="00EE1EA1">
        <w:t>; b) the majority of tests did not lead to an incident at retest; c</w:t>
      </w:r>
      <w:r w:rsidR="00721646" w:rsidRPr="00581288">
        <w:t xml:space="preserve">) </w:t>
      </w:r>
      <w:r w:rsidR="00455589" w:rsidRPr="00581288">
        <w:t>Sankey graph showing t</w:t>
      </w:r>
      <w:r w:rsidR="00721646" w:rsidRPr="00581288">
        <w:t>he majority of IRs d</w:t>
      </w:r>
      <w:r w:rsidR="006959F9" w:rsidRPr="00581288">
        <w:t>etected</w:t>
      </w:r>
      <w:r w:rsidR="00721646" w:rsidRPr="00581288">
        <w:t xml:space="preserve"> in eligible IR-only surveillance tests retested clear 60 days later </w:t>
      </w:r>
      <w:r w:rsidR="00FB704F" w:rsidRPr="00581288">
        <w:t>in all surveillance risk areas (HRA = High-risk area, EA = Edge area, LRA = Low-risk area)</w:t>
      </w:r>
      <w:r w:rsidR="00503A06" w:rsidRPr="00581288">
        <w:t>.</w:t>
      </w:r>
    </w:p>
    <w:p w14:paraId="4DA15627" w14:textId="615A1615" w:rsidR="005F01BC" w:rsidRPr="00581288" w:rsidRDefault="00543F8A" w:rsidP="00002FBB">
      <w:pPr>
        <w:spacing w:after="0"/>
        <w:ind w:left="284" w:hanging="284"/>
      </w:pPr>
      <w:r w:rsidRPr="00581288">
        <w:t>Figure 3.</w:t>
      </w:r>
      <w:r w:rsidR="00721646" w:rsidRPr="00581288">
        <w:t xml:space="preserve"> Classification tree analysis for the probability of any reactors or IRs found at the retest of IR-only surveillance tests</w:t>
      </w:r>
      <w:r w:rsidR="00455589" w:rsidRPr="00581288">
        <w:t xml:space="preserve">, </w:t>
      </w:r>
      <w:r w:rsidR="00721646" w:rsidRPr="00581288">
        <w:t>showing the outcome classes’ counts and proportions as well as the overall proportion and number of tests</w:t>
      </w:r>
      <w:r w:rsidR="00796168" w:rsidRPr="00581288">
        <w:t xml:space="preserve"> (</w:t>
      </w:r>
      <w:r w:rsidR="00721646" w:rsidRPr="00581288">
        <w:t>observations</w:t>
      </w:r>
      <w:r w:rsidR="00796168" w:rsidRPr="00581288">
        <w:t>)</w:t>
      </w:r>
      <w:r w:rsidR="00721646" w:rsidRPr="00581288">
        <w:t xml:space="preserve">. Nodes in the path leading to the </w:t>
      </w:r>
      <w:r w:rsidR="00796168" w:rsidRPr="00581288">
        <w:t xml:space="preserve">group with the highest proportion of </w:t>
      </w:r>
      <w:r w:rsidR="001F41C9" w:rsidRPr="00581288">
        <w:t xml:space="preserve">tests with </w:t>
      </w:r>
      <w:r w:rsidR="00796168" w:rsidRPr="00581288">
        <w:t>outcome variable = “Yes”</w:t>
      </w:r>
      <w:r w:rsidR="00721646" w:rsidRPr="00581288">
        <w:t xml:space="preserve"> are </w:t>
      </w:r>
      <w:r w:rsidR="00796168" w:rsidRPr="00581288">
        <w:t>colour-</w:t>
      </w:r>
      <w:r w:rsidR="00721646" w:rsidRPr="00581288">
        <w:t>filled in accordance to the scale underneath</w:t>
      </w:r>
      <w:r w:rsidR="00093CC5" w:rsidRPr="00581288">
        <w:t>.</w:t>
      </w:r>
    </w:p>
    <w:p w14:paraId="6795FF69" w14:textId="4034120A" w:rsidR="00543F8A" w:rsidRPr="00581288" w:rsidRDefault="00721646" w:rsidP="00543F8A">
      <w:pPr>
        <w:spacing w:after="0"/>
        <w:ind w:left="284" w:hanging="284"/>
      </w:pPr>
      <w:r w:rsidRPr="00581288">
        <w:t>Figure 4. Sankey graphs showing classification tree model outputs’ evaluation at test level using the 20%</w:t>
      </w:r>
      <w:r w:rsidR="001F41C9" w:rsidRPr="00581288">
        <w:t xml:space="preserve"> of</w:t>
      </w:r>
      <w:r w:rsidRPr="00581288">
        <w:t xml:space="preserve"> 2012-2019 testing dataset (Test 1)</w:t>
      </w:r>
      <w:r w:rsidR="001F41C9" w:rsidRPr="00581288">
        <w:t xml:space="preserve">: </w:t>
      </w:r>
      <w:r w:rsidRPr="00581288">
        <w:t xml:space="preserve">a) </w:t>
      </w:r>
      <w:r w:rsidR="001F41C9" w:rsidRPr="00581288">
        <w:t>h</w:t>
      </w:r>
      <w:r w:rsidRPr="00581288">
        <w:t xml:space="preserve">igh-risk tests and b) </w:t>
      </w:r>
      <w:r w:rsidR="001F41C9" w:rsidRPr="00581288">
        <w:t>l</w:t>
      </w:r>
      <w:r w:rsidRPr="00581288">
        <w:t>ow-risk tests</w:t>
      </w:r>
      <w:r w:rsidR="001F41C9" w:rsidRPr="00581288">
        <w:t>,</w:t>
      </w:r>
      <w:r w:rsidRPr="00581288">
        <w:t xml:space="preserve"> and the 2020 testing dataset (Test 2)</w:t>
      </w:r>
      <w:r w:rsidR="001F41C9" w:rsidRPr="00581288">
        <w:t>:</w:t>
      </w:r>
      <w:r w:rsidRPr="00581288">
        <w:t xml:space="preserve"> c) </w:t>
      </w:r>
      <w:r w:rsidR="001F41C9" w:rsidRPr="00581288">
        <w:t>h</w:t>
      </w:r>
      <w:r w:rsidRPr="00581288">
        <w:t xml:space="preserve">igh-risk tests and d) </w:t>
      </w:r>
      <w:r w:rsidR="001F41C9" w:rsidRPr="00581288">
        <w:t>l</w:t>
      </w:r>
      <w:r w:rsidRPr="00581288">
        <w:t>ow</w:t>
      </w:r>
      <w:r w:rsidR="001F41C9" w:rsidRPr="00581288">
        <w:t>-</w:t>
      </w:r>
      <w:r w:rsidRPr="00581288">
        <w:t xml:space="preserve">risk tests. </w:t>
      </w:r>
      <w:r w:rsidR="001F41C9" w:rsidRPr="00581288">
        <w:t>O</w:t>
      </w:r>
      <w:r w:rsidRPr="00581288">
        <w:t>utcomes</w:t>
      </w:r>
      <w:r w:rsidR="00A679B5" w:rsidRPr="00581288">
        <w:t xml:space="preserve"> of tests</w:t>
      </w:r>
      <w:r w:rsidRPr="00581288">
        <w:t xml:space="preserve"> at the 60-day retest, leading to an incident being declared if any reactors or IRs are found, </w:t>
      </w:r>
      <w:r w:rsidR="001F41C9" w:rsidRPr="00581288">
        <w:t>are compared to</w:t>
      </w:r>
      <w:r w:rsidRPr="00581288">
        <w:t xml:space="preserve"> reinterpreting IRs in the disclosing test at severe level. The latter</w:t>
      </w:r>
      <w:r w:rsidR="00F10490" w:rsidRPr="00581288">
        <w:t xml:space="preserve"> </w:t>
      </w:r>
      <w:r w:rsidR="001F41C9" w:rsidRPr="00581288">
        <w:t xml:space="preserve">leads to </w:t>
      </w:r>
      <w:r w:rsidRPr="00581288">
        <w:t>IRs that either reinterpret as reactors (Positive IR</w:t>
      </w:r>
      <w:r w:rsidR="00E428CC" w:rsidRPr="00581288">
        <w:t>s</w:t>
      </w:r>
      <w:r w:rsidRPr="00581288">
        <w:t>) triggering an incident on disclosure, or not (Negative IR</w:t>
      </w:r>
      <w:r w:rsidR="00E428CC" w:rsidRPr="00581288">
        <w:t>s</w:t>
      </w:r>
      <w:r w:rsidRPr="00581288">
        <w:t xml:space="preserve">). </w:t>
      </w:r>
    </w:p>
    <w:p w14:paraId="6BDDD50D" w14:textId="144DF265" w:rsidR="00543F8A" w:rsidRPr="00581288" w:rsidRDefault="00721646" w:rsidP="00002FBB">
      <w:pPr>
        <w:spacing w:after="0"/>
        <w:ind w:left="284" w:hanging="284"/>
      </w:pPr>
      <w:r w:rsidRPr="00581288">
        <w:lastRenderedPageBreak/>
        <w:t xml:space="preserve">Figure 5. Sankey graphs showing classification tree model outputs’ evaluation at </w:t>
      </w:r>
      <w:r w:rsidR="00627385" w:rsidRPr="00581288">
        <w:t xml:space="preserve">individual animal or </w:t>
      </w:r>
      <w:r w:rsidRPr="00581288">
        <w:t xml:space="preserve">IR level using the 20% </w:t>
      </w:r>
      <w:r w:rsidR="00E428CC" w:rsidRPr="00581288">
        <w:t xml:space="preserve">of </w:t>
      </w:r>
      <w:r w:rsidRPr="00581288">
        <w:t>2012-2019 testing dataset (Test 1)</w:t>
      </w:r>
      <w:r w:rsidR="00E428CC" w:rsidRPr="00581288">
        <w:t>:</w:t>
      </w:r>
      <w:r w:rsidRPr="00581288">
        <w:t xml:space="preserve"> a) </w:t>
      </w:r>
      <w:r w:rsidR="00E428CC" w:rsidRPr="00581288">
        <w:t>h</w:t>
      </w:r>
      <w:r w:rsidRPr="00581288">
        <w:t xml:space="preserve">igh-risk tests and b) </w:t>
      </w:r>
      <w:r w:rsidR="00E428CC" w:rsidRPr="00581288">
        <w:t>l</w:t>
      </w:r>
      <w:r w:rsidRPr="00581288">
        <w:t>ow-risk tests)</w:t>
      </w:r>
      <w:r w:rsidR="00E428CC" w:rsidRPr="00581288">
        <w:t>,</w:t>
      </w:r>
      <w:r w:rsidRPr="00581288">
        <w:t xml:space="preserve"> and the 2020 testing dataset (Test 2)</w:t>
      </w:r>
      <w:r w:rsidR="00E428CC" w:rsidRPr="00581288">
        <w:t>:</w:t>
      </w:r>
      <w:r w:rsidRPr="00581288">
        <w:t xml:space="preserve"> c) </w:t>
      </w:r>
      <w:r w:rsidR="00E428CC" w:rsidRPr="00581288">
        <w:t>h</w:t>
      </w:r>
      <w:r w:rsidRPr="00581288">
        <w:t xml:space="preserve">igh-risk tests and d) </w:t>
      </w:r>
      <w:r w:rsidR="00E428CC" w:rsidRPr="00581288">
        <w:t>l</w:t>
      </w:r>
      <w:r w:rsidRPr="00581288">
        <w:t xml:space="preserve">ow risk tests. </w:t>
      </w:r>
      <w:r w:rsidR="00E428CC" w:rsidRPr="00581288">
        <w:t>The number of IRs that retest as reactors, IRs or clear within incident and non-incident at retest tests, is compared to the number of IRs that become reactors at severe level reinterpretation of the disclosing test (Positive IRs).</w:t>
      </w:r>
    </w:p>
    <w:p w14:paraId="627F2B54" w14:textId="0D58D886" w:rsidR="00FB704F" w:rsidRPr="00581288" w:rsidRDefault="00721646" w:rsidP="00002FBB">
      <w:pPr>
        <w:spacing w:after="0"/>
        <w:ind w:left="284" w:hanging="284"/>
        <w:sectPr w:rsidR="00FB704F" w:rsidRPr="00581288" w:rsidSect="00FB704F">
          <w:pgSz w:w="12240" w:h="15840"/>
          <w:pgMar w:top="1440" w:right="1588" w:bottom="1588" w:left="1588" w:header="720" w:footer="720" w:gutter="0"/>
          <w:lnNumType w:countBy="1" w:restart="continuous"/>
          <w:cols w:space="720"/>
          <w:docGrid w:linePitch="326"/>
        </w:sectPr>
      </w:pPr>
      <w:r w:rsidRPr="00581288">
        <w:t xml:space="preserve">Figure 6. Distribution of </w:t>
      </w:r>
      <w:r w:rsidR="00627385" w:rsidRPr="00581288">
        <w:t>IRs in IR</w:t>
      </w:r>
      <w:r w:rsidRPr="00581288">
        <w:t>-only surveillance tests deemed to be high-risk according to the classification tree analysis by surveillance risk area a) in the Test 1 dataset (20% of 2012-2019 dataset)</w:t>
      </w:r>
      <w:r w:rsidR="00E428CC" w:rsidRPr="00581288">
        <w:t>,</w:t>
      </w:r>
      <w:r w:rsidRPr="00581288">
        <w:t xml:space="preserve"> b) the Test 2 dataset (2020 dataset), and c) by county in the Test 2 dataset. The majority of IR</w:t>
      </w:r>
      <w:r w:rsidR="00E66D17" w:rsidRPr="00581288">
        <w:t>-only</w:t>
      </w:r>
      <w:r w:rsidRPr="00581288">
        <w:t xml:space="preserve"> high-risk tests </w:t>
      </w:r>
      <w:r w:rsidR="00E66D17" w:rsidRPr="00581288">
        <w:t>and IRs disclosed</w:t>
      </w:r>
      <w:r w:rsidRPr="00581288">
        <w:t xml:space="preserve"> are located in the HRA of England in both testing datasets and, at county level, particularly in Devon (Test 2 dataset).</w:t>
      </w:r>
    </w:p>
    <w:p w14:paraId="66F8F7E0" w14:textId="6485A584" w:rsidR="00721646" w:rsidRDefault="00004B4E" w:rsidP="00FB704F">
      <w:pPr>
        <w:spacing w:line="312" w:lineRule="auto"/>
      </w:pPr>
      <w:r>
        <w:object w:dxaOrig="5145" w:dyaOrig="11385" w14:anchorId="3EC69D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569pt" o:ole="">
            <v:imagedata r:id="rId10" o:title=""/>
          </v:shape>
          <o:OLEObject Type="Embed" ProgID="Visio.Drawing.15" ShapeID="_x0000_i1025" DrawAspect="Content" ObjectID="_1701115165" r:id="rId11"/>
        </w:object>
      </w:r>
    </w:p>
    <w:p w14:paraId="51BE73DC" w14:textId="025DD15E" w:rsidR="00FB704F" w:rsidRDefault="00EF4E03" w:rsidP="00FB704F">
      <w:pPr>
        <w:pStyle w:val="Caption"/>
        <w:keepNext/>
        <w:spacing w:after="0" w:line="480" w:lineRule="auto"/>
        <w:sectPr w:rsidR="00FB704F" w:rsidSect="00FB704F">
          <w:pgSz w:w="12240" w:h="15840"/>
          <w:pgMar w:top="1440" w:right="1588" w:bottom="1588" w:left="1588" w:header="720" w:footer="720" w:gutter="0"/>
          <w:lnNumType w:countBy="1" w:restart="continuous"/>
          <w:cols w:space="720"/>
          <w:docGrid w:linePitch="326"/>
        </w:sectPr>
      </w:pPr>
      <w:bookmarkStart w:id="21" w:name="_Toc4169187"/>
      <w:bookmarkStart w:id="22" w:name="_Toc4183981"/>
      <w:r>
        <w:t xml:space="preserve">Figure </w:t>
      </w:r>
      <w:r w:rsidR="00877F2E">
        <w:rPr>
          <w:noProof/>
        </w:rPr>
        <w:fldChar w:fldCharType="begin"/>
      </w:r>
      <w:r w:rsidR="00877F2E">
        <w:rPr>
          <w:noProof/>
        </w:rPr>
        <w:instrText xml:space="preserve"> SEQ Figure \* ARABIC </w:instrText>
      </w:r>
      <w:r w:rsidR="00877F2E">
        <w:rPr>
          <w:noProof/>
        </w:rPr>
        <w:fldChar w:fldCharType="separate"/>
      </w:r>
      <w:r w:rsidR="0076152E">
        <w:rPr>
          <w:noProof/>
        </w:rPr>
        <w:t>1</w:t>
      </w:r>
      <w:r w:rsidR="00877F2E">
        <w:rPr>
          <w:noProof/>
        </w:rPr>
        <w:fldChar w:fldCharType="end"/>
      </w:r>
      <w:r>
        <w:t xml:space="preserve"> </w:t>
      </w:r>
      <w:bookmarkEnd w:id="21"/>
      <w:bookmarkEnd w:id="22"/>
    </w:p>
    <w:p w14:paraId="5941C6DB" w14:textId="6E8E0A74" w:rsidR="0065442D" w:rsidRDefault="008E1043" w:rsidP="0065442D">
      <w:pPr>
        <w:keepNext/>
      </w:pPr>
      <w:r>
        <w:rPr>
          <w:noProof/>
        </w:rPr>
        <w:lastRenderedPageBreak/>
        <w:drawing>
          <wp:inline distT="0" distB="0" distL="0" distR="0" wp14:anchorId="5A33E685" wp14:editId="3EBFCA82">
            <wp:extent cx="8135620" cy="51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mographic figure with grob.png"/>
                    <pic:cNvPicPr/>
                  </pic:nvPicPr>
                  <pic:blipFill>
                    <a:blip r:embed="rId12">
                      <a:extLst>
                        <a:ext uri="{28A0092B-C50C-407E-A947-70E740481C1C}">
                          <a14:useLocalDpi xmlns:a14="http://schemas.microsoft.com/office/drawing/2010/main" val="0"/>
                        </a:ext>
                      </a:extLst>
                    </a:blip>
                    <a:stretch>
                      <a:fillRect/>
                    </a:stretch>
                  </pic:blipFill>
                  <pic:spPr>
                    <a:xfrm>
                      <a:off x="0" y="0"/>
                      <a:ext cx="8135620" cy="5130800"/>
                    </a:xfrm>
                    <a:prstGeom prst="rect">
                      <a:avLst/>
                    </a:prstGeom>
                  </pic:spPr>
                </pic:pic>
              </a:graphicData>
            </a:graphic>
          </wp:inline>
        </w:drawing>
      </w:r>
    </w:p>
    <w:p w14:paraId="17DD4E4C" w14:textId="0AEE8FBB" w:rsidR="005F01BC" w:rsidRPr="00C07086" w:rsidRDefault="005F01BC" w:rsidP="005F01BC">
      <w:pPr>
        <w:pStyle w:val="Caption"/>
        <w:spacing w:after="0" w:line="480" w:lineRule="auto"/>
        <w:sectPr w:rsidR="005F01BC" w:rsidRPr="00C07086" w:rsidSect="00FB704F">
          <w:pgSz w:w="15840" w:h="12240" w:orient="landscape"/>
          <w:pgMar w:top="1588" w:right="1588" w:bottom="1588" w:left="1440" w:header="720" w:footer="720" w:gutter="0"/>
          <w:lnNumType w:countBy="1" w:restart="continuous"/>
          <w:cols w:space="720"/>
          <w:docGrid w:linePitch="326"/>
        </w:sectPr>
      </w:pPr>
      <w:r>
        <w:t>Fi</w:t>
      </w:r>
      <w:r w:rsidR="0065442D">
        <w:t xml:space="preserve">gure 2 </w:t>
      </w:r>
    </w:p>
    <w:bookmarkStart w:id="23" w:name="_Toc4169188"/>
    <w:bookmarkStart w:id="24" w:name="_Toc4183982"/>
    <w:p w14:paraId="4622A982" w14:textId="2AE2FF73" w:rsidR="00643343" w:rsidRDefault="004C0D29" w:rsidP="00790B10">
      <w:pPr>
        <w:pStyle w:val="Caption"/>
        <w:spacing w:after="0" w:line="480" w:lineRule="auto"/>
        <w:ind w:left="-284"/>
      </w:pPr>
      <w:r>
        <w:object w:dxaOrig="16088" w:dyaOrig="9037" w14:anchorId="14CADF3C">
          <v:shape id="_x0000_i1026" type="#_x0000_t75" style="width:701pt;height:395pt" o:ole="">
            <v:imagedata r:id="rId13" o:title=""/>
          </v:shape>
          <o:OLEObject Type="Embed" ProgID="Visio.Drawing.15" ShapeID="_x0000_i1026" DrawAspect="Content" ObjectID="_1701115166" r:id="rId14"/>
        </w:object>
      </w:r>
    </w:p>
    <w:p w14:paraId="232B9ADA" w14:textId="77777777" w:rsidR="0065442D" w:rsidRDefault="00C05291" w:rsidP="0012353A">
      <w:pPr>
        <w:pStyle w:val="Caption"/>
        <w:spacing w:after="0" w:line="480" w:lineRule="auto"/>
        <w:sectPr w:rsidR="0065442D" w:rsidSect="00766E08">
          <w:pgSz w:w="15840" w:h="12240" w:orient="landscape"/>
          <w:pgMar w:top="1588" w:right="1588" w:bottom="1440" w:left="1588" w:header="720" w:footer="720" w:gutter="0"/>
          <w:lnNumType w:countBy="1" w:restart="continuous"/>
          <w:cols w:space="720"/>
          <w:docGrid w:linePitch="326"/>
        </w:sectPr>
      </w:pPr>
      <w:r>
        <w:t xml:space="preserve">Figure </w:t>
      </w:r>
      <w:r w:rsidR="00DF72E9">
        <w:t>3</w:t>
      </w:r>
      <w:r>
        <w:t xml:space="preserve"> </w:t>
      </w:r>
      <w:bookmarkEnd w:id="23"/>
      <w:bookmarkEnd w:id="24"/>
    </w:p>
    <w:p w14:paraId="55205C73" w14:textId="6E1F3586" w:rsidR="00C05291" w:rsidRDefault="00CD62A6" w:rsidP="0012353A">
      <w:pPr>
        <w:pStyle w:val="Caption"/>
        <w:spacing w:after="0" w:line="480" w:lineRule="auto"/>
      </w:pPr>
      <w:r>
        <w:rPr>
          <w:noProof/>
        </w:rPr>
        <w:lastRenderedPageBreak/>
        <w:drawing>
          <wp:inline distT="0" distB="0" distL="0" distR="0" wp14:anchorId="3E5555CF" wp14:editId="7376FCBD">
            <wp:extent cx="6668431" cy="4391638"/>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n ir test level.png"/>
                    <pic:cNvPicPr/>
                  </pic:nvPicPr>
                  <pic:blipFill>
                    <a:blip r:embed="rId15">
                      <a:extLst>
                        <a:ext uri="{28A0092B-C50C-407E-A947-70E740481C1C}">
                          <a14:useLocalDpi xmlns:a14="http://schemas.microsoft.com/office/drawing/2010/main" val="0"/>
                        </a:ext>
                      </a:extLst>
                    </a:blip>
                    <a:stretch>
                      <a:fillRect/>
                    </a:stretch>
                  </pic:blipFill>
                  <pic:spPr>
                    <a:xfrm>
                      <a:off x="0" y="0"/>
                      <a:ext cx="6668431" cy="4391638"/>
                    </a:xfrm>
                    <a:prstGeom prst="rect">
                      <a:avLst/>
                    </a:prstGeom>
                  </pic:spPr>
                </pic:pic>
              </a:graphicData>
            </a:graphic>
          </wp:inline>
        </w:drawing>
      </w:r>
    </w:p>
    <w:p w14:paraId="15A58AC7" w14:textId="032479F0" w:rsidR="0065442D" w:rsidRDefault="0065442D" w:rsidP="0065442D">
      <w:pPr>
        <w:pStyle w:val="Caption"/>
        <w:spacing w:after="0" w:line="480" w:lineRule="auto"/>
        <w:sectPr w:rsidR="0065442D" w:rsidSect="00664947">
          <w:pgSz w:w="15840" w:h="12240" w:orient="landscape"/>
          <w:pgMar w:top="1588" w:right="1588" w:bottom="1440" w:left="1588" w:header="720" w:footer="720" w:gutter="0"/>
          <w:lnNumType w:countBy="1" w:restart="continuous"/>
          <w:cols w:space="720"/>
          <w:docGrid w:linePitch="326"/>
        </w:sectPr>
      </w:pPr>
      <w:r>
        <w:t xml:space="preserve">Figure 4 </w:t>
      </w:r>
    </w:p>
    <w:p w14:paraId="6C60DFF5" w14:textId="18BAFC56" w:rsidR="0065442D" w:rsidRDefault="00CD62A6" w:rsidP="0065442D">
      <w:pPr>
        <w:pStyle w:val="Caption"/>
        <w:spacing w:after="0" w:line="480" w:lineRule="auto"/>
      </w:pPr>
      <w:r>
        <w:rPr>
          <w:noProof/>
        </w:rPr>
        <w:lastRenderedPageBreak/>
        <w:drawing>
          <wp:inline distT="0" distB="0" distL="0" distR="0" wp14:anchorId="586F3BBE" wp14:editId="6EB14CEA">
            <wp:extent cx="6744641" cy="4486901"/>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an ir ir level.png"/>
                    <pic:cNvPicPr/>
                  </pic:nvPicPr>
                  <pic:blipFill>
                    <a:blip r:embed="rId16">
                      <a:extLst>
                        <a:ext uri="{28A0092B-C50C-407E-A947-70E740481C1C}">
                          <a14:useLocalDpi xmlns:a14="http://schemas.microsoft.com/office/drawing/2010/main" val="0"/>
                        </a:ext>
                      </a:extLst>
                    </a:blip>
                    <a:stretch>
                      <a:fillRect/>
                    </a:stretch>
                  </pic:blipFill>
                  <pic:spPr>
                    <a:xfrm>
                      <a:off x="0" y="0"/>
                      <a:ext cx="6744641" cy="4486901"/>
                    </a:xfrm>
                    <a:prstGeom prst="rect">
                      <a:avLst/>
                    </a:prstGeom>
                  </pic:spPr>
                </pic:pic>
              </a:graphicData>
            </a:graphic>
          </wp:inline>
        </w:drawing>
      </w:r>
    </w:p>
    <w:p w14:paraId="24F6A58A" w14:textId="77777777" w:rsidR="0065442D" w:rsidRDefault="0065442D" w:rsidP="0065442D">
      <w:pPr>
        <w:pStyle w:val="Caption"/>
        <w:spacing w:after="0" w:line="480" w:lineRule="auto"/>
        <w:sectPr w:rsidR="0065442D" w:rsidSect="00664947">
          <w:pgSz w:w="15840" w:h="12240" w:orient="landscape"/>
          <w:pgMar w:top="1440" w:right="1588" w:bottom="1588" w:left="1588" w:header="720" w:footer="720" w:gutter="0"/>
          <w:lnNumType w:countBy="1" w:restart="continuous"/>
          <w:cols w:space="720"/>
          <w:docGrid w:linePitch="326"/>
        </w:sectPr>
      </w:pPr>
      <w:r>
        <w:t xml:space="preserve">Figure 5 </w:t>
      </w:r>
    </w:p>
    <w:p w14:paraId="44B2F465" w14:textId="0129C27D" w:rsidR="0065442D" w:rsidRDefault="004A289C" w:rsidP="0065442D">
      <w:pPr>
        <w:pStyle w:val="Caption"/>
        <w:spacing w:after="0" w:line="480" w:lineRule="auto"/>
      </w:pPr>
      <w:r>
        <w:rPr>
          <w:noProof/>
        </w:rPr>
        <w:lastRenderedPageBreak/>
        <w:drawing>
          <wp:inline distT="0" distB="0" distL="0" distR="0" wp14:anchorId="514B4858" wp14:editId="698FE844">
            <wp:extent cx="6391275" cy="63912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91275" cy="6391275"/>
                    </a:xfrm>
                    <a:prstGeom prst="rect">
                      <a:avLst/>
                    </a:prstGeom>
                    <a:noFill/>
                  </pic:spPr>
                </pic:pic>
              </a:graphicData>
            </a:graphic>
          </wp:inline>
        </w:drawing>
      </w:r>
    </w:p>
    <w:p w14:paraId="708C3537" w14:textId="63BD8E1B" w:rsidR="0065442D" w:rsidRPr="0065442D" w:rsidRDefault="0065442D" w:rsidP="0065442D">
      <w:pPr>
        <w:pStyle w:val="Caption"/>
        <w:spacing w:after="0" w:line="480" w:lineRule="auto"/>
      </w:pPr>
      <w:r>
        <w:t xml:space="preserve">Figure 6 </w:t>
      </w:r>
    </w:p>
    <w:p w14:paraId="26D4BF0E" w14:textId="6308AFD5" w:rsidR="00174558" w:rsidRPr="00174558" w:rsidRDefault="00174558" w:rsidP="000075CC">
      <w:pPr>
        <w:pStyle w:val="Caption"/>
        <w:spacing w:after="0" w:line="480" w:lineRule="auto"/>
        <w:sectPr w:rsidR="00174558" w:rsidRPr="00174558" w:rsidSect="0065442D">
          <w:pgSz w:w="12240" w:h="15840"/>
          <w:pgMar w:top="1588" w:right="1440" w:bottom="1588" w:left="1588" w:header="720" w:footer="720" w:gutter="0"/>
          <w:lnNumType w:countBy="1" w:restart="continuous"/>
          <w:cols w:space="720"/>
          <w:docGrid w:linePitch="326"/>
        </w:sectPr>
      </w:pPr>
    </w:p>
    <w:p w14:paraId="60B54E35" w14:textId="2CA09A51" w:rsidR="00FA0479" w:rsidRDefault="00FA0479" w:rsidP="000075CC">
      <w:pPr>
        <w:pStyle w:val="Heading1"/>
        <w:spacing w:after="0" w:line="480" w:lineRule="auto"/>
      </w:pPr>
      <w:r>
        <w:lastRenderedPageBreak/>
        <w:t xml:space="preserve">Conflict of </w:t>
      </w:r>
      <w:r w:rsidRPr="001D6972">
        <w:t>interest</w:t>
      </w:r>
      <w:r>
        <w:t xml:space="preserve"> declaration</w:t>
      </w:r>
    </w:p>
    <w:p w14:paraId="0384A931" w14:textId="4ECB29DD" w:rsidR="00D31A44" w:rsidRDefault="00FA0479" w:rsidP="000075CC">
      <w:pPr>
        <w:spacing w:after="0"/>
        <w:rPr>
          <w:szCs w:val="24"/>
        </w:rPr>
      </w:pPr>
      <w:r w:rsidRPr="00FA0479">
        <w:t>None of the authors of this paper has a financial or personal relationship</w:t>
      </w:r>
      <w:r>
        <w:t xml:space="preserve"> </w:t>
      </w:r>
      <w:r w:rsidRPr="00FA0479">
        <w:t>with other people or organisations that could</w:t>
      </w:r>
      <w:r>
        <w:t xml:space="preserve"> </w:t>
      </w:r>
      <w:r w:rsidRPr="00FA0479">
        <w:t>inappropriately influence or bias the content of the paper</w:t>
      </w:r>
      <w:r w:rsidR="008F36BF">
        <w:t>.</w:t>
      </w:r>
    </w:p>
    <w:p w14:paraId="504DC017" w14:textId="446C38C5" w:rsidR="0060188A" w:rsidRDefault="0060188A" w:rsidP="000075CC">
      <w:pPr>
        <w:pStyle w:val="Heading1"/>
        <w:spacing w:after="0" w:line="480" w:lineRule="auto"/>
      </w:pPr>
      <w:r w:rsidRPr="001D6972">
        <w:t>Acknowledgements</w:t>
      </w:r>
    </w:p>
    <w:p w14:paraId="39DB99C3" w14:textId="0FD5E3C6" w:rsidR="00F1259C" w:rsidRDefault="00F432F9" w:rsidP="000075CC">
      <w:pPr>
        <w:spacing w:after="0"/>
        <w:sectPr w:rsidR="00F1259C" w:rsidSect="000851CB">
          <w:type w:val="nextColumn"/>
          <w:pgSz w:w="12240" w:h="15840"/>
          <w:pgMar w:top="1440" w:right="1588" w:bottom="1588" w:left="1588" w:header="720" w:footer="720" w:gutter="0"/>
          <w:lnNumType w:countBy="1" w:restart="continuous"/>
          <w:cols w:space="720"/>
          <w:docGrid w:linePitch="326"/>
        </w:sectPr>
      </w:pPr>
      <w:r>
        <w:t>This research was funded by the Animal and Plant Health Agency and undertaken with the Royal Veterinary College, manuscript approval number</w:t>
      </w:r>
      <w:r>
        <w:rPr>
          <w:color w:val="FF0000"/>
        </w:rPr>
        <w:t xml:space="preserve"> </w:t>
      </w:r>
      <w:r>
        <w:t xml:space="preserve">1550275. The authors thank the APHA’s Data Systems Group, which have provided the data as well as useful advice, and to Mr Geoff </w:t>
      </w:r>
      <w:proofErr w:type="spellStart"/>
      <w:r>
        <w:t>Jasinski</w:t>
      </w:r>
      <w:proofErr w:type="spellEnd"/>
      <w:r>
        <w:t xml:space="preserve">, who read and made </w:t>
      </w:r>
      <w:r w:rsidR="00DF70F1">
        <w:t>relevant</w:t>
      </w:r>
      <w:r>
        <w:t xml:space="preserve"> comments on drafts. We are particularly grateful to policy and veterinary colleagues in the bTB Programme of Defra, whose input helped us select the final model</w:t>
      </w:r>
      <w:r w:rsidR="00F1259C">
        <w:t>.</w:t>
      </w:r>
    </w:p>
    <w:p w14:paraId="43C38BD7" w14:textId="51CF03BA" w:rsidR="002B3451" w:rsidRPr="0060188A" w:rsidRDefault="002B3451" w:rsidP="000075CC">
      <w:pPr>
        <w:pStyle w:val="Heading1"/>
        <w:spacing w:after="0" w:line="480" w:lineRule="auto"/>
      </w:pPr>
      <w:r w:rsidRPr="001D6972">
        <w:lastRenderedPageBreak/>
        <w:t>References</w:t>
      </w:r>
    </w:p>
    <w:bookmarkEnd w:id="3"/>
    <w:p w14:paraId="798D5AB9" w14:textId="6D5FD388" w:rsidR="0037603C" w:rsidRPr="0037603C" w:rsidRDefault="0014390D" w:rsidP="0037603C">
      <w:pPr>
        <w:widowControl w:val="0"/>
        <w:autoSpaceDE w:val="0"/>
        <w:autoSpaceDN w:val="0"/>
        <w:adjustRightInd w:val="0"/>
        <w:spacing w:after="0"/>
        <w:ind w:left="480" w:hanging="480"/>
        <w:rPr>
          <w:rFonts w:cs="Times New Roman"/>
          <w:noProof/>
          <w:szCs w:val="24"/>
        </w:rPr>
      </w:pPr>
      <w:r>
        <w:fldChar w:fldCharType="begin" w:fldLock="1"/>
      </w:r>
      <w:r>
        <w:instrText xml:space="preserve">ADDIN Mendeley Bibliography CSL_BIBLIOGRAPHY </w:instrText>
      </w:r>
      <w:r>
        <w:fldChar w:fldCharType="separate"/>
      </w:r>
      <w:r w:rsidR="0037603C" w:rsidRPr="0037603C">
        <w:rPr>
          <w:rFonts w:cs="Times New Roman"/>
          <w:noProof/>
          <w:szCs w:val="24"/>
        </w:rPr>
        <w:t>Adkin, A., Brouwer, A., Simons, R.R.L., Smith, R.P., Arnold, M.E., Broughan, J., Kosmider, R., Downs, S.H., 2016. Development of risk-based trading farm scoring system to assist with the control of bovine tuberculosis in cattle in England and Wales. Preventive Veterinary Medicine 123, 32–38. https://doi.org/10.1016/j.prevetmed.2015.11.020</w:t>
      </w:r>
    </w:p>
    <w:p w14:paraId="3EDE68DD" w14:textId="77777777" w:rsidR="0037603C" w:rsidRPr="00C05080" w:rsidRDefault="0037603C" w:rsidP="0037603C">
      <w:pPr>
        <w:widowControl w:val="0"/>
        <w:autoSpaceDE w:val="0"/>
        <w:autoSpaceDN w:val="0"/>
        <w:adjustRightInd w:val="0"/>
        <w:spacing w:after="0"/>
        <w:ind w:left="480" w:hanging="480"/>
        <w:rPr>
          <w:rFonts w:cs="Times New Roman"/>
          <w:noProof/>
          <w:szCs w:val="24"/>
          <w:lang w:val="es-ES"/>
        </w:rPr>
      </w:pPr>
      <w:r w:rsidRPr="0037603C">
        <w:rPr>
          <w:rFonts w:cs="Times New Roman"/>
          <w:noProof/>
          <w:szCs w:val="24"/>
        </w:rPr>
        <w:t xml:space="preserve">Afonso, A.M., Ebell, M.H., Gonzales, R., Stein, J., Genton, B., Senn, N., 2012. The use of classification and regression trees to predict the likelihood of seasonal influenza. </w:t>
      </w:r>
      <w:r w:rsidRPr="00C05080">
        <w:rPr>
          <w:rFonts w:cs="Times New Roman"/>
          <w:noProof/>
          <w:szCs w:val="24"/>
          <w:lang w:val="es-ES"/>
        </w:rPr>
        <w:t>Family Practice 29, 671–677. https://doi.org/10.1093/fampra/cms020</w:t>
      </w:r>
    </w:p>
    <w:p w14:paraId="7569B149"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C05080">
        <w:rPr>
          <w:rFonts w:cs="Times New Roman"/>
          <w:noProof/>
          <w:szCs w:val="24"/>
          <w:lang w:val="es-ES"/>
        </w:rPr>
        <w:t xml:space="preserve">Álvarez, J., Perez, A., Bezos, J., Marqués, S., Grau, A., Saez, J.L., Mínguez, O., de Juan, L., Domínguez, L., 2012. </w:t>
      </w:r>
      <w:r w:rsidRPr="0037603C">
        <w:rPr>
          <w:rFonts w:cs="Times New Roman"/>
          <w:noProof/>
          <w:szCs w:val="24"/>
        </w:rPr>
        <w:t>Evaluation of the sensitivity and specificity of bovine tuberculosis diagnostic tests in naturally infected cattle herds using a Bayesian approach. Veterinary Microbiology 155, 38–43. https://doi.org/10.1016/j.vetmic.2011.07.034</w:t>
      </w:r>
    </w:p>
    <w:p w14:paraId="72C336E7"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APHA, 2021. Bovine tuberculosis in England in 2020: Epidemiological analysis of the 2020 data and historical trends.</w:t>
      </w:r>
    </w:p>
    <w:p w14:paraId="461E1FA6"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APHA, 2020a. Bovine tuberculosis in Great Britain in 2019: Explanatory supplement to the annual reports.</w:t>
      </w:r>
    </w:p>
    <w:p w14:paraId="0CB0F428"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APHA, 2020b. Bovine tuberculosis in England in 2019. Epidemiological analysis of the 2019 data and historical trends.</w:t>
      </w:r>
    </w:p>
    <w:p w14:paraId="7B9355A1"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C05080">
        <w:rPr>
          <w:rFonts w:cs="Times New Roman"/>
          <w:noProof/>
          <w:szCs w:val="24"/>
          <w:lang w:val="es-ES"/>
        </w:rPr>
        <w:t xml:space="preserve">Baca-Garcia, E., Perez-Rodriguez, M.M., Saiz-Gonzalez, D., Basurte-Villamor, I., Saiz-Ruiz, J., Leiva-Murillo, J.M., de Prado-Cumplido, M., Santiago-Mozos, R., Artés-Rodríguez, A., de Leon, J., 2007. </w:t>
      </w:r>
      <w:r w:rsidRPr="0037603C">
        <w:rPr>
          <w:rFonts w:cs="Times New Roman"/>
          <w:noProof/>
          <w:szCs w:val="24"/>
        </w:rPr>
        <w:t xml:space="preserve">Variables associated with familial suicide attempts in a sample of </w:t>
      </w:r>
      <w:r w:rsidRPr="0037603C">
        <w:rPr>
          <w:rFonts w:cs="Times New Roman"/>
          <w:noProof/>
          <w:szCs w:val="24"/>
        </w:rPr>
        <w:lastRenderedPageBreak/>
        <w:t>suicide attempters. Progress in Neuro-Psychopharmacology and Biological Psychiatry 31, 1312–1316. https://doi.org/10.1016/j.pnpbp.2007.05.019</w:t>
      </w:r>
    </w:p>
    <w:p w14:paraId="5E48FD0B"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Breiman, L., 2001. Random forests. Machine Learning 45, 5–32. https://doi.org/https://doi.org/10.1023/A:1010933404324</w:t>
      </w:r>
    </w:p>
    <w:p w14:paraId="31207D11"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Breiman, L., Friedman, J.H., Olsen, R.A., Stone, C.J., 1984. Classification and Regression Trees. Wadsworth Inc.</w:t>
      </w:r>
    </w:p>
    <w:p w14:paraId="466AC87F"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Broughan, J.M., Judge, J., Ely, E., Delahay, R.J., Wilson, G., Clifton-Hadley, R.S., Goodchild, A. V., Bishop, H., Parry, J.E., Downs, S.H., 2016. A review of risk factors for bovine tuberculosis infection in cattle in the UK and Ireland. Epidemiology and Infection 144, 2899–2926. https://doi.org/10.1017/S095026881600131X</w:t>
      </w:r>
    </w:p>
    <w:p w14:paraId="099A8961"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Bruce, P; Bruce, A., 2017. Practical Statistics for Data Scientists, First Edit. ed. O’Reilly Media, Inc.</w:t>
      </w:r>
    </w:p>
    <w:p w14:paraId="08950E88"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Brunton, L.A., Prosser, A., Pfeiffer, D.U., Downs, S.H., 2018. Exploring the fate of cattle herds with inconclusive reactors to the tuberculin skin test. Frontiers in Veterinary Science 5, 1–10. https://doi.org/10.3389/fvets.2018.00228</w:t>
      </w:r>
    </w:p>
    <w:p w14:paraId="595B2509"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Byrne, A.W., Graham, J., Brown, C., Donaghy, A., Guelbenzu-Gonzalo, M., McNair, J., Skuce, R.A., Allen, A., McDowell, S.W., 2018. Modelling the variation in skin-test tuberculin reactions, post-mortem lesion counts and case pathology in tuberculosis-exposed cattle: Effects of animal characteristics, histories and co-infection. Transboundary and Emerging Diseases 65, 844–858. https://doi.org/10.1111/tbed.12814</w:t>
      </w:r>
    </w:p>
    <w:p w14:paraId="18A8BBDD"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 xml:space="preserve">Carranza, E.J.M., Laborte, A.G., 2015. Random forest predictive modeling of mineral prospectivity with small number of prospects and data with missing values in Abra </w:t>
      </w:r>
      <w:r w:rsidRPr="0037603C">
        <w:rPr>
          <w:rFonts w:cs="Times New Roman"/>
          <w:noProof/>
          <w:szCs w:val="24"/>
        </w:rPr>
        <w:lastRenderedPageBreak/>
        <w:t>(Philippines). Computers and Geosciences 74, 60–70. https://doi.org/10.1016/j.cageo.2014.10.004</w:t>
      </w:r>
    </w:p>
    <w:p w14:paraId="1C3BCEDA"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Chawla, N., Bowyer, K., Hall, L., Kegelmeyer, W., 2002. SMOTE: synthetic minority over-sampling technique. Journal of Artificial Intelligence Research 16, 321–357.</w:t>
      </w:r>
    </w:p>
    <w:p w14:paraId="3D7B3233"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Chen, G., Zhu, Y., Wiedmann, T., Yao, L., Xu, L., Wang, Y., 2019. Urban-rural disparities of household energy requirements and influence factors in China: Classification tree models. Applied Energy 250, 1321–1335. https://doi.org/10.1016/j.apenergy.2019.04.170</w:t>
      </w:r>
    </w:p>
    <w:p w14:paraId="3A41A06D"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Cheng, Z., Nakatsugawa, M., Hu, C., Robertson, S.P., Hui, X., Moore, J.A., Bowers, M.R., Kiess, A.P., Page, B.R., Burns, L., Muse, M., Choflet, A., Sakaue, K., Sugiyama, S., Utsunomiya, K., Wong, J.W., McNutt, T.R., Quon, H., 2018. Evaluation of classification and regression tree (CART) model in weight loss prediction following head and neck cancer radiation therapy 3, 346–355.</w:t>
      </w:r>
    </w:p>
    <w:p w14:paraId="02B43D88"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Clegg, T.A., Duignan, A., More, S.J., 2015. The relative effectiveness of testers during field surveillance for bovine tuberculosis in unrestricted low-risk herds in Ireland. Preventive Veterinary Medicine 119, 85–89. https://doi.org/10.1016/j.prevetmed.2015.02.005</w:t>
      </w:r>
    </w:p>
    <w:p w14:paraId="57A94C44"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Clegg, T.A., Good, M., Duignan, A., Doyle, R., More, S.J., 2011a. Shorter-term risk of Mycobacterium bovis in Irish cattle following an inconclusive diagnosis to the single intradermal comparative tuberculin test. Preventive Veterinary Medicine 102, 255–264. https://doi.org/10.1016/j.prevetmed.2011.07.014</w:t>
      </w:r>
    </w:p>
    <w:p w14:paraId="14DFBFF3"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 xml:space="preserve">Clegg, T.A., Good, M., Duignan, A., Doyle, R., More, S.J., 2011b. Longer-term risk of Mycobacterium bovis in Irish cattle following an inconclusive diagnosis to the single </w:t>
      </w:r>
      <w:r w:rsidRPr="0037603C">
        <w:rPr>
          <w:rFonts w:cs="Times New Roman"/>
          <w:noProof/>
          <w:szCs w:val="24"/>
        </w:rPr>
        <w:lastRenderedPageBreak/>
        <w:t>intradermal comparative tuberculin test. Preventive Veterinary Medicine 100, 147–154. https://doi.org/10.1016/j.prevetmed.2011.07.014</w:t>
      </w:r>
    </w:p>
    <w:p w14:paraId="66D37F54"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Cousins, D. V., 2001. Mycobacterium bovis infection and control in domestic livestock. OIE Revue Scientifique et Technique 20, 71–85. https://doi.org/10.20506/rst.20.1.1263</w:t>
      </w:r>
    </w:p>
    <w:p w14:paraId="5AC8A03E"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de la Rua-Domenech, R., Goodchild, A.T., Vordermeier, H.M., Hewinson, R.G., Christiansen, K.H., Clifton-Hadley, R.S., 2006. Ante mortem diagnosis of tuberculosis in cattle: A review of the tuberculin tests, γ-interferon assay and other ancillary diagnostic techniques. Research in Veterinary Science 81, 190–210. https://doi.org/10.1016/j.rvsc.2005.11.005</w:t>
      </w:r>
    </w:p>
    <w:p w14:paraId="5DB8457C"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Defra, 2020. Next steps for the strategy for achieving bovine tuberculosis free status for England - The government’s response to the strategy review, 2018.</w:t>
      </w:r>
    </w:p>
    <w:p w14:paraId="014E9385"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Defra, 2019. Wider use of interferon gamma blood testing in the High Risk Area of England [WWW Document]. TB Hub. URL https://tbhub.co.uk/tb-policy/england/wider-use-interferon-gamma-blood-testing-high-risk-area-england/</w:t>
      </w:r>
    </w:p>
    <w:p w14:paraId="3E7E1741"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Defra, 2014. The strategy for achieving Officially Bovine Tuberculosis Free status for England. Defra.</w:t>
      </w:r>
    </w:p>
    <w:p w14:paraId="064EEC77"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Defra, 2009. Gamma Interferon diagnostic blood test for bovine tuberculosis _A review of the GB gamma interferon testing policy for tuberculosis in cattle, Defra.</w:t>
      </w:r>
    </w:p>
    <w:p w14:paraId="1CD233A0"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C05080">
        <w:rPr>
          <w:rFonts w:cs="Times New Roman"/>
          <w:noProof/>
          <w:szCs w:val="24"/>
          <w:lang w:val="es-ES"/>
        </w:rPr>
        <w:t xml:space="preserve">Díaz-Uriarte, R., Alvarez de Andrés, S., 2006. </w:t>
      </w:r>
      <w:r w:rsidRPr="0037603C">
        <w:rPr>
          <w:rFonts w:cs="Times New Roman"/>
          <w:noProof/>
          <w:szCs w:val="24"/>
        </w:rPr>
        <w:t>Gene selection and classification of microarray data using random forest. BMC Bioinformatics 7, 1–13. https://doi.org/10.1186/1471-2105-7-3</w:t>
      </w:r>
    </w:p>
    <w:p w14:paraId="471342E9"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 xml:space="preserve">EFSA/ECDC, 2019. The European Union One Health 2018 Zoonoses Report. EFSA Journal </w:t>
      </w:r>
      <w:r w:rsidRPr="0037603C">
        <w:rPr>
          <w:rFonts w:cs="Times New Roman"/>
          <w:noProof/>
          <w:szCs w:val="24"/>
        </w:rPr>
        <w:lastRenderedPageBreak/>
        <w:t>17. https://doi.org/10.2903/j.efsa.2019.5926</w:t>
      </w:r>
    </w:p>
    <w:p w14:paraId="48FAD0EA"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EFSA, 2012. Scientific Opinion on the use of a gamma interferon test for the diagnosis of bovine tuberculosis. EFSA Journal 10, 63. https://doi.org/doi:10.2903/j.efsa.2012.2975.</w:t>
      </w:r>
    </w:p>
    <w:p w14:paraId="592D8CE7"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Fei, Y., Gao, K., Hu, J., Tu, J., Li, W., Wang, W., Zong, G., 2017. Predicting the incidence of portosplenomesenteric vein thrombosis in patients with acute pancreatitis using classification and regression tree algorithm. Journal of Critical Care 39, 124–130. https://doi.org/http://dx.doi.org/10.1016/j.jcrc.2017.02.019</w:t>
      </w:r>
    </w:p>
    <w:p w14:paraId="43836956"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Francis, J.D., Choi, C.L., Frost, A.J., 1973. The diagnosis of tuberculosis in cattle with special reference to bovine PPD tuberculin. Australian Veterinary Journal 49, 246–251.</w:t>
      </w:r>
    </w:p>
    <w:p w14:paraId="236CE5E8"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Frisman, L., Prendergast, M., Lin, H.-J., Rodis, E., Greenwell, L., 2008. Applying classification and regression tree analysis to identify prisoners with high HIV risk behaviors. J Psychoactive Drugs 40, 447–458. https://doi.org/doi: 10.1080/02791072.2008.10400651</w:t>
      </w:r>
    </w:p>
    <w:p w14:paraId="23BCAAB5"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Gandrud, A.., Gandrud, C.., Russell, K.., Yetma, C.J., 2017. networkD3: JavaScript Network Graphs from R.</w:t>
      </w:r>
    </w:p>
    <w:p w14:paraId="17EDA8CA"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C05080">
        <w:rPr>
          <w:rFonts w:cs="Times New Roman"/>
          <w:noProof/>
          <w:szCs w:val="24"/>
          <w:lang w:val="es-ES"/>
        </w:rPr>
        <w:t xml:space="preserve">Garcia, V.., Mollineda, R.A.., Sanchez, J.S., 2009. </w:t>
      </w:r>
      <w:r w:rsidRPr="0037603C">
        <w:rPr>
          <w:rFonts w:cs="Times New Roman"/>
          <w:noProof/>
          <w:szCs w:val="24"/>
        </w:rPr>
        <w:t>Index of balanced accuracy: a performance measure of skewed class distributions. Lecture Notes in Computer Science 5524. https://doi.org/10.1007/978-3-642-02172-5</w:t>
      </w:r>
    </w:p>
    <w:p w14:paraId="1371085B"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García, V., Sánchez, J.S., Mollineda, R.A., 2010. Exploring the Performance of Resampling Strategies for the Class Imbalance Problem, in: Trends in Applied Intelligent Systems - 23rd International Conference on Industrial Engineering and Other Applications of Applied Intelligent Systems. Springer. https://doi.org/10.1007/978-3-642-13022-9_54</w:t>
      </w:r>
    </w:p>
    <w:p w14:paraId="725A3CA9"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lastRenderedPageBreak/>
        <w:t>Genuer, R., Poggi, J.-M., Tuleau-Malot, C., 2010. Variable selection using random forests. Pattern Recognition Letters 31, 2225–2236.</w:t>
      </w:r>
    </w:p>
    <w:p w14:paraId="0AD602AE"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Godfray, C., Donnelly, C., Hewinson, G., Winter, M., Wood, J., 2018. TB Strategy Review.</w:t>
      </w:r>
    </w:p>
    <w:p w14:paraId="4F31743F"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Good, M., Bakker, D., Duignan, A., Collins, D.M., 2018. The History of In Vivo Tuberculin Testing in Bovines: Tuberculosis, a “One Health” Issue. Frontiers in Veterinary Science 5. https://doi.org/10.3389/fvets.2018.00059</w:t>
      </w:r>
    </w:p>
    <w:p w14:paraId="37458714"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Good, M., Duignan, A., 2011. Perspectives on the history of bovine TB and the role of tuberculin in bovine TB eradication. Veterinary Medicine International 2011. https://doi.org/10.4061/2011/410470</w:t>
      </w:r>
    </w:p>
    <w:p w14:paraId="015BDD37"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Gormley, E., Doyle, M.B., Fitzsimons, T., McGill, K., Collins, J.D., 2006. Diagnosis of Mycobacterium bovis infection in cattle by use of the gamma-interferon (Bovigam®) assay. Veterinary Microbiology 112, 171–179. https://doi.org/10.1016/j.vetmic.2005.11.029</w:t>
      </w:r>
    </w:p>
    <w:p w14:paraId="3C423D61"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Hastie, T., Tibshirani, R., Friedman, J., 2017. The Elements of Statistical Learning, 2nd ed. Springer.</w:t>
      </w:r>
    </w:p>
    <w:p w14:paraId="54398722"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Hayes, T., Usami, S., Jacobucci, R., McArdle, J.J., 2015. Using classification and regression trees (CART) and random forests to analyze attrition: results from two simulations. Psychology and Aging 30, 911–929. https://doi.org/10.1037/pag0000046</w:t>
      </w:r>
    </w:p>
    <w:p w14:paraId="3E0200F0"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 xml:space="preserve">Imafuku, A., Sawa, N., Kawada, M., Hiramatsu, R., Hasegawa, E., Yamanouchi, M., Hoshino, J., Ubara, Y., Takaichi, K., 2018. Incidence and risk factors of new-onset hypertrophic pachymeningitis in patients with anti-neutrophil antibody-associated vasculitis: using logistic regression and classification tree analysis. Clinical </w:t>
      </w:r>
      <w:r w:rsidRPr="0037603C">
        <w:rPr>
          <w:rFonts w:cs="Times New Roman"/>
          <w:noProof/>
          <w:szCs w:val="24"/>
        </w:rPr>
        <w:lastRenderedPageBreak/>
        <w:t>Rheumatology. https://doi.org/https://doi.org/10.1007/s10067-018-4372-z</w:t>
      </w:r>
    </w:p>
    <w:p w14:paraId="6DEACC01"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James, G., Witten, D., Hastie, T., Tibshirani, R., 2014. An Introduction to Statistical Learning with Applications in R. Springer US. https://doi.org/10.1016/j.peva.2007.06.006</w:t>
      </w:r>
    </w:p>
    <w:p w14:paraId="63A133E1"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Julien, R., Levy, J.I., Adamkiewicz, G., Hauser, R., Spengler, J.D., Canales, R.A., Hynes, H.P., 2008. Pesticides in Urban Multiunit Dwellings: Hazard Identification Using Classification and Regression Tree (CART) Analysis. Journal of the Air &amp; Waste Management Association 58, 1297–1302. https://doi.org/https://doi.org/10.3155/1047-3289.58.10.1297</w:t>
      </w:r>
    </w:p>
    <w:p w14:paraId="3A501FC5"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Kane, M.J., Price, N., Scotch, M., Rabinowitz, P., 2014. Comparison of ARIMA and Random Forest time series models for prediction of avian influenza H5N1 outbreaks, BMC Bioinformatics. https://doi.org/doi:10.1186/1471-2105-15-276</w:t>
      </w:r>
    </w:p>
    <w:p w14:paraId="2EDFAB06" w14:textId="77777777" w:rsidR="0037603C" w:rsidRPr="00C05080" w:rsidRDefault="0037603C" w:rsidP="0037603C">
      <w:pPr>
        <w:widowControl w:val="0"/>
        <w:autoSpaceDE w:val="0"/>
        <w:autoSpaceDN w:val="0"/>
        <w:adjustRightInd w:val="0"/>
        <w:spacing w:after="0"/>
        <w:ind w:left="480" w:hanging="480"/>
        <w:rPr>
          <w:rFonts w:cs="Times New Roman"/>
          <w:noProof/>
          <w:szCs w:val="24"/>
          <w:lang w:val="es-ES"/>
        </w:rPr>
      </w:pPr>
      <w:r w:rsidRPr="0037603C">
        <w:rPr>
          <w:rFonts w:cs="Times New Roman"/>
          <w:noProof/>
          <w:szCs w:val="24"/>
        </w:rPr>
        <w:t xml:space="preserve">Karolemeas, K.., de la Rua-Domenech, R.., Cooper, R.., Goodchild, A.V.., Clifton-Hadley, R.S.., Conlan, A.J.K.., Mitchell, A.P.., Hewinson, R.G.., Donnelly, C.A.., Wood, J.L.N.., McKinley, T.J., 2012. Estimation of the Relative Sensitivity of the Comparative Tuberculin Skin Test in Tuberculous Cattle Herds Subjected to Depopulation. </w:t>
      </w:r>
      <w:r w:rsidRPr="00C05080">
        <w:rPr>
          <w:rFonts w:cs="Times New Roman"/>
          <w:noProof/>
          <w:szCs w:val="24"/>
          <w:lang w:val="es-ES"/>
        </w:rPr>
        <w:t>PLoS ONE 7, e43217. https://doi.org/10.1371/journal.pone.0043217</w:t>
      </w:r>
    </w:p>
    <w:p w14:paraId="55B0D294"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C05080">
        <w:rPr>
          <w:rFonts w:cs="Times New Roman"/>
          <w:noProof/>
          <w:szCs w:val="24"/>
          <w:lang w:val="es-ES"/>
        </w:rPr>
        <w:t xml:space="preserve">Kassambara, A., 2018. </w:t>
      </w:r>
      <w:r w:rsidRPr="0037603C">
        <w:rPr>
          <w:rFonts w:cs="Times New Roman"/>
          <w:noProof/>
          <w:szCs w:val="24"/>
        </w:rPr>
        <w:t>Machine Learning Essentials: Practical Guide in R. CreateSpace Independent Publishing Platform.</w:t>
      </w:r>
    </w:p>
    <w:p w14:paraId="7B8B69F4"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Kawamura, Y., Takasaki, S., Mizokami, M., 2012. Using decision tree learning to predict the responsiveness of hepatitis C patients to drug treatment. FEBS Open Bio 2, 98–102. https://doi.org/http://dx.doi.org/10.1016/j.fob.2012.04.007</w:t>
      </w:r>
    </w:p>
    <w:p w14:paraId="2E6CAEF3"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 xml:space="preserve">Khun, L., Page, K., Ward, J., Worrall-Carter, L., 2014. The process and utility of </w:t>
      </w:r>
      <w:r w:rsidRPr="0037603C">
        <w:rPr>
          <w:rFonts w:cs="Times New Roman"/>
          <w:noProof/>
          <w:szCs w:val="24"/>
        </w:rPr>
        <w:lastRenderedPageBreak/>
        <w:t>classification and regression tree methodology in nursing research. Journal of Advanced Nursing 70, 1276–1286. https://doi.org/10.1111/jan.12288</w:t>
      </w:r>
    </w:p>
    <w:p w14:paraId="1A807D1E"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Kirasich, K.., Smith, T.;, Sadler, B., 2018. Random Forest vs Logistic Regression: Binary Classification for Heterogeneous Datasets, SMU Data Science Review.</w:t>
      </w:r>
    </w:p>
    <w:p w14:paraId="4E4C9D66"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Kitsantas, P., Hollander M Fau - Li, L., Li, L., 2006. Using classification trees to assess low birth weight outcomes. https://doi.org/doi:10.1016/j.artmed.2006.03.008</w:t>
      </w:r>
    </w:p>
    <w:p w14:paraId="6C3F200D"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C05080">
        <w:rPr>
          <w:rFonts w:cs="Times New Roman"/>
          <w:noProof/>
          <w:szCs w:val="24"/>
          <w:lang w:val="es-ES"/>
        </w:rPr>
        <w:t xml:space="preserve">Klepp, L.I., Eirin, M.E., Garbaccio, S., Soria, M., Bigi, F., Blanco, F.C., 2019. </w:t>
      </w:r>
      <w:r w:rsidRPr="0037603C">
        <w:rPr>
          <w:rFonts w:cs="Times New Roman"/>
          <w:noProof/>
          <w:szCs w:val="24"/>
        </w:rPr>
        <w:t>Identification of bovine tuberculosis biomarkers to detect tuberculin skin test and IFNγ release assay false negative cattle. Research in Veterinary Science 122, 7–14. https://doi.org/10.1016/j.rvsc.2018.10.016</w:t>
      </w:r>
    </w:p>
    <w:p w14:paraId="4CBD964C"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Kuhn, M., 2008. Building predictive models in R using the caret package. Journal of statistical software 28. https://doi.org/10.18637/jss.v028.i05</w:t>
      </w:r>
    </w:p>
    <w:p w14:paraId="203BB9F4"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Kuhnert, P., Venables, B., 2005. An Introduction to R: Software for Statistical Modelling &amp; Computing. Information Sciences 1–364.</w:t>
      </w:r>
    </w:p>
    <w:p w14:paraId="2E597F09"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Lewis, R.J., 2000. An introduction to classification and regression tree (CART) analysis, in: Annual Meeting of the Society for Academic Emergency Medicine. San Francisco.</w:t>
      </w:r>
    </w:p>
    <w:p w14:paraId="3A6B5B5B"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Liaw, A., Wiener, M., 2002. Classification and regression by randomForest. R News 2, 18–22. https://doi.org/10.1177/154405910408300516</w:t>
      </w:r>
    </w:p>
    <w:p w14:paraId="439C78CA"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Maimon, O., Rokach, L., 2010. Data Mining and Knowledge Discovery Handbook, 2nd ed. Springer. https://doi.org/10.1007/978-0-387-09823-4</w:t>
      </w:r>
    </w:p>
    <w:p w14:paraId="64D2C934"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 xml:space="preserve">May, E., Prosser, A., Downs, S.H., Brunton, L.A., 2019. Exploring the risk posed by animals with an inconclusive reaction to the bovine tuberculosis skin test in England and Wales. </w:t>
      </w:r>
      <w:r w:rsidRPr="0037603C">
        <w:rPr>
          <w:rFonts w:cs="Times New Roman"/>
          <w:noProof/>
          <w:szCs w:val="24"/>
        </w:rPr>
        <w:lastRenderedPageBreak/>
        <w:t>Veterinary Sciences 6. https://doi.org/10.3390/vetsci6040097</w:t>
      </w:r>
    </w:p>
    <w:p w14:paraId="057DB858"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Monaghan, M.L., Doherty, M.L., Collins, J.D., Kazda, J.F., Quinn, P.J., 1994. The tuberculin test. Veterinary Microbiology 40, 111–124. https://doi.org/10.1016/0378-1135(94)90050-7</w:t>
      </w:r>
    </w:p>
    <w:p w14:paraId="4315C363"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Mostafizur Rahman, M., Davies, D.N., 2013. Addressing the class imbalance problem in medical datasets. International Journal of Machine Learning and Computing 3, 224–228. https://doi.org/10.7763/IJMLC.2013.V3.307</w:t>
      </w:r>
    </w:p>
    <w:p w14:paraId="34F58861"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Nuñez-Garcia, J., Downs, S.H., Parry, J.E., Abernethy, D.A., Broughan, J.M., Cameron, A.R., Cook, A.J., Woolliams, J.A., Greiner, M., Sharp, M., Gunn, J., More, S.J., Welsh, M., Rolfe, S., Clifton-Hadley, R.S., Rhodes, S., Upton, P.A., de la Rua-Domenech, R., Watson, E., Goodchild, A. V., Whelan, A.O., Vordermeier, H.M., 2017. Meta-analyses of the sensitivity and specificity of ante-mortem and post-mortem diagnostic tests for bovine tuberculosis in the UK and Ireland. Preventive Veterinary Medicine 153, 94–107. https://doi.org/10.1016/j.prevetmed.2017.02.017</w:t>
      </w:r>
    </w:p>
    <w:p w14:paraId="4A7DBBCB"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Ortiz-Pelaez, Á., Pfeiffer, D.U., 2008. Use of data mining techniques to investigate disease risk classification as a proxy for compromised Biosecurity of cattle herds in Wales. BMC Veterinary Research 4, 1–16. https://doi.org/10.1186/1746-6148-4-24</w:t>
      </w:r>
    </w:p>
    <w:p w14:paraId="549A2A52"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Pedersen, A.B., Mikkelsen, E.M., Cronin-Fenton, D., Kristensen, N.R., Pham, T.M., Pedersen, L., Petersen, I., 2017. Missing data and multiple imputation in clinical epidemiological research. Clinical Epidemiology 9, 157–166.</w:t>
      </w:r>
    </w:p>
    <w:p w14:paraId="395661E2"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Phelan, S., 2020. Department confirms TB rule change with clampdown on inconclusive animals. Agriland.</w:t>
      </w:r>
    </w:p>
    <w:p w14:paraId="41F5E9A0"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lastRenderedPageBreak/>
        <w:t>Pollock, J.M., McNair, J., Bassett, H., Cassidy, J.P., Costello, E., Aggerbeck, H., Rosenkrands, I., Andersen, P., 2003. Specific delayed-type hypersensitivity responses to ESAT-6 identify tuberculosis-infected cattle. Journal of Clinical Microbiology 41, 1856–1860. https://doi.org/10.1128/JCM.41.5.1856-1860.2003</w:t>
      </w:r>
    </w:p>
    <w:p w14:paraId="121086C1"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R Core Team, 2021. R: A language and environment for statistical computing.</w:t>
      </w:r>
    </w:p>
    <w:p w14:paraId="1F0E559C"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Ramezankhani, A., Pournik, O., Shahrabi, J., Khalili, D., Azizi, F., Hadaegh, F., 2014. Applying decision tree for identification of a low risk population for type 2 diabetes. Tehran Lipid and Glucose Study 105, 391–398.</w:t>
      </w:r>
    </w:p>
    <w:p w14:paraId="03F6FDB2"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Ražanskas, P., Verikas, A., Olsson, C., Viberg, P., 2015. Predicting Blood Lactate Concentration and Oxygen Uptake from sEMG Data during Fatiguing Cycling Exercise. Sensors 98, 20480–20500. https://doi.org/10.3390/s150820480</w:t>
      </w:r>
    </w:p>
    <w:p w14:paraId="356F35BC"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Romero, M.P., Chang, Y.M., Brunton, L.A., Parry, J., Prosser, A., Upton, P., Rees, E., Tearne, O., Arnold, M., Stevens, K., Drewe, J.A., 2021. A comparison of the value of two machine learning predictive models to support bovine tuberculosis disease control in England. Preventive Veterinary Medicine 188, 105264. https://doi.org/10.1016/j.prevetmed.2021.105264</w:t>
      </w:r>
    </w:p>
    <w:p w14:paraId="066D3D40"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Romero, M.P., Chang, Y.M., Brunton, L.A., Parry, J., Prosser, A., Upton, P., Rees, E., Tearne, O., Arnold, M., Stevens, K., Drewe, J.A., 2020. Decision tree machine learning applied to bovine tuberculosis risk factors to aid disease control decision making. Preventive Veterinary Medicine 175. https://doi.org/10.1016/j.prevetmed.2019.104860</w:t>
      </w:r>
    </w:p>
    <w:p w14:paraId="27D36C76"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 xml:space="preserve">Saegerman, C., Porter Sr Fau - Humblet, M.F., Humblet, M.F., 2011. The use of modelling to evaluate and adapt strategies for animal disease control. Revue scientifique et technique </w:t>
      </w:r>
      <w:r w:rsidRPr="0037603C">
        <w:rPr>
          <w:rFonts w:cs="Times New Roman"/>
          <w:noProof/>
          <w:szCs w:val="24"/>
        </w:rPr>
        <w:lastRenderedPageBreak/>
        <w:t>(International Office of Epizootics) 30, 555–569.</w:t>
      </w:r>
    </w:p>
    <w:p w14:paraId="74F4A4C9"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Scheetz, L.J., Zhang, J., Kolassa, J., 2009. Classification tree modeling to identify severe and moderate vehicular injuries in young and middle-aged adults 45, 1–10. https://doi.org/doi:10.1016/j.artmed.2008.11.002</w:t>
      </w:r>
    </w:p>
    <w:p w14:paraId="68629C84"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Shaikhina, T., Lowe, D., Daga, S., Briggs, D., Higgins, R., Khovanova, N., 2019. Decision tree and random forest models for outcome prediction in antibody incompatible kidney transplantation. Biomedical Signal Processing and Control 52, 456–462. https://doi.org/https://doi.org/10.1016/j.bspc.2017.01.012</w:t>
      </w:r>
    </w:p>
    <w:p w14:paraId="2A1B6A91"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Song, Y.-Y., Lu, Y., 2015. Decision tree methods: applications for classification and prediction. Shanghai archives of psychiatry 27, 130–135.</w:t>
      </w:r>
    </w:p>
    <w:p w14:paraId="78D404C1"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Speiser, J.L., Karvellas, C.J., Wolf, B.J., Chung, D., Koch, D.G., Durkalski, V.L., 2019. Predicting daily outcomes in acetaminophen-induced acute liver failure patients with machine learning techniques. Computer Methods and Programs in Biomedicine 175, 111–120. https://doi.org/10.1016/j.cmpb.2019.04.012</w:t>
      </w:r>
    </w:p>
    <w:p w14:paraId="78C75646"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Staerk, K.D.C., Pfeiffer, D.U., 1999. The application of non-parametric techniques to solve classification problems in complex data sets in veterinary epidemiology - An example. Intelligent Data Analysis 3, 23–35.</w:t>
      </w:r>
    </w:p>
    <w:p w14:paraId="1245A681"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Strobl, C., 2010. An introduction to recursive partitioning: rationale, application and characteristics of classification. Psychol Methods 14, 323–348. https://doi.org/10.1037/a0016973</w:t>
      </w:r>
    </w:p>
    <w:p w14:paraId="15116C12"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TB Hub, 2021. Actions when an inconclusive reactor is found [WWW Document]. URL https://www.tbhub.co.uk/advice-during-a-tb-breakdown/actions-when-an-ir-is-found/</w:t>
      </w:r>
    </w:p>
    <w:p w14:paraId="586BB3C6"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lastRenderedPageBreak/>
        <w:t>Therneau, T.M., Atkinson, E.J., 2018. An introduction to recursive partitioning using the rpart routines. R package version 4.1-15.</w:t>
      </w:r>
    </w:p>
    <w:p w14:paraId="36DC867A"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UK Statutory Instruments, 2021. The Tuberculosis in Animals (England) Order 2021.</w:t>
      </w:r>
    </w:p>
    <w:p w14:paraId="451FBE1A"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Wałęga, G., Wałęga, A., 2021. Over-indebted Households in Poland: Classification Tree Analysis. Social Indicators Research 153, 561–584. https://doi.org/10.1007/s11205-020-02505-6</w:t>
      </w:r>
    </w:p>
    <w:p w14:paraId="6DCCC5BB" w14:textId="77777777" w:rsidR="0037603C" w:rsidRPr="0037603C" w:rsidRDefault="0037603C" w:rsidP="0037603C">
      <w:pPr>
        <w:widowControl w:val="0"/>
        <w:autoSpaceDE w:val="0"/>
        <w:autoSpaceDN w:val="0"/>
        <w:adjustRightInd w:val="0"/>
        <w:spacing w:after="0"/>
        <w:ind w:left="480" w:hanging="480"/>
        <w:rPr>
          <w:rFonts w:cs="Times New Roman"/>
          <w:noProof/>
          <w:szCs w:val="24"/>
        </w:rPr>
      </w:pPr>
      <w:r w:rsidRPr="0037603C">
        <w:rPr>
          <w:rFonts w:cs="Times New Roman"/>
          <w:noProof/>
          <w:szCs w:val="24"/>
        </w:rPr>
        <w:t>White, P.C.L., Böhm, M., Marion, G., Hutchings, M.R., 2008. Control of bovine tuberculosis in British livestock: there is no “silver bullet.” Trends in Microbiology 16, 420–427. https://doi.org/10.1016/j.tim.2008.06.005</w:t>
      </w:r>
    </w:p>
    <w:p w14:paraId="63CA926A" w14:textId="77777777" w:rsidR="0037603C" w:rsidRPr="0037603C" w:rsidRDefault="0037603C" w:rsidP="0037603C">
      <w:pPr>
        <w:widowControl w:val="0"/>
        <w:autoSpaceDE w:val="0"/>
        <w:autoSpaceDN w:val="0"/>
        <w:adjustRightInd w:val="0"/>
        <w:spacing w:after="0"/>
        <w:ind w:left="480" w:hanging="480"/>
        <w:rPr>
          <w:rFonts w:cs="Times New Roman"/>
          <w:noProof/>
        </w:rPr>
      </w:pPr>
      <w:r w:rsidRPr="0037603C">
        <w:rPr>
          <w:rFonts w:cs="Times New Roman"/>
          <w:noProof/>
          <w:szCs w:val="24"/>
        </w:rPr>
        <w:t>Yang, T., Gao, X., Sorooshian, S., Li, X., 2016. Simulating California reservoir operation using the classification and regression-tree algorithm combined with a shuffled cross-validation scheme. Water Resources Research 52, 1626–1651. https://doi.org/doi:10.1002/ 2015WR017394</w:t>
      </w:r>
    </w:p>
    <w:p w14:paraId="0642A98E" w14:textId="79D15901" w:rsidR="00797645" w:rsidRDefault="0014390D" w:rsidP="000075CC">
      <w:pPr>
        <w:spacing w:after="0"/>
      </w:pPr>
      <w:r>
        <w:fldChar w:fldCharType="end"/>
      </w:r>
    </w:p>
    <w:sectPr w:rsidR="00797645" w:rsidSect="00AC7108">
      <w:pgSz w:w="12240" w:h="15840"/>
      <w:pgMar w:top="1440" w:right="1588" w:bottom="1588" w:left="1588" w:header="720" w:footer="720" w:gutter="0"/>
      <w:lnNumType w:countBy="1" w:restart="continuous"/>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1E59E" w16cex:dateUtc="2020-12-02T10:06:00Z"/>
  <w16cex:commentExtensible w16cex:durableId="2371E56A" w16cex:dateUtc="2020-12-02T10:05:00Z"/>
  <w16cex:commentExtensible w16cex:durableId="2371E57F" w16cex:dateUtc="2020-12-02T10: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D7248" w14:textId="77777777" w:rsidR="00D773D2" w:rsidRDefault="00D773D2">
      <w:pPr>
        <w:spacing w:after="0"/>
      </w:pPr>
      <w:r>
        <w:separator/>
      </w:r>
    </w:p>
  </w:endnote>
  <w:endnote w:type="continuationSeparator" w:id="0">
    <w:p w14:paraId="6C09C784" w14:textId="77777777" w:rsidR="00D773D2" w:rsidRDefault="00D773D2">
      <w:pPr>
        <w:spacing w:after="0"/>
      </w:pPr>
      <w:r>
        <w:continuationSeparator/>
      </w:r>
    </w:p>
  </w:endnote>
  <w:endnote w:type="continuationNotice" w:id="1">
    <w:p w14:paraId="535E6FAA" w14:textId="77777777" w:rsidR="00D773D2" w:rsidRDefault="00D773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07DA3" w14:textId="77777777" w:rsidR="0076152E" w:rsidRDefault="0076152E">
    <w:pPr>
      <w:pStyle w:val="Footer"/>
      <w:rPr>
        <w:rFonts w:cs="Arial"/>
        <w:szCs w:val="22"/>
      </w:rPr>
    </w:pPr>
  </w:p>
  <w:p w14:paraId="52711C1D" w14:textId="09089AAD" w:rsidR="0076152E" w:rsidRPr="005559E1" w:rsidRDefault="0076152E">
    <w:pPr>
      <w:pStyle w:val="Footer"/>
      <w:rPr>
        <w:rFonts w:cs="Arial"/>
        <w:szCs w:val="22"/>
      </w:rPr>
    </w:pPr>
    <w:r>
      <w:rPr>
        <w:rFonts w:cs="Arial"/>
        <w:szCs w:val="22"/>
      </w:rPr>
      <w:t xml:space="preserve">IR surveillance interventions revised corrected v 3.1 </w:t>
    </w:r>
    <w:r>
      <w:rPr>
        <w:rFonts w:cs="Arial"/>
        <w:szCs w:val="22"/>
      </w:rPr>
      <w:tab/>
    </w:r>
    <w:r w:rsidRPr="005559E1">
      <w:rPr>
        <w:rFonts w:cs="Arial"/>
        <w:szCs w:val="22"/>
      </w:rPr>
      <w:t>M. Pilar Romero</w:t>
    </w:r>
    <w:r w:rsidRPr="00576CD2">
      <w:rPr>
        <w:rFonts w:cs="Arial"/>
        <w:szCs w:val="22"/>
      </w:rPr>
      <w:ptab w:relativeTo="margin" w:alignment="right" w:leader="none"/>
    </w:r>
    <w:r w:rsidRPr="00576CD2">
      <w:rPr>
        <w:rFonts w:cs="Arial"/>
        <w:szCs w:val="22"/>
      </w:rPr>
      <w:fldChar w:fldCharType="begin"/>
    </w:r>
    <w:r w:rsidRPr="005559E1">
      <w:rPr>
        <w:rFonts w:cs="Arial"/>
        <w:szCs w:val="22"/>
      </w:rPr>
      <w:instrText xml:space="preserve"> PAGE   \* MERGEFORMAT </w:instrText>
    </w:r>
    <w:r w:rsidRPr="00576CD2">
      <w:rPr>
        <w:rFonts w:cs="Arial"/>
        <w:szCs w:val="22"/>
      </w:rPr>
      <w:fldChar w:fldCharType="separate"/>
    </w:r>
    <w:r>
      <w:rPr>
        <w:rFonts w:cs="Arial"/>
        <w:noProof/>
        <w:szCs w:val="22"/>
      </w:rPr>
      <w:t>22</w:t>
    </w:r>
    <w:r w:rsidRPr="00576CD2">
      <w:rPr>
        <w:rFonts w:cs="Arial"/>
        <w:noProof/>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4EBBD" w14:textId="77777777" w:rsidR="00D773D2" w:rsidRDefault="00D773D2">
      <w:r>
        <w:separator/>
      </w:r>
    </w:p>
  </w:footnote>
  <w:footnote w:type="continuationSeparator" w:id="0">
    <w:p w14:paraId="341657BF" w14:textId="77777777" w:rsidR="00D773D2" w:rsidRDefault="00D773D2">
      <w:r>
        <w:continuationSeparator/>
      </w:r>
    </w:p>
  </w:footnote>
  <w:footnote w:type="continuationNotice" w:id="1">
    <w:p w14:paraId="6A6C6E92" w14:textId="77777777" w:rsidR="00D773D2" w:rsidRDefault="00D773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C6B"/>
    <w:multiLevelType w:val="multilevel"/>
    <w:tmpl w:val="20023DC0"/>
    <w:styleLink w:val="Manuscript"/>
    <w:lvl w:ilvl="0">
      <w:start w:val="1"/>
      <w:numFmt w:val="decimal"/>
      <w:pStyle w:val="Title1"/>
      <w:lvlText w:val="%1."/>
      <w:lvlJc w:val="left"/>
      <w:pPr>
        <w:ind w:left="360" w:hanging="360"/>
      </w:pPr>
      <w:rPr>
        <w:rFonts w:ascii="Times New Roman" w:hAnsi="Times New Roman" w:hint="default"/>
        <w:b/>
        <w:i w:val="0"/>
        <w:sz w:val="24"/>
      </w:rPr>
    </w:lvl>
    <w:lvl w:ilvl="1">
      <w:start w:val="1"/>
      <w:numFmt w:val="decimal"/>
      <w:pStyle w:val="Title2"/>
      <w:lvlText w:val="%2.%1"/>
      <w:lvlJc w:val="left"/>
      <w:pPr>
        <w:ind w:left="720" w:hanging="720"/>
      </w:pPr>
      <w:rPr>
        <w:rFonts w:ascii="Times New Roman" w:hAnsi="Times New Roman" w:hint="default"/>
        <w:b w:val="0"/>
        <w:i/>
        <w:sz w:val="24"/>
      </w:rPr>
    </w:lvl>
    <w:lvl w:ilvl="2">
      <w:start w:val="1"/>
      <w:numFmt w:val="decimal"/>
      <w:pStyle w:val="Title3"/>
      <w:lvlText w:val="%3.%1.%2"/>
      <w:lvlJc w:val="left"/>
      <w:pPr>
        <w:ind w:left="1080" w:hanging="1080"/>
      </w:pPr>
      <w:rPr>
        <w:rFonts w:ascii="Times New Roman" w:hAnsi="Times New Roman" w:hint="default"/>
        <w:b w:val="0"/>
        <w:i/>
        <w:sz w:val="24"/>
      </w:rPr>
    </w:lvl>
    <w:lvl w:ilvl="3">
      <w:start w:val="1"/>
      <w:numFmt w:val="decimal"/>
      <w:pStyle w:val="Title4"/>
      <w:lvlText w:val="%1.%2.%4.%3."/>
      <w:lvlJc w:val="left"/>
      <w:pPr>
        <w:ind w:left="1440" w:hanging="1440"/>
      </w:pPr>
      <w:rPr>
        <w:rFonts w:ascii="Times New Roman" w:hAnsi="Times New Roman" w:hint="default"/>
        <w:b w:val="0"/>
        <w:i/>
        <w:sz w:val="24"/>
      </w:rPr>
    </w:lvl>
    <w:lvl w:ilvl="4">
      <w:start w:val="1"/>
      <w:numFmt w:val="decimal"/>
      <w:pStyle w:val="Title5"/>
      <w:lvlText w:val="%1.%2.%3.%5.%4"/>
      <w:lvlJc w:val="left"/>
      <w:pPr>
        <w:ind w:left="1800" w:hanging="1800"/>
      </w:pPr>
      <w:rPr>
        <w:rFonts w:ascii="Times New Roman" w:hAnsi="Times New Roman" w:hint="default"/>
        <w:b w:val="0"/>
        <w:i/>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E1E2132"/>
    <w:multiLevelType w:val="multilevel"/>
    <w:tmpl w:val="9C8AF1F6"/>
    <w:styleLink w:val="Appendices"/>
    <w:lvl w:ilvl="0">
      <w:start w:val="1"/>
      <w:numFmt w:val="upperLetter"/>
      <w:pStyle w:val="Index1"/>
      <w:lvlText w:val="%1"/>
      <w:lvlJc w:val="left"/>
      <w:pPr>
        <w:ind w:left="360" w:hanging="360"/>
      </w:pPr>
      <w:rPr>
        <w:rFonts w:ascii="Times New Roman" w:hAnsi="Times New Roman" w:hint="default"/>
        <w:b w:val="0"/>
        <w:i/>
        <w:sz w:val="24"/>
      </w:rPr>
    </w:lvl>
    <w:lvl w:ilvl="1">
      <w:start w:val="1"/>
      <w:numFmt w:val="decimal"/>
      <w:pStyle w:val="Index2"/>
      <w:lvlText w:val="%1.%2"/>
      <w:lvlJc w:val="left"/>
      <w:pPr>
        <w:ind w:left="720" w:hanging="720"/>
      </w:pPr>
      <w:rPr>
        <w:rFonts w:ascii="Times New Roman" w:hAnsi="Times New Roman" w:hint="default"/>
        <w:b w:val="0"/>
        <w:i/>
        <w:sz w:val="24"/>
      </w:rPr>
    </w:lvl>
    <w:lvl w:ilvl="2">
      <w:start w:val="1"/>
      <w:numFmt w:val="decimal"/>
      <w:pStyle w:val="Index3"/>
      <w:lvlText w:val="%1.%2.%3"/>
      <w:lvlJc w:val="left"/>
      <w:pPr>
        <w:ind w:left="1080" w:hanging="1080"/>
      </w:pPr>
      <w:rPr>
        <w:rFonts w:ascii="Times New Roman" w:hAnsi="Times New Roman" w:hint="default"/>
        <w:b w:val="0"/>
        <w:i/>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2F559E0"/>
    <w:multiLevelType w:val="multilevel"/>
    <w:tmpl w:val="D586F0FC"/>
    <w:styleLink w:val="AppendixB"/>
    <w:lvl w:ilvl="0">
      <w:start w:val="2"/>
      <w:numFmt w:val="upperLetter"/>
      <w:pStyle w:val="List"/>
      <w:lvlText w:val="%1"/>
      <w:lvlJc w:val="left"/>
      <w:pPr>
        <w:ind w:left="360" w:hanging="360"/>
      </w:pPr>
      <w:rPr>
        <w:rFonts w:ascii="Times New Roman" w:hAnsi="Times New Roman" w:hint="default"/>
        <w:b w:val="0"/>
        <w:i/>
        <w:sz w:val="24"/>
      </w:rPr>
    </w:lvl>
    <w:lvl w:ilvl="1">
      <w:start w:val="1"/>
      <w:numFmt w:val="decimal"/>
      <w:pStyle w:val="List2"/>
      <w:lvlText w:val="%1.%2"/>
      <w:lvlJc w:val="left"/>
      <w:pPr>
        <w:ind w:left="720" w:hanging="720"/>
      </w:pPr>
      <w:rPr>
        <w:rFonts w:ascii="Times New Roman" w:hAnsi="Times New Roman" w:hint="default"/>
        <w:b w:val="0"/>
        <w:i/>
        <w:sz w:val="24"/>
      </w:rPr>
    </w:lvl>
    <w:lvl w:ilvl="2">
      <w:start w:val="1"/>
      <w:numFmt w:val="decimal"/>
      <w:pStyle w:val="List3"/>
      <w:lvlText w:val="%1.%2.%3"/>
      <w:lvlJc w:val="left"/>
      <w:pPr>
        <w:ind w:left="1080" w:hanging="360"/>
      </w:pPr>
      <w:rPr>
        <w:rFonts w:ascii="Times New Roman" w:hAnsi="Times New Roman" w:hint="default"/>
        <w:b w:val="0"/>
        <w:i/>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B0F26BF"/>
    <w:multiLevelType w:val="hybridMultilevel"/>
    <w:tmpl w:val="BE123C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CC7FB0"/>
    <w:multiLevelType w:val="hybridMultilevel"/>
    <w:tmpl w:val="9B1A9F5A"/>
    <w:lvl w:ilvl="0" w:tplc="673E14B4">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9D7DC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94D21B0"/>
    <w:multiLevelType w:val="hybridMultilevel"/>
    <w:tmpl w:val="7824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5074A3"/>
    <w:multiLevelType w:val="multilevel"/>
    <w:tmpl w:val="6D3C06AA"/>
    <w:styleLink w:val="Numberedheadinglist"/>
    <w:lvl w:ilvl="0">
      <w:start w:val="1"/>
      <w:numFmt w:val="decimal"/>
      <w:lvlText w:val="%1."/>
      <w:lvlJc w:val="left"/>
      <w:pPr>
        <w:ind w:left="360" w:hanging="360"/>
      </w:pPr>
      <w:rPr>
        <w:rFonts w:ascii="Times New Roman" w:hAnsi="Times New Roman" w:hint="default"/>
        <w:b w:val="0"/>
        <w:i w:val="0"/>
        <w:sz w:val="24"/>
      </w:rPr>
    </w:lvl>
    <w:lvl w:ilvl="1">
      <w:start w:val="1"/>
      <w:numFmt w:val="decimal"/>
      <w:lvlText w:val="%1.%2."/>
      <w:lvlJc w:val="left"/>
      <w:pPr>
        <w:tabs>
          <w:tab w:val="num" w:pos="794"/>
        </w:tabs>
        <w:ind w:left="792" w:hanging="792"/>
      </w:pPr>
      <w:rPr>
        <w:rFonts w:ascii="Times New Roman" w:hAnsi="Times New Roman" w:hint="default"/>
        <w:b w:val="0"/>
        <w:i w:val="0"/>
        <w:sz w:val="36"/>
      </w:rPr>
    </w:lvl>
    <w:lvl w:ilvl="2">
      <w:start w:val="1"/>
      <w:numFmt w:val="decimal"/>
      <w:lvlText w:val="%1.%2.%3."/>
      <w:lvlJc w:val="left"/>
      <w:pPr>
        <w:tabs>
          <w:tab w:val="num" w:pos="1225"/>
        </w:tabs>
        <w:ind w:left="1224" w:hanging="1224"/>
      </w:pPr>
      <w:rPr>
        <w:rFonts w:ascii="Times New Roman" w:hAnsi="Times New Roman" w:hint="default"/>
        <w:b w:val="0"/>
        <w:i w:val="0"/>
        <w:sz w:val="32"/>
      </w:rPr>
    </w:lvl>
    <w:lvl w:ilvl="3">
      <w:start w:val="1"/>
      <w:numFmt w:val="decimal"/>
      <w:lvlText w:val="%1.%2.%3.%4."/>
      <w:lvlJc w:val="left"/>
      <w:pPr>
        <w:tabs>
          <w:tab w:val="num" w:pos="1729"/>
        </w:tabs>
        <w:ind w:left="1728" w:hanging="1728"/>
      </w:pPr>
      <w:rPr>
        <w:rFonts w:ascii="Times New Roman" w:hAnsi="Times New Roman" w:hint="default"/>
        <w:b w:val="0"/>
        <w:i/>
        <w:sz w:val="32"/>
      </w:rPr>
    </w:lvl>
    <w:lvl w:ilvl="4">
      <w:start w:val="1"/>
      <w:numFmt w:val="decimal"/>
      <w:lvlText w:val="%1.%2.%3.%4.%5."/>
      <w:lvlJc w:val="left"/>
      <w:pPr>
        <w:tabs>
          <w:tab w:val="num" w:pos="2234"/>
        </w:tabs>
        <w:ind w:left="2232" w:hanging="2232"/>
      </w:pPr>
      <w:rPr>
        <w:rFonts w:ascii="Times New Roman" w:hAnsi="Times New Roman" w:hint="default"/>
        <w:b w:val="0"/>
        <w:i w:val="0"/>
        <w:sz w:val="28"/>
      </w:rPr>
    </w:lvl>
    <w:lvl w:ilvl="5">
      <w:start w:val="1"/>
      <w:numFmt w:val="decimal"/>
      <w:lvlText w:val="%1.%2.%3.%4.%5.%6."/>
      <w:lvlJc w:val="left"/>
      <w:pPr>
        <w:tabs>
          <w:tab w:val="num" w:pos="2739"/>
        </w:tabs>
        <w:ind w:left="2736" w:hanging="2736"/>
      </w:pPr>
      <w:rPr>
        <w:rFonts w:ascii="Times New Roman" w:hAnsi="Times New Roman" w:hint="default"/>
        <w:b w:val="0"/>
        <w:i/>
        <w:sz w:val="28"/>
      </w:rPr>
    </w:lvl>
    <w:lvl w:ilvl="6">
      <w:start w:val="1"/>
      <w:numFmt w:val="decimal"/>
      <w:lvlText w:val="%1.%2.%3.%4.%5.%6.%7."/>
      <w:lvlJc w:val="left"/>
      <w:pPr>
        <w:tabs>
          <w:tab w:val="num" w:pos="3238"/>
        </w:tabs>
        <w:ind w:left="3240" w:hanging="3240"/>
      </w:pPr>
      <w:rPr>
        <w:rFonts w:ascii="Times New Roman" w:hAnsi="Times New Roman" w:hint="default"/>
        <w:b w:val="0"/>
        <w:i w:val="0"/>
        <w:sz w:val="24"/>
      </w:rPr>
    </w:lvl>
    <w:lvl w:ilvl="7">
      <w:start w:val="1"/>
      <w:numFmt w:val="decimal"/>
      <w:lvlText w:val="%1.%2.%3.%4.%5.%6.%7.%8."/>
      <w:lvlJc w:val="left"/>
      <w:pPr>
        <w:tabs>
          <w:tab w:val="num" w:pos="3742"/>
        </w:tabs>
        <w:ind w:left="3744" w:hanging="3744"/>
      </w:pPr>
      <w:rPr>
        <w:rFonts w:ascii="Times New Roman" w:hAnsi="Times New Roman" w:hint="default"/>
        <w:b w:val="0"/>
        <w:i/>
        <w:sz w:val="24"/>
      </w:rPr>
    </w:lvl>
    <w:lvl w:ilvl="8">
      <w:start w:val="1"/>
      <w:numFmt w:val="decimal"/>
      <w:lvlText w:val="%1.%2.%3.%4.%5.%6.%7.%8.%9."/>
      <w:lvlJc w:val="left"/>
      <w:pPr>
        <w:tabs>
          <w:tab w:val="num" w:pos="4321"/>
        </w:tabs>
        <w:ind w:left="4320" w:hanging="4320"/>
      </w:pPr>
      <w:rPr>
        <w:rFonts w:ascii="Times New Roman" w:hAnsi="Times New Roman" w:hint="default"/>
        <w:b w:val="0"/>
        <w:i w:val="0"/>
        <w:sz w:val="24"/>
      </w:rPr>
    </w:lvl>
  </w:abstractNum>
  <w:abstractNum w:abstractNumId="8" w15:restartNumberingAfterBreak="0">
    <w:nsid w:val="5C4E6874"/>
    <w:multiLevelType w:val="hybridMultilevel"/>
    <w:tmpl w:val="EFF64E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D221BC3"/>
    <w:multiLevelType w:val="hybridMultilevel"/>
    <w:tmpl w:val="7C147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1"/>
  </w:num>
  <w:num w:numId="5">
    <w:abstractNumId w:val="2"/>
  </w:num>
  <w:num w:numId="6">
    <w:abstractNumId w:val="1"/>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6"/>
  </w:num>
  <w:num w:numId="15">
    <w:abstractNumId w:val="9"/>
  </w:num>
  <w:num w:numId="16">
    <w:abstractNumId w:val="0"/>
  </w:num>
  <w:num w:numId="17">
    <w:abstractNumId w:val="0"/>
  </w:num>
  <w:num w:numId="18">
    <w:abstractNumId w:val="4"/>
  </w:num>
  <w:num w:numId="19">
    <w:abstractNumId w:val="8"/>
  </w:num>
  <w:num w:numId="20">
    <w:abstractNumId w:val="5"/>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en-GB" w:vendorID="64" w:dllVersion="0" w:nlCheck="1" w:checkStyle="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UL&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590D07"/>
    <w:rsid w:val="000003CE"/>
    <w:rsid w:val="00000982"/>
    <w:rsid w:val="00000E32"/>
    <w:rsid w:val="00001144"/>
    <w:rsid w:val="00001F4D"/>
    <w:rsid w:val="00002F02"/>
    <w:rsid w:val="00002FBB"/>
    <w:rsid w:val="00003444"/>
    <w:rsid w:val="00003915"/>
    <w:rsid w:val="00004767"/>
    <w:rsid w:val="00004B4E"/>
    <w:rsid w:val="00004D44"/>
    <w:rsid w:val="00004F1B"/>
    <w:rsid w:val="0000505A"/>
    <w:rsid w:val="00005967"/>
    <w:rsid w:val="000061DD"/>
    <w:rsid w:val="00006A6C"/>
    <w:rsid w:val="00006AFD"/>
    <w:rsid w:val="000071C7"/>
    <w:rsid w:val="000075CC"/>
    <w:rsid w:val="0000766E"/>
    <w:rsid w:val="000078D1"/>
    <w:rsid w:val="0001018C"/>
    <w:rsid w:val="00010838"/>
    <w:rsid w:val="000117CD"/>
    <w:rsid w:val="00011966"/>
    <w:rsid w:val="00011C8B"/>
    <w:rsid w:val="00011D32"/>
    <w:rsid w:val="00012501"/>
    <w:rsid w:val="000125C6"/>
    <w:rsid w:val="00012999"/>
    <w:rsid w:val="00013622"/>
    <w:rsid w:val="00013DBF"/>
    <w:rsid w:val="000150F2"/>
    <w:rsid w:val="00015358"/>
    <w:rsid w:val="000153AF"/>
    <w:rsid w:val="00015B8F"/>
    <w:rsid w:val="00016630"/>
    <w:rsid w:val="00016D35"/>
    <w:rsid w:val="000173B4"/>
    <w:rsid w:val="00017AD0"/>
    <w:rsid w:val="00020E5F"/>
    <w:rsid w:val="000210FA"/>
    <w:rsid w:val="00021240"/>
    <w:rsid w:val="00021395"/>
    <w:rsid w:val="0002191C"/>
    <w:rsid w:val="0002194B"/>
    <w:rsid w:val="00021E1D"/>
    <w:rsid w:val="0002245A"/>
    <w:rsid w:val="000225C4"/>
    <w:rsid w:val="00025044"/>
    <w:rsid w:val="0002513C"/>
    <w:rsid w:val="000254BA"/>
    <w:rsid w:val="00026289"/>
    <w:rsid w:val="00026A57"/>
    <w:rsid w:val="00030B5D"/>
    <w:rsid w:val="00030EFD"/>
    <w:rsid w:val="00031122"/>
    <w:rsid w:val="000317C0"/>
    <w:rsid w:val="00031C3B"/>
    <w:rsid w:val="0003231A"/>
    <w:rsid w:val="00032668"/>
    <w:rsid w:val="000332DA"/>
    <w:rsid w:val="0003363D"/>
    <w:rsid w:val="00033A06"/>
    <w:rsid w:val="00033CAF"/>
    <w:rsid w:val="00035702"/>
    <w:rsid w:val="0003575B"/>
    <w:rsid w:val="000366A3"/>
    <w:rsid w:val="00036BC6"/>
    <w:rsid w:val="000375D4"/>
    <w:rsid w:val="00037742"/>
    <w:rsid w:val="000415F7"/>
    <w:rsid w:val="00041C2A"/>
    <w:rsid w:val="00041FBF"/>
    <w:rsid w:val="00042246"/>
    <w:rsid w:val="000424EB"/>
    <w:rsid w:val="00042763"/>
    <w:rsid w:val="00043325"/>
    <w:rsid w:val="000434C7"/>
    <w:rsid w:val="0004371F"/>
    <w:rsid w:val="00044701"/>
    <w:rsid w:val="00044789"/>
    <w:rsid w:val="00044C74"/>
    <w:rsid w:val="000454A9"/>
    <w:rsid w:val="000454B9"/>
    <w:rsid w:val="00045C59"/>
    <w:rsid w:val="0004644F"/>
    <w:rsid w:val="00046BC0"/>
    <w:rsid w:val="00047188"/>
    <w:rsid w:val="00047ABB"/>
    <w:rsid w:val="00047D36"/>
    <w:rsid w:val="00050453"/>
    <w:rsid w:val="00050F48"/>
    <w:rsid w:val="00051BFB"/>
    <w:rsid w:val="00052A8A"/>
    <w:rsid w:val="000535B9"/>
    <w:rsid w:val="00053E17"/>
    <w:rsid w:val="000544ED"/>
    <w:rsid w:val="00054876"/>
    <w:rsid w:val="00055020"/>
    <w:rsid w:val="000555DC"/>
    <w:rsid w:val="00055F10"/>
    <w:rsid w:val="0005674B"/>
    <w:rsid w:val="00056860"/>
    <w:rsid w:val="00056C07"/>
    <w:rsid w:val="0005701A"/>
    <w:rsid w:val="00057665"/>
    <w:rsid w:val="000603E4"/>
    <w:rsid w:val="000603F2"/>
    <w:rsid w:val="0006043C"/>
    <w:rsid w:val="00061EBB"/>
    <w:rsid w:val="00062365"/>
    <w:rsid w:val="0006280D"/>
    <w:rsid w:val="0006299A"/>
    <w:rsid w:val="00062F83"/>
    <w:rsid w:val="0006319E"/>
    <w:rsid w:val="00063A6D"/>
    <w:rsid w:val="00063EF7"/>
    <w:rsid w:val="00063FFC"/>
    <w:rsid w:val="000640F9"/>
    <w:rsid w:val="000645D5"/>
    <w:rsid w:val="00065536"/>
    <w:rsid w:val="00065822"/>
    <w:rsid w:val="00065C3E"/>
    <w:rsid w:val="00066BD8"/>
    <w:rsid w:val="00066E37"/>
    <w:rsid w:val="00066E39"/>
    <w:rsid w:val="00067A29"/>
    <w:rsid w:val="000701B2"/>
    <w:rsid w:val="000708E7"/>
    <w:rsid w:val="000709F8"/>
    <w:rsid w:val="00071DD0"/>
    <w:rsid w:val="00072115"/>
    <w:rsid w:val="00072652"/>
    <w:rsid w:val="0007274C"/>
    <w:rsid w:val="00072972"/>
    <w:rsid w:val="00072A23"/>
    <w:rsid w:val="000738AB"/>
    <w:rsid w:val="00073EC1"/>
    <w:rsid w:val="00073ECA"/>
    <w:rsid w:val="00074427"/>
    <w:rsid w:val="00074868"/>
    <w:rsid w:val="00074A4E"/>
    <w:rsid w:val="00075177"/>
    <w:rsid w:val="00075843"/>
    <w:rsid w:val="00075A69"/>
    <w:rsid w:val="00075D86"/>
    <w:rsid w:val="00076DC0"/>
    <w:rsid w:val="000770D2"/>
    <w:rsid w:val="00077748"/>
    <w:rsid w:val="00080534"/>
    <w:rsid w:val="00080704"/>
    <w:rsid w:val="00080D98"/>
    <w:rsid w:val="00080E7E"/>
    <w:rsid w:val="00080F84"/>
    <w:rsid w:val="0008193C"/>
    <w:rsid w:val="00081E15"/>
    <w:rsid w:val="000820A0"/>
    <w:rsid w:val="0008239E"/>
    <w:rsid w:val="0008259B"/>
    <w:rsid w:val="000826E1"/>
    <w:rsid w:val="00082901"/>
    <w:rsid w:val="00082A2F"/>
    <w:rsid w:val="00082D09"/>
    <w:rsid w:val="00083589"/>
    <w:rsid w:val="000851CB"/>
    <w:rsid w:val="00085644"/>
    <w:rsid w:val="00085FA7"/>
    <w:rsid w:val="0008674C"/>
    <w:rsid w:val="00086F3F"/>
    <w:rsid w:val="00090316"/>
    <w:rsid w:val="000914ED"/>
    <w:rsid w:val="00091B57"/>
    <w:rsid w:val="00091F2B"/>
    <w:rsid w:val="00092556"/>
    <w:rsid w:val="00093CC5"/>
    <w:rsid w:val="00093D78"/>
    <w:rsid w:val="00094AEF"/>
    <w:rsid w:val="00094B0A"/>
    <w:rsid w:val="000958D5"/>
    <w:rsid w:val="00096823"/>
    <w:rsid w:val="00096BAC"/>
    <w:rsid w:val="00096CA6"/>
    <w:rsid w:val="000974DB"/>
    <w:rsid w:val="000979EB"/>
    <w:rsid w:val="00097E96"/>
    <w:rsid w:val="000A001C"/>
    <w:rsid w:val="000A0D9C"/>
    <w:rsid w:val="000A17E9"/>
    <w:rsid w:val="000A18DE"/>
    <w:rsid w:val="000A2D51"/>
    <w:rsid w:val="000A3535"/>
    <w:rsid w:val="000A361A"/>
    <w:rsid w:val="000A39C3"/>
    <w:rsid w:val="000A4917"/>
    <w:rsid w:val="000A509F"/>
    <w:rsid w:val="000A5813"/>
    <w:rsid w:val="000A61F5"/>
    <w:rsid w:val="000A65F3"/>
    <w:rsid w:val="000A729A"/>
    <w:rsid w:val="000A7715"/>
    <w:rsid w:val="000B0F2E"/>
    <w:rsid w:val="000B15EE"/>
    <w:rsid w:val="000B16ED"/>
    <w:rsid w:val="000B19F2"/>
    <w:rsid w:val="000B1AF7"/>
    <w:rsid w:val="000B1D8A"/>
    <w:rsid w:val="000B1F70"/>
    <w:rsid w:val="000B211D"/>
    <w:rsid w:val="000B2256"/>
    <w:rsid w:val="000B247E"/>
    <w:rsid w:val="000B323D"/>
    <w:rsid w:val="000B32BF"/>
    <w:rsid w:val="000B4880"/>
    <w:rsid w:val="000B4A30"/>
    <w:rsid w:val="000B4AE4"/>
    <w:rsid w:val="000B4BD4"/>
    <w:rsid w:val="000B4EED"/>
    <w:rsid w:val="000B4FDD"/>
    <w:rsid w:val="000B543E"/>
    <w:rsid w:val="000B5921"/>
    <w:rsid w:val="000B6258"/>
    <w:rsid w:val="000B6381"/>
    <w:rsid w:val="000B6662"/>
    <w:rsid w:val="000B6C74"/>
    <w:rsid w:val="000B6EE4"/>
    <w:rsid w:val="000B714D"/>
    <w:rsid w:val="000B75DD"/>
    <w:rsid w:val="000B77DE"/>
    <w:rsid w:val="000B7E54"/>
    <w:rsid w:val="000B7F52"/>
    <w:rsid w:val="000C052D"/>
    <w:rsid w:val="000C0D2C"/>
    <w:rsid w:val="000C0DAF"/>
    <w:rsid w:val="000C10AA"/>
    <w:rsid w:val="000C189C"/>
    <w:rsid w:val="000C23AD"/>
    <w:rsid w:val="000C26B9"/>
    <w:rsid w:val="000C29B9"/>
    <w:rsid w:val="000C2CB9"/>
    <w:rsid w:val="000C394A"/>
    <w:rsid w:val="000C3C85"/>
    <w:rsid w:val="000C47A1"/>
    <w:rsid w:val="000C48EA"/>
    <w:rsid w:val="000C4B8A"/>
    <w:rsid w:val="000C53E3"/>
    <w:rsid w:val="000C55BF"/>
    <w:rsid w:val="000C5BAE"/>
    <w:rsid w:val="000C6264"/>
    <w:rsid w:val="000C6565"/>
    <w:rsid w:val="000C73B0"/>
    <w:rsid w:val="000C78F5"/>
    <w:rsid w:val="000C7AA7"/>
    <w:rsid w:val="000D04EE"/>
    <w:rsid w:val="000D0846"/>
    <w:rsid w:val="000D0FBB"/>
    <w:rsid w:val="000D1041"/>
    <w:rsid w:val="000D18C3"/>
    <w:rsid w:val="000D1F9E"/>
    <w:rsid w:val="000D2AC8"/>
    <w:rsid w:val="000D2BFF"/>
    <w:rsid w:val="000D3DA7"/>
    <w:rsid w:val="000D45E3"/>
    <w:rsid w:val="000D4D54"/>
    <w:rsid w:val="000D51FE"/>
    <w:rsid w:val="000D63AF"/>
    <w:rsid w:val="000D6BF2"/>
    <w:rsid w:val="000D7468"/>
    <w:rsid w:val="000D76FB"/>
    <w:rsid w:val="000D7A2A"/>
    <w:rsid w:val="000D7D69"/>
    <w:rsid w:val="000E125F"/>
    <w:rsid w:val="000E1E9D"/>
    <w:rsid w:val="000E2986"/>
    <w:rsid w:val="000E2BC5"/>
    <w:rsid w:val="000E2E1F"/>
    <w:rsid w:val="000E2EF8"/>
    <w:rsid w:val="000E30CA"/>
    <w:rsid w:val="000E3372"/>
    <w:rsid w:val="000E389F"/>
    <w:rsid w:val="000E3E6D"/>
    <w:rsid w:val="000E4144"/>
    <w:rsid w:val="000E4582"/>
    <w:rsid w:val="000E4621"/>
    <w:rsid w:val="000E4E31"/>
    <w:rsid w:val="000E4FA0"/>
    <w:rsid w:val="000E52A0"/>
    <w:rsid w:val="000E647D"/>
    <w:rsid w:val="000E72BD"/>
    <w:rsid w:val="000E7540"/>
    <w:rsid w:val="000E78B6"/>
    <w:rsid w:val="000E7C9B"/>
    <w:rsid w:val="000F03D4"/>
    <w:rsid w:val="000F1653"/>
    <w:rsid w:val="000F1724"/>
    <w:rsid w:val="000F19BE"/>
    <w:rsid w:val="000F2270"/>
    <w:rsid w:val="000F2427"/>
    <w:rsid w:val="000F2E5E"/>
    <w:rsid w:val="000F30AC"/>
    <w:rsid w:val="000F383C"/>
    <w:rsid w:val="000F4EF5"/>
    <w:rsid w:val="000F5A62"/>
    <w:rsid w:val="000F5F18"/>
    <w:rsid w:val="000F634A"/>
    <w:rsid w:val="000F665C"/>
    <w:rsid w:val="000F69BB"/>
    <w:rsid w:val="000F6AAE"/>
    <w:rsid w:val="000F7A62"/>
    <w:rsid w:val="000F7F48"/>
    <w:rsid w:val="001015E0"/>
    <w:rsid w:val="00101886"/>
    <w:rsid w:val="00101A7B"/>
    <w:rsid w:val="00102115"/>
    <w:rsid w:val="001028DB"/>
    <w:rsid w:val="00102A64"/>
    <w:rsid w:val="00102E25"/>
    <w:rsid w:val="00103952"/>
    <w:rsid w:val="0010442A"/>
    <w:rsid w:val="001055ED"/>
    <w:rsid w:val="001055FD"/>
    <w:rsid w:val="00105A9B"/>
    <w:rsid w:val="00105C29"/>
    <w:rsid w:val="0010703A"/>
    <w:rsid w:val="00111669"/>
    <w:rsid w:val="00111B81"/>
    <w:rsid w:val="00111C0D"/>
    <w:rsid w:val="001121D7"/>
    <w:rsid w:val="001126EE"/>
    <w:rsid w:val="001127B2"/>
    <w:rsid w:val="00112D82"/>
    <w:rsid w:val="00112ED5"/>
    <w:rsid w:val="00113012"/>
    <w:rsid w:val="001133FF"/>
    <w:rsid w:val="001135B3"/>
    <w:rsid w:val="00113833"/>
    <w:rsid w:val="00114624"/>
    <w:rsid w:val="00114EC8"/>
    <w:rsid w:val="00115804"/>
    <w:rsid w:val="00115F26"/>
    <w:rsid w:val="00116AD2"/>
    <w:rsid w:val="00116CC5"/>
    <w:rsid w:val="001204CE"/>
    <w:rsid w:val="00120751"/>
    <w:rsid w:val="00121C5F"/>
    <w:rsid w:val="001223E4"/>
    <w:rsid w:val="00122868"/>
    <w:rsid w:val="0012353A"/>
    <w:rsid w:val="00124322"/>
    <w:rsid w:val="0012440D"/>
    <w:rsid w:val="00124417"/>
    <w:rsid w:val="00125085"/>
    <w:rsid w:val="001257CF"/>
    <w:rsid w:val="00125803"/>
    <w:rsid w:val="00125AD8"/>
    <w:rsid w:val="00126394"/>
    <w:rsid w:val="001266E0"/>
    <w:rsid w:val="00127022"/>
    <w:rsid w:val="00127250"/>
    <w:rsid w:val="0012733B"/>
    <w:rsid w:val="0013007E"/>
    <w:rsid w:val="00130335"/>
    <w:rsid w:val="00130473"/>
    <w:rsid w:val="001315D5"/>
    <w:rsid w:val="00131A5B"/>
    <w:rsid w:val="00131AB4"/>
    <w:rsid w:val="0013232E"/>
    <w:rsid w:val="00132430"/>
    <w:rsid w:val="00132649"/>
    <w:rsid w:val="00132BC0"/>
    <w:rsid w:val="00132C1A"/>
    <w:rsid w:val="00133A2B"/>
    <w:rsid w:val="00133E89"/>
    <w:rsid w:val="001347B2"/>
    <w:rsid w:val="001347E2"/>
    <w:rsid w:val="0013561C"/>
    <w:rsid w:val="00135E64"/>
    <w:rsid w:val="001361BD"/>
    <w:rsid w:val="001363A7"/>
    <w:rsid w:val="001364D9"/>
    <w:rsid w:val="00136BF1"/>
    <w:rsid w:val="0013709F"/>
    <w:rsid w:val="001400AA"/>
    <w:rsid w:val="00140337"/>
    <w:rsid w:val="001407AD"/>
    <w:rsid w:val="00140DC7"/>
    <w:rsid w:val="00140F57"/>
    <w:rsid w:val="00142506"/>
    <w:rsid w:val="0014256A"/>
    <w:rsid w:val="0014390D"/>
    <w:rsid w:val="00143A6D"/>
    <w:rsid w:val="00144F8B"/>
    <w:rsid w:val="0014524F"/>
    <w:rsid w:val="001459CD"/>
    <w:rsid w:val="00145A0A"/>
    <w:rsid w:val="0014639C"/>
    <w:rsid w:val="0014695F"/>
    <w:rsid w:val="00147D46"/>
    <w:rsid w:val="00147D7B"/>
    <w:rsid w:val="001501C4"/>
    <w:rsid w:val="001512B2"/>
    <w:rsid w:val="00151E2C"/>
    <w:rsid w:val="0015228D"/>
    <w:rsid w:val="001528B5"/>
    <w:rsid w:val="00152A21"/>
    <w:rsid w:val="00152CE5"/>
    <w:rsid w:val="001531F1"/>
    <w:rsid w:val="00153407"/>
    <w:rsid w:val="0015350E"/>
    <w:rsid w:val="00153777"/>
    <w:rsid w:val="00155639"/>
    <w:rsid w:val="001563D0"/>
    <w:rsid w:val="00156413"/>
    <w:rsid w:val="001572FD"/>
    <w:rsid w:val="00157F7D"/>
    <w:rsid w:val="00160A56"/>
    <w:rsid w:val="0016172A"/>
    <w:rsid w:val="00162043"/>
    <w:rsid w:val="001622C0"/>
    <w:rsid w:val="00162ACF"/>
    <w:rsid w:val="00164033"/>
    <w:rsid w:val="00165127"/>
    <w:rsid w:val="001652CB"/>
    <w:rsid w:val="00165F99"/>
    <w:rsid w:val="00165FF0"/>
    <w:rsid w:val="00166215"/>
    <w:rsid w:val="00166930"/>
    <w:rsid w:val="00166EA9"/>
    <w:rsid w:val="001671D6"/>
    <w:rsid w:val="0016777D"/>
    <w:rsid w:val="00167814"/>
    <w:rsid w:val="001705D7"/>
    <w:rsid w:val="0017089F"/>
    <w:rsid w:val="00170FF8"/>
    <w:rsid w:val="00171188"/>
    <w:rsid w:val="001724EC"/>
    <w:rsid w:val="00173981"/>
    <w:rsid w:val="00174558"/>
    <w:rsid w:val="00174C8A"/>
    <w:rsid w:val="001750BE"/>
    <w:rsid w:val="001757E5"/>
    <w:rsid w:val="001758B9"/>
    <w:rsid w:val="00175B67"/>
    <w:rsid w:val="00176A9F"/>
    <w:rsid w:val="001771D8"/>
    <w:rsid w:val="001805C7"/>
    <w:rsid w:val="00181E5A"/>
    <w:rsid w:val="00182A07"/>
    <w:rsid w:val="00182DC3"/>
    <w:rsid w:val="001849AF"/>
    <w:rsid w:val="00184CCB"/>
    <w:rsid w:val="00185046"/>
    <w:rsid w:val="00185E96"/>
    <w:rsid w:val="00186957"/>
    <w:rsid w:val="00186ED8"/>
    <w:rsid w:val="00192B98"/>
    <w:rsid w:val="00193830"/>
    <w:rsid w:val="00194295"/>
    <w:rsid w:val="0019548D"/>
    <w:rsid w:val="00196661"/>
    <w:rsid w:val="00196CCE"/>
    <w:rsid w:val="001A00B9"/>
    <w:rsid w:val="001A0D77"/>
    <w:rsid w:val="001A1C43"/>
    <w:rsid w:val="001A1D25"/>
    <w:rsid w:val="001A1F6A"/>
    <w:rsid w:val="001A1FD9"/>
    <w:rsid w:val="001A20A4"/>
    <w:rsid w:val="001A2336"/>
    <w:rsid w:val="001A29DE"/>
    <w:rsid w:val="001A31A7"/>
    <w:rsid w:val="001A320D"/>
    <w:rsid w:val="001A35C8"/>
    <w:rsid w:val="001A3A7B"/>
    <w:rsid w:val="001A4203"/>
    <w:rsid w:val="001A4F6D"/>
    <w:rsid w:val="001A670F"/>
    <w:rsid w:val="001A6F8C"/>
    <w:rsid w:val="001A7D22"/>
    <w:rsid w:val="001B0691"/>
    <w:rsid w:val="001B1759"/>
    <w:rsid w:val="001B242D"/>
    <w:rsid w:val="001B2917"/>
    <w:rsid w:val="001B33B5"/>
    <w:rsid w:val="001B4CFD"/>
    <w:rsid w:val="001B4DC5"/>
    <w:rsid w:val="001B5127"/>
    <w:rsid w:val="001B54D8"/>
    <w:rsid w:val="001B5F12"/>
    <w:rsid w:val="001B6ADF"/>
    <w:rsid w:val="001B7197"/>
    <w:rsid w:val="001B7927"/>
    <w:rsid w:val="001B7F83"/>
    <w:rsid w:val="001C109A"/>
    <w:rsid w:val="001C2035"/>
    <w:rsid w:val="001C310F"/>
    <w:rsid w:val="001C3870"/>
    <w:rsid w:val="001C3941"/>
    <w:rsid w:val="001C3A66"/>
    <w:rsid w:val="001C4204"/>
    <w:rsid w:val="001C496B"/>
    <w:rsid w:val="001C4BAC"/>
    <w:rsid w:val="001C56AA"/>
    <w:rsid w:val="001C58D3"/>
    <w:rsid w:val="001C5FFA"/>
    <w:rsid w:val="001C602D"/>
    <w:rsid w:val="001C610A"/>
    <w:rsid w:val="001C6BB2"/>
    <w:rsid w:val="001C70F4"/>
    <w:rsid w:val="001C74AF"/>
    <w:rsid w:val="001C7C27"/>
    <w:rsid w:val="001C7CD1"/>
    <w:rsid w:val="001D0124"/>
    <w:rsid w:val="001D046C"/>
    <w:rsid w:val="001D0710"/>
    <w:rsid w:val="001D0D31"/>
    <w:rsid w:val="001D21F7"/>
    <w:rsid w:val="001D2396"/>
    <w:rsid w:val="001D25CB"/>
    <w:rsid w:val="001D30A0"/>
    <w:rsid w:val="001D49D3"/>
    <w:rsid w:val="001D4DEC"/>
    <w:rsid w:val="001D4E14"/>
    <w:rsid w:val="001D507C"/>
    <w:rsid w:val="001D50C3"/>
    <w:rsid w:val="001D55F1"/>
    <w:rsid w:val="001D58C7"/>
    <w:rsid w:val="001D5F76"/>
    <w:rsid w:val="001D60CA"/>
    <w:rsid w:val="001D6972"/>
    <w:rsid w:val="001D77A9"/>
    <w:rsid w:val="001D78C1"/>
    <w:rsid w:val="001D78E5"/>
    <w:rsid w:val="001D7CDB"/>
    <w:rsid w:val="001E2679"/>
    <w:rsid w:val="001E2B08"/>
    <w:rsid w:val="001E2C7C"/>
    <w:rsid w:val="001E2F3F"/>
    <w:rsid w:val="001E3049"/>
    <w:rsid w:val="001E36D6"/>
    <w:rsid w:val="001E3725"/>
    <w:rsid w:val="001E4E15"/>
    <w:rsid w:val="001E585A"/>
    <w:rsid w:val="001E5E5B"/>
    <w:rsid w:val="001E6024"/>
    <w:rsid w:val="001E649C"/>
    <w:rsid w:val="001E64B5"/>
    <w:rsid w:val="001E6568"/>
    <w:rsid w:val="001E6F23"/>
    <w:rsid w:val="001E7080"/>
    <w:rsid w:val="001E7B9F"/>
    <w:rsid w:val="001E7C84"/>
    <w:rsid w:val="001F0399"/>
    <w:rsid w:val="001F25D5"/>
    <w:rsid w:val="001F2DB3"/>
    <w:rsid w:val="001F403F"/>
    <w:rsid w:val="001F41C9"/>
    <w:rsid w:val="001F5480"/>
    <w:rsid w:val="001F6BB7"/>
    <w:rsid w:val="001F6BD8"/>
    <w:rsid w:val="001F6F45"/>
    <w:rsid w:val="001F75E7"/>
    <w:rsid w:val="001F7E9E"/>
    <w:rsid w:val="00200317"/>
    <w:rsid w:val="00201314"/>
    <w:rsid w:val="002018E3"/>
    <w:rsid w:val="00201A1F"/>
    <w:rsid w:val="00201D67"/>
    <w:rsid w:val="0020203C"/>
    <w:rsid w:val="002026E3"/>
    <w:rsid w:val="00202CD3"/>
    <w:rsid w:val="00203DDD"/>
    <w:rsid w:val="00204455"/>
    <w:rsid w:val="002048EA"/>
    <w:rsid w:val="00205FC4"/>
    <w:rsid w:val="00206AE3"/>
    <w:rsid w:val="00206BA6"/>
    <w:rsid w:val="00207516"/>
    <w:rsid w:val="0020772F"/>
    <w:rsid w:val="00207E13"/>
    <w:rsid w:val="002113D8"/>
    <w:rsid w:val="002115E6"/>
    <w:rsid w:val="00211D1D"/>
    <w:rsid w:val="00211DED"/>
    <w:rsid w:val="00212455"/>
    <w:rsid w:val="00212628"/>
    <w:rsid w:val="00213397"/>
    <w:rsid w:val="00213C49"/>
    <w:rsid w:val="00214BE9"/>
    <w:rsid w:val="00214E7A"/>
    <w:rsid w:val="002158A1"/>
    <w:rsid w:val="00215F22"/>
    <w:rsid w:val="0021643F"/>
    <w:rsid w:val="002165A7"/>
    <w:rsid w:val="002173DC"/>
    <w:rsid w:val="002209B2"/>
    <w:rsid w:val="002218D1"/>
    <w:rsid w:val="00221B30"/>
    <w:rsid w:val="00222976"/>
    <w:rsid w:val="002229C7"/>
    <w:rsid w:val="00222C75"/>
    <w:rsid w:val="00222E74"/>
    <w:rsid w:val="00223082"/>
    <w:rsid w:val="002230F0"/>
    <w:rsid w:val="00223947"/>
    <w:rsid w:val="00223FF3"/>
    <w:rsid w:val="0022431C"/>
    <w:rsid w:val="00224E91"/>
    <w:rsid w:val="002254B7"/>
    <w:rsid w:val="00225D83"/>
    <w:rsid w:val="0022675D"/>
    <w:rsid w:val="00226B81"/>
    <w:rsid w:val="00227628"/>
    <w:rsid w:val="00227965"/>
    <w:rsid w:val="0023000A"/>
    <w:rsid w:val="002304D5"/>
    <w:rsid w:val="0023193C"/>
    <w:rsid w:val="00232AE2"/>
    <w:rsid w:val="002336A9"/>
    <w:rsid w:val="002337AC"/>
    <w:rsid w:val="0023402B"/>
    <w:rsid w:val="00234306"/>
    <w:rsid w:val="00234AC6"/>
    <w:rsid w:val="00234F7D"/>
    <w:rsid w:val="00235019"/>
    <w:rsid w:val="00235264"/>
    <w:rsid w:val="0023572D"/>
    <w:rsid w:val="002360EF"/>
    <w:rsid w:val="00237721"/>
    <w:rsid w:val="00240431"/>
    <w:rsid w:val="0024083C"/>
    <w:rsid w:val="0024092C"/>
    <w:rsid w:val="002409A0"/>
    <w:rsid w:val="00241B8D"/>
    <w:rsid w:val="00241CB9"/>
    <w:rsid w:val="002425A5"/>
    <w:rsid w:val="00242FE4"/>
    <w:rsid w:val="00243074"/>
    <w:rsid w:val="002431DD"/>
    <w:rsid w:val="002440C9"/>
    <w:rsid w:val="00244136"/>
    <w:rsid w:val="002442E6"/>
    <w:rsid w:val="0024437E"/>
    <w:rsid w:val="00244585"/>
    <w:rsid w:val="0024484C"/>
    <w:rsid w:val="00244C78"/>
    <w:rsid w:val="0024563A"/>
    <w:rsid w:val="00245CAE"/>
    <w:rsid w:val="002465B1"/>
    <w:rsid w:val="00247260"/>
    <w:rsid w:val="00250791"/>
    <w:rsid w:val="0025109C"/>
    <w:rsid w:val="00251616"/>
    <w:rsid w:val="00251F36"/>
    <w:rsid w:val="002520BC"/>
    <w:rsid w:val="002521F7"/>
    <w:rsid w:val="0025277C"/>
    <w:rsid w:val="0025281C"/>
    <w:rsid w:val="002547C3"/>
    <w:rsid w:val="00254974"/>
    <w:rsid w:val="00254AD4"/>
    <w:rsid w:val="002552CD"/>
    <w:rsid w:val="002557B4"/>
    <w:rsid w:val="00256A2D"/>
    <w:rsid w:val="00256A5A"/>
    <w:rsid w:val="00257A60"/>
    <w:rsid w:val="00257EB1"/>
    <w:rsid w:val="00257F68"/>
    <w:rsid w:val="0026040F"/>
    <w:rsid w:val="002616D0"/>
    <w:rsid w:val="00261756"/>
    <w:rsid w:val="00264AB9"/>
    <w:rsid w:val="0026565B"/>
    <w:rsid w:val="002659B5"/>
    <w:rsid w:val="0026696B"/>
    <w:rsid w:val="002674D7"/>
    <w:rsid w:val="002675D9"/>
    <w:rsid w:val="00267D58"/>
    <w:rsid w:val="00270795"/>
    <w:rsid w:val="0027099C"/>
    <w:rsid w:val="002711FC"/>
    <w:rsid w:val="0027389C"/>
    <w:rsid w:val="00274CF5"/>
    <w:rsid w:val="002759F8"/>
    <w:rsid w:val="00275B12"/>
    <w:rsid w:val="002765C5"/>
    <w:rsid w:val="00276FED"/>
    <w:rsid w:val="002770BD"/>
    <w:rsid w:val="00277B21"/>
    <w:rsid w:val="0028095A"/>
    <w:rsid w:val="00280B71"/>
    <w:rsid w:val="00280C2D"/>
    <w:rsid w:val="00281154"/>
    <w:rsid w:val="002817BC"/>
    <w:rsid w:val="00281883"/>
    <w:rsid w:val="0028193C"/>
    <w:rsid w:val="00282134"/>
    <w:rsid w:val="00283390"/>
    <w:rsid w:val="00284597"/>
    <w:rsid w:val="00284A3D"/>
    <w:rsid w:val="00285752"/>
    <w:rsid w:val="002858AB"/>
    <w:rsid w:val="0028658D"/>
    <w:rsid w:val="00287800"/>
    <w:rsid w:val="0028790D"/>
    <w:rsid w:val="00287F51"/>
    <w:rsid w:val="00292A36"/>
    <w:rsid w:val="00292D38"/>
    <w:rsid w:val="00292FD7"/>
    <w:rsid w:val="00293681"/>
    <w:rsid w:val="00293CF5"/>
    <w:rsid w:val="00294788"/>
    <w:rsid w:val="00294C81"/>
    <w:rsid w:val="00294CAE"/>
    <w:rsid w:val="0029501B"/>
    <w:rsid w:val="002951C7"/>
    <w:rsid w:val="002955C3"/>
    <w:rsid w:val="00295B37"/>
    <w:rsid w:val="00295C8A"/>
    <w:rsid w:val="002962C0"/>
    <w:rsid w:val="00296693"/>
    <w:rsid w:val="002967E6"/>
    <w:rsid w:val="00297702"/>
    <w:rsid w:val="00297DE9"/>
    <w:rsid w:val="002A0747"/>
    <w:rsid w:val="002A0D77"/>
    <w:rsid w:val="002A1553"/>
    <w:rsid w:val="002A2DC8"/>
    <w:rsid w:val="002A347A"/>
    <w:rsid w:val="002A3653"/>
    <w:rsid w:val="002A380D"/>
    <w:rsid w:val="002A4E14"/>
    <w:rsid w:val="002A58B7"/>
    <w:rsid w:val="002A6860"/>
    <w:rsid w:val="002A6B5C"/>
    <w:rsid w:val="002A7781"/>
    <w:rsid w:val="002B069E"/>
    <w:rsid w:val="002B08A2"/>
    <w:rsid w:val="002B0A50"/>
    <w:rsid w:val="002B0A69"/>
    <w:rsid w:val="002B0ADA"/>
    <w:rsid w:val="002B14D9"/>
    <w:rsid w:val="002B182E"/>
    <w:rsid w:val="002B1C0B"/>
    <w:rsid w:val="002B2712"/>
    <w:rsid w:val="002B2AF3"/>
    <w:rsid w:val="002B3451"/>
    <w:rsid w:val="002B4F58"/>
    <w:rsid w:val="002B5C0F"/>
    <w:rsid w:val="002B5D08"/>
    <w:rsid w:val="002B7219"/>
    <w:rsid w:val="002B7795"/>
    <w:rsid w:val="002B791F"/>
    <w:rsid w:val="002B7E6B"/>
    <w:rsid w:val="002C019E"/>
    <w:rsid w:val="002C0D74"/>
    <w:rsid w:val="002C1115"/>
    <w:rsid w:val="002C1665"/>
    <w:rsid w:val="002C22CA"/>
    <w:rsid w:val="002C26AD"/>
    <w:rsid w:val="002C38F6"/>
    <w:rsid w:val="002C4FD5"/>
    <w:rsid w:val="002C5011"/>
    <w:rsid w:val="002C559C"/>
    <w:rsid w:val="002C5D80"/>
    <w:rsid w:val="002C6781"/>
    <w:rsid w:val="002C6C89"/>
    <w:rsid w:val="002C708F"/>
    <w:rsid w:val="002C79FA"/>
    <w:rsid w:val="002C7C20"/>
    <w:rsid w:val="002D0861"/>
    <w:rsid w:val="002D117E"/>
    <w:rsid w:val="002D1D9A"/>
    <w:rsid w:val="002D27EB"/>
    <w:rsid w:val="002D32E4"/>
    <w:rsid w:val="002D4242"/>
    <w:rsid w:val="002D464A"/>
    <w:rsid w:val="002D4D88"/>
    <w:rsid w:val="002D5E8E"/>
    <w:rsid w:val="002D5EC8"/>
    <w:rsid w:val="002D6268"/>
    <w:rsid w:val="002D651B"/>
    <w:rsid w:val="002D6998"/>
    <w:rsid w:val="002D6B04"/>
    <w:rsid w:val="002D6E64"/>
    <w:rsid w:val="002D7200"/>
    <w:rsid w:val="002D7628"/>
    <w:rsid w:val="002D7BC0"/>
    <w:rsid w:val="002D7EF4"/>
    <w:rsid w:val="002E04CE"/>
    <w:rsid w:val="002E1354"/>
    <w:rsid w:val="002E1908"/>
    <w:rsid w:val="002E1A16"/>
    <w:rsid w:val="002E1CA6"/>
    <w:rsid w:val="002E33B6"/>
    <w:rsid w:val="002E3799"/>
    <w:rsid w:val="002E6ABF"/>
    <w:rsid w:val="002E716C"/>
    <w:rsid w:val="002F07A6"/>
    <w:rsid w:val="002F0CAD"/>
    <w:rsid w:val="002F1257"/>
    <w:rsid w:val="002F1704"/>
    <w:rsid w:val="002F1796"/>
    <w:rsid w:val="002F2CCB"/>
    <w:rsid w:val="002F31D2"/>
    <w:rsid w:val="002F3395"/>
    <w:rsid w:val="002F34E5"/>
    <w:rsid w:val="002F356D"/>
    <w:rsid w:val="002F396C"/>
    <w:rsid w:val="002F4451"/>
    <w:rsid w:val="002F551F"/>
    <w:rsid w:val="002F6511"/>
    <w:rsid w:val="002F71F2"/>
    <w:rsid w:val="003005C8"/>
    <w:rsid w:val="003007FE"/>
    <w:rsid w:val="003013ED"/>
    <w:rsid w:val="003014CA"/>
    <w:rsid w:val="0030155E"/>
    <w:rsid w:val="003017FE"/>
    <w:rsid w:val="00301EAA"/>
    <w:rsid w:val="00301F88"/>
    <w:rsid w:val="003027CB"/>
    <w:rsid w:val="00303299"/>
    <w:rsid w:val="00303726"/>
    <w:rsid w:val="00303977"/>
    <w:rsid w:val="00303E16"/>
    <w:rsid w:val="0030404B"/>
    <w:rsid w:val="0030679F"/>
    <w:rsid w:val="00306EEE"/>
    <w:rsid w:val="00307142"/>
    <w:rsid w:val="003079D6"/>
    <w:rsid w:val="00307AC2"/>
    <w:rsid w:val="00307B6B"/>
    <w:rsid w:val="003108EE"/>
    <w:rsid w:val="003109F8"/>
    <w:rsid w:val="00310B33"/>
    <w:rsid w:val="00311D42"/>
    <w:rsid w:val="00312445"/>
    <w:rsid w:val="003124EB"/>
    <w:rsid w:val="00312807"/>
    <w:rsid w:val="003128A8"/>
    <w:rsid w:val="0031349C"/>
    <w:rsid w:val="00314027"/>
    <w:rsid w:val="00314257"/>
    <w:rsid w:val="003148A8"/>
    <w:rsid w:val="00315AE0"/>
    <w:rsid w:val="00315B0C"/>
    <w:rsid w:val="00316275"/>
    <w:rsid w:val="00317275"/>
    <w:rsid w:val="00317398"/>
    <w:rsid w:val="00317FA6"/>
    <w:rsid w:val="0032020B"/>
    <w:rsid w:val="00320BA2"/>
    <w:rsid w:val="00320ED2"/>
    <w:rsid w:val="00322113"/>
    <w:rsid w:val="00323031"/>
    <w:rsid w:val="0032350D"/>
    <w:rsid w:val="003242DF"/>
    <w:rsid w:val="00324F59"/>
    <w:rsid w:val="003263D0"/>
    <w:rsid w:val="00326775"/>
    <w:rsid w:val="00326F41"/>
    <w:rsid w:val="00327153"/>
    <w:rsid w:val="003274C6"/>
    <w:rsid w:val="00330773"/>
    <w:rsid w:val="00330831"/>
    <w:rsid w:val="00330A14"/>
    <w:rsid w:val="00331760"/>
    <w:rsid w:val="0033240B"/>
    <w:rsid w:val="00333368"/>
    <w:rsid w:val="00333446"/>
    <w:rsid w:val="0033361D"/>
    <w:rsid w:val="003337EB"/>
    <w:rsid w:val="00334464"/>
    <w:rsid w:val="00334F13"/>
    <w:rsid w:val="00335595"/>
    <w:rsid w:val="00335685"/>
    <w:rsid w:val="00336592"/>
    <w:rsid w:val="00340CDA"/>
    <w:rsid w:val="00340F11"/>
    <w:rsid w:val="0034118B"/>
    <w:rsid w:val="00341229"/>
    <w:rsid w:val="003413B3"/>
    <w:rsid w:val="00341F8E"/>
    <w:rsid w:val="003427C2"/>
    <w:rsid w:val="00343ABD"/>
    <w:rsid w:val="00343CD5"/>
    <w:rsid w:val="003441A7"/>
    <w:rsid w:val="00344409"/>
    <w:rsid w:val="00344A24"/>
    <w:rsid w:val="003450FC"/>
    <w:rsid w:val="003453D1"/>
    <w:rsid w:val="003458CD"/>
    <w:rsid w:val="003459B8"/>
    <w:rsid w:val="00345AD8"/>
    <w:rsid w:val="00345C6F"/>
    <w:rsid w:val="00346259"/>
    <w:rsid w:val="00346B41"/>
    <w:rsid w:val="00347047"/>
    <w:rsid w:val="0034720B"/>
    <w:rsid w:val="00350841"/>
    <w:rsid w:val="00350CF4"/>
    <w:rsid w:val="00350F10"/>
    <w:rsid w:val="00351EA1"/>
    <w:rsid w:val="003528A1"/>
    <w:rsid w:val="0035335F"/>
    <w:rsid w:val="003538D0"/>
    <w:rsid w:val="00353E6E"/>
    <w:rsid w:val="00355A34"/>
    <w:rsid w:val="00355D3E"/>
    <w:rsid w:val="00355DE9"/>
    <w:rsid w:val="00356325"/>
    <w:rsid w:val="0035637A"/>
    <w:rsid w:val="00356B0B"/>
    <w:rsid w:val="0035771C"/>
    <w:rsid w:val="00357B58"/>
    <w:rsid w:val="00357DD4"/>
    <w:rsid w:val="0036098E"/>
    <w:rsid w:val="003609A1"/>
    <w:rsid w:val="00360DE5"/>
    <w:rsid w:val="0036105B"/>
    <w:rsid w:val="00361B82"/>
    <w:rsid w:val="00361C6C"/>
    <w:rsid w:val="00361D3F"/>
    <w:rsid w:val="00362741"/>
    <w:rsid w:val="00362AF8"/>
    <w:rsid w:val="00362C8D"/>
    <w:rsid w:val="00363CEE"/>
    <w:rsid w:val="00363E37"/>
    <w:rsid w:val="00364105"/>
    <w:rsid w:val="00364E95"/>
    <w:rsid w:val="00365790"/>
    <w:rsid w:val="00365807"/>
    <w:rsid w:val="003679A7"/>
    <w:rsid w:val="00367E0B"/>
    <w:rsid w:val="0037007B"/>
    <w:rsid w:val="00370A8C"/>
    <w:rsid w:val="00370C18"/>
    <w:rsid w:val="00370C6A"/>
    <w:rsid w:val="003713F4"/>
    <w:rsid w:val="00371428"/>
    <w:rsid w:val="00371D07"/>
    <w:rsid w:val="00371EE8"/>
    <w:rsid w:val="00372A84"/>
    <w:rsid w:val="0037314A"/>
    <w:rsid w:val="003738AA"/>
    <w:rsid w:val="0037404E"/>
    <w:rsid w:val="003755BC"/>
    <w:rsid w:val="00375A75"/>
    <w:rsid w:val="00375EEF"/>
    <w:rsid w:val="0037603C"/>
    <w:rsid w:val="003767D7"/>
    <w:rsid w:val="00376A6D"/>
    <w:rsid w:val="003770CF"/>
    <w:rsid w:val="0037793F"/>
    <w:rsid w:val="00377C0D"/>
    <w:rsid w:val="00377D97"/>
    <w:rsid w:val="00377EB8"/>
    <w:rsid w:val="00380609"/>
    <w:rsid w:val="00380689"/>
    <w:rsid w:val="00381139"/>
    <w:rsid w:val="00381B6C"/>
    <w:rsid w:val="00382087"/>
    <w:rsid w:val="00383282"/>
    <w:rsid w:val="003833F7"/>
    <w:rsid w:val="00383B9C"/>
    <w:rsid w:val="00384438"/>
    <w:rsid w:val="003847F3"/>
    <w:rsid w:val="0038486B"/>
    <w:rsid w:val="00384ED6"/>
    <w:rsid w:val="00384FDB"/>
    <w:rsid w:val="00384FE3"/>
    <w:rsid w:val="0038535C"/>
    <w:rsid w:val="00385E68"/>
    <w:rsid w:val="00386D6A"/>
    <w:rsid w:val="003876B7"/>
    <w:rsid w:val="0039006D"/>
    <w:rsid w:val="00390226"/>
    <w:rsid w:val="0039042A"/>
    <w:rsid w:val="0039076F"/>
    <w:rsid w:val="00390FB6"/>
    <w:rsid w:val="003910A3"/>
    <w:rsid w:val="0039150C"/>
    <w:rsid w:val="003918B9"/>
    <w:rsid w:val="00391EE9"/>
    <w:rsid w:val="00391F71"/>
    <w:rsid w:val="003923A9"/>
    <w:rsid w:val="003927F2"/>
    <w:rsid w:val="00392A01"/>
    <w:rsid w:val="00392A8E"/>
    <w:rsid w:val="00393068"/>
    <w:rsid w:val="00393096"/>
    <w:rsid w:val="003935A8"/>
    <w:rsid w:val="00393A8B"/>
    <w:rsid w:val="003956D0"/>
    <w:rsid w:val="00395AAA"/>
    <w:rsid w:val="0039616D"/>
    <w:rsid w:val="00397140"/>
    <w:rsid w:val="0039720A"/>
    <w:rsid w:val="0039763A"/>
    <w:rsid w:val="003A0363"/>
    <w:rsid w:val="003A1497"/>
    <w:rsid w:val="003A21E5"/>
    <w:rsid w:val="003A227A"/>
    <w:rsid w:val="003A2423"/>
    <w:rsid w:val="003A38FA"/>
    <w:rsid w:val="003A48D4"/>
    <w:rsid w:val="003A5589"/>
    <w:rsid w:val="003A5759"/>
    <w:rsid w:val="003A5771"/>
    <w:rsid w:val="003A5FE2"/>
    <w:rsid w:val="003A69FE"/>
    <w:rsid w:val="003A726A"/>
    <w:rsid w:val="003B0BD9"/>
    <w:rsid w:val="003B0CBE"/>
    <w:rsid w:val="003B1439"/>
    <w:rsid w:val="003B1A0F"/>
    <w:rsid w:val="003B1C29"/>
    <w:rsid w:val="003B20B2"/>
    <w:rsid w:val="003B3729"/>
    <w:rsid w:val="003B3BBE"/>
    <w:rsid w:val="003B4040"/>
    <w:rsid w:val="003B4A6F"/>
    <w:rsid w:val="003B531D"/>
    <w:rsid w:val="003B6179"/>
    <w:rsid w:val="003B6A38"/>
    <w:rsid w:val="003B6B04"/>
    <w:rsid w:val="003C004D"/>
    <w:rsid w:val="003C34D3"/>
    <w:rsid w:val="003C3B8B"/>
    <w:rsid w:val="003C3E83"/>
    <w:rsid w:val="003C5085"/>
    <w:rsid w:val="003C55DE"/>
    <w:rsid w:val="003C6765"/>
    <w:rsid w:val="003C678E"/>
    <w:rsid w:val="003C73DA"/>
    <w:rsid w:val="003C754C"/>
    <w:rsid w:val="003C7DF2"/>
    <w:rsid w:val="003D0222"/>
    <w:rsid w:val="003D0288"/>
    <w:rsid w:val="003D0B32"/>
    <w:rsid w:val="003D0CE8"/>
    <w:rsid w:val="003D0E82"/>
    <w:rsid w:val="003D1F8A"/>
    <w:rsid w:val="003D23A3"/>
    <w:rsid w:val="003D3197"/>
    <w:rsid w:val="003D3346"/>
    <w:rsid w:val="003D34D1"/>
    <w:rsid w:val="003D360C"/>
    <w:rsid w:val="003D390B"/>
    <w:rsid w:val="003D3C0C"/>
    <w:rsid w:val="003D48B8"/>
    <w:rsid w:val="003D4AD1"/>
    <w:rsid w:val="003D53F3"/>
    <w:rsid w:val="003D5C89"/>
    <w:rsid w:val="003D72E8"/>
    <w:rsid w:val="003D76E8"/>
    <w:rsid w:val="003D794F"/>
    <w:rsid w:val="003E0E5E"/>
    <w:rsid w:val="003E122A"/>
    <w:rsid w:val="003E1859"/>
    <w:rsid w:val="003E1BFB"/>
    <w:rsid w:val="003E1CED"/>
    <w:rsid w:val="003E2F42"/>
    <w:rsid w:val="003E2FCC"/>
    <w:rsid w:val="003E3B7F"/>
    <w:rsid w:val="003E3CE6"/>
    <w:rsid w:val="003E47CA"/>
    <w:rsid w:val="003E4905"/>
    <w:rsid w:val="003E5438"/>
    <w:rsid w:val="003E57FD"/>
    <w:rsid w:val="003E5BEF"/>
    <w:rsid w:val="003E60E6"/>
    <w:rsid w:val="003F09D7"/>
    <w:rsid w:val="003F1152"/>
    <w:rsid w:val="003F1D5D"/>
    <w:rsid w:val="003F1E5A"/>
    <w:rsid w:val="003F24D0"/>
    <w:rsid w:val="003F2598"/>
    <w:rsid w:val="003F2FDA"/>
    <w:rsid w:val="003F4612"/>
    <w:rsid w:val="003F4A87"/>
    <w:rsid w:val="003F5149"/>
    <w:rsid w:val="003F5B48"/>
    <w:rsid w:val="003F5B62"/>
    <w:rsid w:val="003F5F07"/>
    <w:rsid w:val="003F6345"/>
    <w:rsid w:val="003F7AAE"/>
    <w:rsid w:val="00400079"/>
    <w:rsid w:val="0040058E"/>
    <w:rsid w:val="004013D0"/>
    <w:rsid w:val="004017F9"/>
    <w:rsid w:val="00401D25"/>
    <w:rsid w:val="004039DE"/>
    <w:rsid w:val="00404E79"/>
    <w:rsid w:val="00405137"/>
    <w:rsid w:val="004052FA"/>
    <w:rsid w:val="00405A53"/>
    <w:rsid w:val="00406025"/>
    <w:rsid w:val="004068C6"/>
    <w:rsid w:val="00406E0A"/>
    <w:rsid w:val="004075E4"/>
    <w:rsid w:val="0041051F"/>
    <w:rsid w:val="0041099F"/>
    <w:rsid w:val="004110E4"/>
    <w:rsid w:val="00411962"/>
    <w:rsid w:val="00412A81"/>
    <w:rsid w:val="00412C96"/>
    <w:rsid w:val="00414048"/>
    <w:rsid w:val="00415EEF"/>
    <w:rsid w:val="004161D9"/>
    <w:rsid w:val="004167D0"/>
    <w:rsid w:val="00416D17"/>
    <w:rsid w:val="00417277"/>
    <w:rsid w:val="0041737D"/>
    <w:rsid w:val="004174D0"/>
    <w:rsid w:val="004208A8"/>
    <w:rsid w:val="00420B08"/>
    <w:rsid w:val="00421E33"/>
    <w:rsid w:val="00421F0F"/>
    <w:rsid w:val="004220C0"/>
    <w:rsid w:val="004222D5"/>
    <w:rsid w:val="00422D12"/>
    <w:rsid w:val="00422D7B"/>
    <w:rsid w:val="00423255"/>
    <w:rsid w:val="004245B8"/>
    <w:rsid w:val="0042486F"/>
    <w:rsid w:val="00424A3A"/>
    <w:rsid w:val="00425580"/>
    <w:rsid w:val="004261CA"/>
    <w:rsid w:val="004277EE"/>
    <w:rsid w:val="00427C08"/>
    <w:rsid w:val="00430217"/>
    <w:rsid w:val="00431919"/>
    <w:rsid w:val="00432519"/>
    <w:rsid w:val="00432CD1"/>
    <w:rsid w:val="004331C4"/>
    <w:rsid w:val="00434104"/>
    <w:rsid w:val="0043427C"/>
    <w:rsid w:val="004346AA"/>
    <w:rsid w:val="00434D6D"/>
    <w:rsid w:val="00434FD9"/>
    <w:rsid w:val="0043579A"/>
    <w:rsid w:val="0043584A"/>
    <w:rsid w:val="00435F80"/>
    <w:rsid w:val="004377C7"/>
    <w:rsid w:val="00437AF8"/>
    <w:rsid w:val="00441841"/>
    <w:rsid w:val="00441865"/>
    <w:rsid w:val="00441AAA"/>
    <w:rsid w:val="00441B93"/>
    <w:rsid w:val="00442A10"/>
    <w:rsid w:val="00442F63"/>
    <w:rsid w:val="0044319A"/>
    <w:rsid w:val="0044400F"/>
    <w:rsid w:val="004446BF"/>
    <w:rsid w:val="004449AF"/>
    <w:rsid w:val="00445781"/>
    <w:rsid w:val="00445F54"/>
    <w:rsid w:val="0044600F"/>
    <w:rsid w:val="0044619B"/>
    <w:rsid w:val="004462EC"/>
    <w:rsid w:val="0045090C"/>
    <w:rsid w:val="004513FD"/>
    <w:rsid w:val="00451446"/>
    <w:rsid w:val="004514C3"/>
    <w:rsid w:val="00451C89"/>
    <w:rsid w:val="00451E4D"/>
    <w:rsid w:val="00452413"/>
    <w:rsid w:val="00453447"/>
    <w:rsid w:val="004537F2"/>
    <w:rsid w:val="00454763"/>
    <w:rsid w:val="00455589"/>
    <w:rsid w:val="00455D77"/>
    <w:rsid w:val="00456BF3"/>
    <w:rsid w:val="00456FAD"/>
    <w:rsid w:val="004578BE"/>
    <w:rsid w:val="00457E35"/>
    <w:rsid w:val="00460026"/>
    <w:rsid w:val="00460627"/>
    <w:rsid w:val="0046090D"/>
    <w:rsid w:val="00461002"/>
    <w:rsid w:val="0046160D"/>
    <w:rsid w:val="004617F6"/>
    <w:rsid w:val="004619C5"/>
    <w:rsid w:val="00461A06"/>
    <w:rsid w:val="004624CC"/>
    <w:rsid w:val="0046254A"/>
    <w:rsid w:val="0046278E"/>
    <w:rsid w:val="00464E34"/>
    <w:rsid w:val="00464E5F"/>
    <w:rsid w:val="00464F0D"/>
    <w:rsid w:val="00465174"/>
    <w:rsid w:val="00466B8A"/>
    <w:rsid w:val="00467026"/>
    <w:rsid w:val="00467887"/>
    <w:rsid w:val="004700AF"/>
    <w:rsid w:val="00470723"/>
    <w:rsid w:val="00471C21"/>
    <w:rsid w:val="00471CF9"/>
    <w:rsid w:val="0047232A"/>
    <w:rsid w:val="00472D32"/>
    <w:rsid w:val="004735E0"/>
    <w:rsid w:val="00474411"/>
    <w:rsid w:val="00474A9F"/>
    <w:rsid w:val="00474EC4"/>
    <w:rsid w:val="00476234"/>
    <w:rsid w:val="004762C2"/>
    <w:rsid w:val="0047686E"/>
    <w:rsid w:val="004769F0"/>
    <w:rsid w:val="00476EA2"/>
    <w:rsid w:val="00476EC0"/>
    <w:rsid w:val="00476F0A"/>
    <w:rsid w:val="00480005"/>
    <w:rsid w:val="00480618"/>
    <w:rsid w:val="00480E64"/>
    <w:rsid w:val="0048189B"/>
    <w:rsid w:val="004825A2"/>
    <w:rsid w:val="00482E9F"/>
    <w:rsid w:val="00483412"/>
    <w:rsid w:val="004837CD"/>
    <w:rsid w:val="00484300"/>
    <w:rsid w:val="00484981"/>
    <w:rsid w:val="00484D76"/>
    <w:rsid w:val="00484F25"/>
    <w:rsid w:val="00485153"/>
    <w:rsid w:val="004852B0"/>
    <w:rsid w:val="0048581D"/>
    <w:rsid w:val="00485A80"/>
    <w:rsid w:val="00486367"/>
    <w:rsid w:val="00487007"/>
    <w:rsid w:val="0048705B"/>
    <w:rsid w:val="00490381"/>
    <w:rsid w:val="00490D34"/>
    <w:rsid w:val="00490DF8"/>
    <w:rsid w:val="00490E47"/>
    <w:rsid w:val="0049123C"/>
    <w:rsid w:val="00491801"/>
    <w:rsid w:val="00491853"/>
    <w:rsid w:val="00491E35"/>
    <w:rsid w:val="0049200A"/>
    <w:rsid w:val="0049271E"/>
    <w:rsid w:val="0049367C"/>
    <w:rsid w:val="00493DC4"/>
    <w:rsid w:val="00493E76"/>
    <w:rsid w:val="00493F86"/>
    <w:rsid w:val="00494173"/>
    <w:rsid w:val="0049591A"/>
    <w:rsid w:val="0049592A"/>
    <w:rsid w:val="00495EE8"/>
    <w:rsid w:val="00496645"/>
    <w:rsid w:val="00496F05"/>
    <w:rsid w:val="00497B3D"/>
    <w:rsid w:val="004A0B3A"/>
    <w:rsid w:val="004A1A8C"/>
    <w:rsid w:val="004A1C7D"/>
    <w:rsid w:val="004A1E12"/>
    <w:rsid w:val="004A1E66"/>
    <w:rsid w:val="004A21DE"/>
    <w:rsid w:val="004A273A"/>
    <w:rsid w:val="004A289C"/>
    <w:rsid w:val="004A2966"/>
    <w:rsid w:val="004A33F1"/>
    <w:rsid w:val="004A3823"/>
    <w:rsid w:val="004A38D5"/>
    <w:rsid w:val="004A3D4A"/>
    <w:rsid w:val="004A4083"/>
    <w:rsid w:val="004A4278"/>
    <w:rsid w:val="004A4A46"/>
    <w:rsid w:val="004A6226"/>
    <w:rsid w:val="004A6526"/>
    <w:rsid w:val="004A6640"/>
    <w:rsid w:val="004A777B"/>
    <w:rsid w:val="004B01A6"/>
    <w:rsid w:val="004B0543"/>
    <w:rsid w:val="004B0778"/>
    <w:rsid w:val="004B2C7E"/>
    <w:rsid w:val="004B2FB0"/>
    <w:rsid w:val="004B304B"/>
    <w:rsid w:val="004B4461"/>
    <w:rsid w:val="004B475D"/>
    <w:rsid w:val="004B60B1"/>
    <w:rsid w:val="004B6D6B"/>
    <w:rsid w:val="004B74F3"/>
    <w:rsid w:val="004B7899"/>
    <w:rsid w:val="004C092D"/>
    <w:rsid w:val="004C0D29"/>
    <w:rsid w:val="004C1392"/>
    <w:rsid w:val="004C13E5"/>
    <w:rsid w:val="004C2945"/>
    <w:rsid w:val="004C2A00"/>
    <w:rsid w:val="004C2A7C"/>
    <w:rsid w:val="004C368C"/>
    <w:rsid w:val="004C3780"/>
    <w:rsid w:val="004C3A45"/>
    <w:rsid w:val="004C3BE6"/>
    <w:rsid w:val="004C3CC8"/>
    <w:rsid w:val="004C3EBB"/>
    <w:rsid w:val="004C436C"/>
    <w:rsid w:val="004C4A72"/>
    <w:rsid w:val="004C4F3F"/>
    <w:rsid w:val="004C5350"/>
    <w:rsid w:val="004C56B5"/>
    <w:rsid w:val="004C573F"/>
    <w:rsid w:val="004C57AA"/>
    <w:rsid w:val="004C5F2C"/>
    <w:rsid w:val="004C64D7"/>
    <w:rsid w:val="004C6C5F"/>
    <w:rsid w:val="004C7457"/>
    <w:rsid w:val="004C78A7"/>
    <w:rsid w:val="004C7C5E"/>
    <w:rsid w:val="004D0631"/>
    <w:rsid w:val="004D0B99"/>
    <w:rsid w:val="004D10E1"/>
    <w:rsid w:val="004D1825"/>
    <w:rsid w:val="004D1C59"/>
    <w:rsid w:val="004D38DF"/>
    <w:rsid w:val="004D4ADD"/>
    <w:rsid w:val="004D516D"/>
    <w:rsid w:val="004D53CC"/>
    <w:rsid w:val="004D5B9D"/>
    <w:rsid w:val="004D60F2"/>
    <w:rsid w:val="004D685C"/>
    <w:rsid w:val="004D7B44"/>
    <w:rsid w:val="004D7CA6"/>
    <w:rsid w:val="004E0E2F"/>
    <w:rsid w:val="004E1061"/>
    <w:rsid w:val="004E26E0"/>
    <w:rsid w:val="004E29B3"/>
    <w:rsid w:val="004E2C08"/>
    <w:rsid w:val="004E3012"/>
    <w:rsid w:val="004E32E6"/>
    <w:rsid w:val="004E3470"/>
    <w:rsid w:val="004E3D3E"/>
    <w:rsid w:val="004E4297"/>
    <w:rsid w:val="004E495E"/>
    <w:rsid w:val="004E547A"/>
    <w:rsid w:val="004E5D72"/>
    <w:rsid w:val="004E6A20"/>
    <w:rsid w:val="004E6F41"/>
    <w:rsid w:val="004E6F45"/>
    <w:rsid w:val="004E7AA7"/>
    <w:rsid w:val="004F01C0"/>
    <w:rsid w:val="004F0389"/>
    <w:rsid w:val="004F0729"/>
    <w:rsid w:val="004F0844"/>
    <w:rsid w:val="004F1616"/>
    <w:rsid w:val="004F1BA0"/>
    <w:rsid w:val="004F1C48"/>
    <w:rsid w:val="004F2391"/>
    <w:rsid w:val="004F25B5"/>
    <w:rsid w:val="004F2E76"/>
    <w:rsid w:val="004F32B8"/>
    <w:rsid w:val="004F3361"/>
    <w:rsid w:val="004F3A91"/>
    <w:rsid w:val="004F3D97"/>
    <w:rsid w:val="004F3F6A"/>
    <w:rsid w:val="004F41F5"/>
    <w:rsid w:val="004F461E"/>
    <w:rsid w:val="004F4B21"/>
    <w:rsid w:val="004F5D23"/>
    <w:rsid w:val="004F6949"/>
    <w:rsid w:val="004F6A33"/>
    <w:rsid w:val="004F6BCE"/>
    <w:rsid w:val="004F79E0"/>
    <w:rsid w:val="005001BC"/>
    <w:rsid w:val="005001F3"/>
    <w:rsid w:val="005003CD"/>
    <w:rsid w:val="00500495"/>
    <w:rsid w:val="00500637"/>
    <w:rsid w:val="00500BF1"/>
    <w:rsid w:val="00500C1E"/>
    <w:rsid w:val="00500DFA"/>
    <w:rsid w:val="0050102E"/>
    <w:rsid w:val="005010B9"/>
    <w:rsid w:val="005015F3"/>
    <w:rsid w:val="00502300"/>
    <w:rsid w:val="00503475"/>
    <w:rsid w:val="00503536"/>
    <w:rsid w:val="00503A06"/>
    <w:rsid w:val="005043FB"/>
    <w:rsid w:val="00504494"/>
    <w:rsid w:val="00504C35"/>
    <w:rsid w:val="00505300"/>
    <w:rsid w:val="0050530D"/>
    <w:rsid w:val="00505518"/>
    <w:rsid w:val="00505916"/>
    <w:rsid w:val="0050593F"/>
    <w:rsid w:val="00506A19"/>
    <w:rsid w:val="00506A82"/>
    <w:rsid w:val="0051037E"/>
    <w:rsid w:val="0051084C"/>
    <w:rsid w:val="005111F5"/>
    <w:rsid w:val="005113EA"/>
    <w:rsid w:val="00512733"/>
    <w:rsid w:val="00513C7B"/>
    <w:rsid w:val="00513DFF"/>
    <w:rsid w:val="00513ED6"/>
    <w:rsid w:val="005142B9"/>
    <w:rsid w:val="0051454D"/>
    <w:rsid w:val="005147F7"/>
    <w:rsid w:val="005150BE"/>
    <w:rsid w:val="0051587E"/>
    <w:rsid w:val="005159D0"/>
    <w:rsid w:val="005160BD"/>
    <w:rsid w:val="005166DE"/>
    <w:rsid w:val="0051670A"/>
    <w:rsid w:val="00516FA2"/>
    <w:rsid w:val="00517501"/>
    <w:rsid w:val="005175E3"/>
    <w:rsid w:val="00520064"/>
    <w:rsid w:val="005205E1"/>
    <w:rsid w:val="00520957"/>
    <w:rsid w:val="0052099E"/>
    <w:rsid w:val="00521CCB"/>
    <w:rsid w:val="00522F69"/>
    <w:rsid w:val="005232FC"/>
    <w:rsid w:val="00523F9A"/>
    <w:rsid w:val="0052489A"/>
    <w:rsid w:val="00524CAB"/>
    <w:rsid w:val="00524DC0"/>
    <w:rsid w:val="00525960"/>
    <w:rsid w:val="00526D04"/>
    <w:rsid w:val="00526D5B"/>
    <w:rsid w:val="00526ECB"/>
    <w:rsid w:val="00527316"/>
    <w:rsid w:val="00527478"/>
    <w:rsid w:val="00527878"/>
    <w:rsid w:val="005279FA"/>
    <w:rsid w:val="00531E62"/>
    <w:rsid w:val="00532425"/>
    <w:rsid w:val="0053264D"/>
    <w:rsid w:val="00534136"/>
    <w:rsid w:val="005346AD"/>
    <w:rsid w:val="005347B3"/>
    <w:rsid w:val="00534FDA"/>
    <w:rsid w:val="005350BF"/>
    <w:rsid w:val="00535514"/>
    <w:rsid w:val="005355E7"/>
    <w:rsid w:val="0053566E"/>
    <w:rsid w:val="00535782"/>
    <w:rsid w:val="00535801"/>
    <w:rsid w:val="00536009"/>
    <w:rsid w:val="0053794C"/>
    <w:rsid w:val="005403BC"/>
    <w:rsid w:val="0054057A"/>
    <w:rsid w:val="005408DC"/>
    <w:rsid w:val="005413D8"/>
    <w:rsid w:val="00541E58"/>
    <w:rsid w:val="00542531"/>
    <w:rsid w:val="00542648"/>
    <w:rsid w:val="00542BBE"/>
    <w:rsid w:val="00542E50"/>
    <w:rsid w:val="00543484"/>
    <w:rsid w:val="00543812"/>
    <w:rsid w:val="00543C01"/>
    <w:rsid w:val="00543F8A"/>
    <w:rsid w:val="005450CB"/>
    <w:rsid w:val="00545727"/>
    <w:rsid w:val="005466E8"/>
    <w:rsid w:val="00547709"/>
    <w:rsid w:val="00550301"/>
    <w:rsid w:val="0055109F"/>
    <w:rsid w:val="005523DE"/>
    <w:rsid w:val="00552D96"/>
    <w:rsid w:val="00552F02"/>
    <w:rsid w:val="0055313C"/>
    <w:rsid w:val="00554338"/>
    <w:rsid w:val="0055446C"/>
    <w:rsid w:val="005545B5"/>
    <w:rsid w:val="00555265"/>
    <w:rsid w:val="0055564A"/>
    <w:rsid w:val="005559E1"/>
    <w:rsid w:val="00555BE0"/>
    <w:rsid w:val="00555C34"/>
    <w:rsid w:val="005560A2"/>
    <w:rsid w:val="005569C8"/>
    <w:rsid w:val="00556B11"/>
    <w:rsid w:val="005571DE"/>
    <w:rsid w:val="005572B6"/>
    <w:rsid w:val="00557347"/>
    <w:rsid w:val="005577B8"/>
    <w:rsid w:val="00557B75"/>
    <w:rsid w:val="00557C9D"/>
    <w:rsid w:val="00560C06"/>
    <w:rsid w:val="00561128"/>
    <w:rsid w:val="00561144"/>
    <w:rsid w:val="005617FB"/>
    <w:rsid w:val="00562E10"/>
    <w:rsid w:val="0056366B"/>
    <w:rsid w:val="00564F1A"/>
    <w:rsid w:val="0056616A"/>
    <w:rsid w:val="00566932"/>
    <w:rsid w:val="00566CFB"/>
    <w:rsid w:val="00567CE0"/>
    <w:rsid w:val="00570169"/>
    <w:rsid w:val="005703A2"/>
    <w:rsid w:val="0057042A"/>
    <w:rsid w:val="00570C67"/>
    <w:rsid w:val="00570CAD"/>
    <w:rsid w:val="00571065"/>
    <w:rsid w:val="005723AD"/>
    <w:rsid w:val="005736AE"/>
    <w:rsid w:val="00573804"/>
    <w:rsid w:val="00573E26"/>
    <w:rsid w:val="00574584"/>
    <w:rsid w:val="00574587"/>
    <w:rsid w:val="00574ECC"/>
    <w:rsid w:val="00574F15"/>
    <w:rsid w:val="00576467"/>
    <w:rsid w:val="00576B93"/>
    <w:rsid w:val="00576C05"/>
    <w:rsid w:val="00576C9E"/>
    <w:rsid w:val="00576CD2"/>
    <w:rsid w:val="005777FB"/>
    <w:rsid w:val="00577DDA"/>
    <w:rsid w:val="005801CE"/>
    <w:rsid w:val="00580D69"/>
    <w:rsid w:val="00580E4F"/>
    <w:rsid w:val="00581288"/>
    <w:rsid w:val="00581936"/>
    <w:rsid w:val="00581A30"/>
    <w:rsid w:val="00581B89"/>
    <w:rsid w:val="005822C6"/>
    <w:rsid w:val="00582D0B"/>
    <w:rsid w:val="00583049"/>
    <w:rsid w:val="00583C77"/>
    <w:rsid w:val="00584182"/>
    <w:rsid w:val="00584678"/>
    <w:rsid w:val="00584920"/>
    <w:rsid w:val="0058578C"/>
    <w:rsid w:val="005859FC"/>
    <w:rsid w:val="005864F2"/>
    <w:rsid w:val="00587776"/>
    <w:rsid w:val="00587D8E"/>
    <w:rsid w:val="00590D07"/>
    <w:rsid w:val="00591B72"/>
    <w:rsid w:val="0059305C"/>
    <w:rsid w:val="005930AE"/>
    <w:rsid w:val="00594246"/>
    <w:rsid w:val="005942DE"/>
    <w:rsid w:val="005953FD"/>
    <w:rsid w:val="00595487"/>
    <w:rsid w:val="005957D5"/>
    <w:rsid w:val="00595B9E"/>
    <w:rsid w:val="00595C11"/>
    <w:rsid w:val="00596118"/>
    <w:rsid w:val="0059686B"/>
    <w:rsid w:val="00597955"/>
    <w:rsid w:val="005A0165"/>
    <w:rsid w:val="005A039B"/>
    <w:rsid w:val="005A0850"/>
    <w:rsid w:val="005A3B95"/>
    <w:rsid w:val="005A3C33"/>
    <w:rsid w:val="005A3C8C"/>
    <w:rsid w:val="005A3D05"/>
    <w:rsid w:val="005A4E42"/>
    <w:rsid w:val="005A68CA"/>
    <w:rsid w:val="005A7AD5"/>
    <w:rsid w:val="005B1DA8"/>
    <w:rsid w:val="005B20E7"/>
    <w:rsid w:val="005B259D"/>
    <w:rsid w:val="005B2788"/>
    <w:rsid w:val="005B3E5E"/>
    <w:rsid w:val="005B4018"/>
    <w:rsid w:val="005B407D"/>
    <w:rsid w:val="005B433C"/>
    <w:rsid w:val="005B5157"/>
    <w:rsid w:val="005B624E"/>
    <w:rsid w:val="005B6331"/>
    <w:rsid w:val="005B6F02"/>
    <w:rsid w:val="005B7C11"/>
    <w:rsid w:val="005C1C26"/>
    <w:rsid w:val="005C1C34"/>
    <w:rsid w:val="005C1CBF"/>
    <w:rsid w:val="005C28FD"/>
    <w:rsid w:val="005C47ED"/>
    <w:rsid w:val="005C58D0"/>
    <w:rsid w:val="005C5AB5"/>
    <w:rsid w:val="005C6925"/>
    <w:rsid w:val="005C6D4D"/>
    <w:rsid w:val="005C6E11"/>
    <w:rsid w:val="005C7813"/>
    <w:rsid w:val="005C7C0B"/>
    <w:rsid w:val="005C7E1D"/>
    <w:rsid w:val="005D00EE"/>
    <w:rsid w:val="005D05A3"/>
    <w:rsid w:val="005D082B"/>
    <w:rsid w:val="005D0BEC"/>
    <w:rsid w:val="005D12DE"/>
    <w:rsid w:val="005D1562"/>
    <w:rsid w:val="005D216A"/>
    <w:rsid w:val="005D238E"/>
    <w:rsid w:val="005D3FD9"/>
    <w:rsid w:val="005D46EA"/>
    <w:rsid w:val="005D4CC0"/>
    <w:rsid w:val="005D5341"/>
    <w:rsid w:val="005D5447"/>
    <w:rsid w:val="005D5E76"/>
    <w:rsid w:val="005D6D23"/>
    <w:rsid w:val="005E0ED5"/>
    <w:rsid w:val="005E18CE"/>
    <w:rsid w:val="005E28EE"/>
    <w:rsid w:val="005E303D"/>
    <w:rsid w:val="005E3982"/>
    <w:rsid w:val="005E39EC"/>
    <w:rsid w:val="005E3A21"/>
    <w:rsid w:val="005E3BF8"/>
    <w:rsid w:val="005E4BD4"/>
    <w:rsid w:val="005E4C2A"/>
    <w:rsid w:val="005E4DBF"/>
    <w:rsid w:val="005E523E"/>
    <w:rsid w:val="005E57C3"/>
    <w:rsid w:val="005E5D6E"/>
    <w:rsid w:val="005E5D7F"/>
    <w:rsid w:val="005E6463"/>
    <w:rsid w:val="005E6637"/>
    <w:rsid w:val="005E69C3"/>
    <w:rsid w:val="005E7B3F"/>
    <w:rsid w:val="005F01BC"/>
    <w:rsid w:val="005F0A52"/>
    <w:rsid w:val="005F207D"/>
    <w:rsid w:val="005F22BD"/>
    <w:rsid w:val="005F285A"/>
    <w:rsid w:val="005F2C1C"/>
    <w:rsid w:val="005F2CD2"/>
    <w:rsid w:val="005F31E2"/>
    <w:rsid w:val="005F418D"/>
    <w:rsid w:val="005F4F9E"/>
    <w:rsid w:val="005F68D6"/>
    <w:rsid w:val="005F70C4"/>
    <w:rsid w:val="005F7334"/>
    <w:rsid w:val="005F74A4"/>
    <w:rsid w:val="0060188A"/>
    <w:rsid w:val="006018B0"/>
    <w:rsid w:val="006034FF"/>
    <w:rsid w:val="0060367D"/>
    <w:rsid w:val="0060385D"/>
    <w:rsid w:val="00604117"/>
    <w:rsid w:val="00604256"/>
    <w:rsid w:val="0060425D"/>
    <w:rsid w:val="00604697"/>
    <w:rsid w:val="00605892"/>
    <w:rsid w:val="0060596E"/>
    <w:rsid w:val="00605A29"/>
    <w:rsid w:val="00605C1E"/>
    <w:rsid w:val="006074F2"/>
    <w:rsid w:val="00607723"/>
    <w:rsid w:val="00607BFB"/>
    <w:rsid w:val="00610200"/>
    <w:rsid w:val="00610E18"/>
    <w:rsid w:val="00611A38"/>
    <w:rsid w:val="006122A0"/>
    <w:rsid w:val="00612810"/>
    <w:rsid w:val="00612AB5"/>
    <w:rsid w:val="0061323E"/>
    <w:rsid w:val="00613243"/>
    <w:rsid w:val="00613E19"/>
    <w:rsid w:val="00614547"/>
    <w:rsid w:val="00614CB6"/>
    <w:rsid w:val="00614DA7"/>
    <w:rsid w:val="00614E06"/>
    <w:rsid w:val="00614F0A"/>
    <w:rsid w:val="0061502B"/>
    <w:rsid w:val="00615620"/>
    <w:rsid w:val="0061596C"/>
    <w:rsid w:val="00615A29"/>
    <w:rsid w:val="00615AE9"/>
    <w:rsid w:val="00615D4F"/>
    <w:rsid w:val="00616F39"/>
    <w:rsid w:val="00617DF9"/>
    <w:rsid w:val="0062060D"/>
    <w:rsid w:val="0062083F"/>
    <w:rsid w:val="0062107C"/>
    <w:rsid w:val="006217A3"/>
    <w:rsid w:val="00622277"/>
    <w:rsid w:val="00622B11"/>
    <w:rsid w:val="00623381"/>
    <w:rsid w:val="00623760"/>
    <w:rsid w:val="00623784"/>
    <w:rsid w:val="00624FD8"/>
    <w:rsid w:val="0062501E"/>
    <w:rsid w:val="00625B0A"/>
    <w:rsid w:val="00626063"/>
    <w:rsid w:val="006260F7"/>
    <w:rsid w:val="00626184"/>
    <w:rsid w:val="006261B9"/>
    <w:rsid w:val="00626662"/>
    <w:rsid w:val="00626811"/>
    <w:rsid w:val="0062723B"/>
    <w:rsid w:val="00627385"/>
    <w:rsid w:val="0062759B"/>
    <w:rsid w:val="00630504"/>
    <w:rsid w:val="00630A70"/>
    <w:rsid w:val="006318A8"/>
    <w:rsid w:val="00633F88"/>
    <w:rsid w:val="0063411E"/>
    <w:rsid w:val="006343AE"/>
    <w:rsid w:val="00634D21"/>
    <w:rsid w:val="0063508A"/>
    <w:rsid w:val="0063537A"/>
    <w:rsid w:val="00636023"/>
    <w:rsid w:val="00636759"/>
    <w:rsid w:val="00637033"/>
    <w:rsid w:val="006375DF"/>
    <w:rsid w:val="00637A0A"/>
    <w:rsid w:val="00640004"/>
    <w:rsid w:val="00640491"/>
    <w:rsid w:val="00640EF3"/>
    <w:rsid w:val="00641002"/>
    <w:rsid w:val="00641AFE"/>
    <w:rsid w:val="00641EA3"/>
    <w:rsid w:val="00642CD6"/>
    <w:rsid w:val="00642E1E"/>
    <w:rsid w:val="00642E98"/>
    <w:rsid w:val="006432EC"/>
    <w:rsid w:val="00643343"/>
    <w:rsid w:val="00643CF2"/>
    <w:rsid w:val="00644138"/>
    <w:rsid w:val="00644211"/>
    <w:rsid w:val="006449D5"/>
    <w:rsid w:val="00645484"/>
    <w:rsid w:val="00645545"/>
    <w:rsid w:val="006463C8"/>
    <w:rsid w:val="00646646"/>
    <w:rsid w:val="006468F5"/>
    <w:rsid w:val="006469A9"/>
    <w:rsid w:val="006471C9"/>
    <w:rsid w:val="00647BBE"/>
    <w:rsid w:val="00647C63"/>
    <w:rsid w:val="00647D44"/>
    <w:rsid w:val="00647E72"/>
    <w:rsid w:val="006500DE"/>
    <w:rsid w:val="00651205"/>
    <w:rsid w:val="00651685"/>
    <w:rsid w:val="006518CF"/>
    <w:rsid w:val="00652594"/>
    <w:rsid w:val="00652DC1"/>
    <w:rsid w:val="00652F30"/>
    <w:rsid w:val="00653A89"/>
    <w:rsid w:val="00653C6E"/>
    <w:rsid w:val="00653D2A"/>
    <w:rsid w:val="0065442D"/>
    <w:rsid w:val="006556A1"/>
    <w:rsid w:val="006563B8"/>
    <w:rsid w:val="00656E0C"/>
    <w:rsid w:val="00657884"/>
    <w:rsid w:val="00657D58"/>
    <w:rsid w:val="00660284"/>
    <w:rsid w:val="006613AC"/>
    <w:rsid w:val="00661C93"/>
    <w:rsid w:val="00662A92"/>
    <w:rsid w:val="006630F5"/>
    <w:rsid w:val="006639EC"/>
    <w:rsid w:val="00663F74"/>
    <w:rsid w:val="00664420"/>
    <w:rsid w:val="0066459F"/>
    <w:rsid w:val="00664947"/>
    <w:rsid w:val="00665B6A"/>
    <w:rsid w:val="00665C67"/>
    <w:rsid w:val="00666968"/>
    <w:rsid w:val="00667674"/>
    <w:rsid w:val="0066779C"/>
    <w:rsid w:val="00667BB5"/>
    <w:rsid w:val="00671703"/>
    <w:rsid w:val="00671A39"/>
    <w:rsid w:val="0067495D"/>
    <w:rsid w:val="00675D8B"/>
    <w:rsid w:val="00676874"/>
    <w:rsid w:val="006769EB"/>
    <w:rsid w:val="006770E3"/>
    <w:rsid w:val="00677246"/>
    <w:rsid w:val="006778E6"/>
    <w:rsid w:val="00680838"/>
    <w:rsid w:val="00681421"/>
    <w:rsid w:val="0068143F"/>
    <w:rsid w:val="0068232D"/>
    <w:rsid w:val="006825FC"/>
    <w:rsid w:val="00682667"/>
    <w:rsid w:val="00682745"/>
    <w:rsid w:val="00682E22"/>
    <w:rsid w:val="00683904"/>
    <w:rsid w:val="00683A02"/>
    <w:rsid w:val="006848A1"/>
    <w:rsid w:val="00685B0D"/>
    <w:rsid w:val="006869E1"/>
    <w:rsid w:val="00687140"/>
    <w:rsid w:val="0068716D"/>
    <w:rsid w:val="0068736B"/>
    <w:rsid w:val="00687396"/>
    <w:rsid w:val="006873E4"/>
    <w:rsid w:val="00687473"/>
    <w:rsid w:val="0069086B"/>
    <w:rsid w:val="00690A83"/>
    <w:rsid w:val="00690DF2"/>
    <w:rsid w:val="00690F36"/>
    <w:rsid w:val="006920E6"/>
    <w:rsid w:val="006924CB"/>
    <w:rsid w:val="00692B49"/>
    <w:rsid w:val="00693BCE"/>
    <w:rsid w:val="00694EF1"/>
    <w:rsid w:val="00694FAF"/>
    <w:rsid w:val="006959F9"/>
    <w:rsid w:val="00696513"/>
    <w:rsid w:val="00696562"/>
    <w:rsid w:val="0069690E"/>
    <w:rsid w:val="00696A1F"/>
    <w:rsid w:val="00696E10"/>
    <w:rsid w:val="00696EA4"/>
    <w:rsid w:val="0069735B"/>
    <w:rsid w:val="006978B7"/>
    <w:rsid w:val="00697FD1"/>
    <w:rsid w:val="006A04E7"/>
    <w:rsid w:val="006A12CF"/>
    <w:rsid w:val="006A166C"/>
    <w:rsid w:val="006A1A7E"/>
    <w:rsid w:val="006A20AD"/>
    <w:rsid w:val="006A225A"/>
    <w:rsid w:val="006A29AF"/>
    <w:rsid w:val="006A2A83"/>
    <w:rsid w:val="006A2B58"/>
    <w:rsid w:val="006A2FBC"/>
    <w:rsid w:val="006A33A6"/>
    <w:rsid w:val="006A4FF5"/>
    <w:rsid w:val="006A52C1"/>
    <w:rsid w:val="006A53B7"/>
    <w:rsid w:val="006A6133"/>
    <w:rsid w:val="006A623E"/>
    <w:rsid w:val="006A6B81"/>
    <w:rsid w:val="006A6C2C"/>
    <w:rsid w:val="006A76F9"/>
    <w:rsid w:val="006A7E6E"/>
    <w:rsid w:val="006B013D"/>
    <w:rsid w:val="006B0CE3"/>
    <w:rsid w:val="006B19CF"/>
    <w:rsid w:val="006B2708"/>
    <w:rsid w:val="006B2889"/>
    <w:rsid w:val="006B2E2C"/>
    <w:rsid w:val="006B33A4"/>
    <w:rsid w:val="006B3432"/>
    <w:rsid w:val="006B3820"/>
    <w:rsid w:val="006B3E92"/>
    <w:rsid w:val="006B48BD"/>
    <w:rsid w:val="006B5080"/>
    <w:rsid w:val="006B5725"/>
    <w:rsid w:val="006B5F65"/>
    <w:rsid w:val="006B61A7"/>
    <w:rsid w:val="006B690C"/>
    <w:rsid w:val="006B6CCF"/>
    <w:rsid w:val="006B735D"/>
    <w:rsid w:val="006C0071"/>
    <w:rsid w:val="006C0719"/>
    <w:rsid w:val="006C0F31"/>
    <w:rsid w:val="006C1425"/>
    <w:rsid w:val="006C144D"/>
    <w:rsid w:val="006C15B7"/>
    <w:rsid w:val="006C1688"/>
    <w:rsid w:val="006C2414"/>
    <w:rsid w:val="006C2577"/>
    <w:rsid w:val="006C25D8"/>
    <w:rsid w:val="006C31E0"/>
    <w:rsid w:val="006C34D6"/>
    <w:rsid w:val="006C4A71"/>
    <w:rsid w:val="006C6ED5"/>
    <w:rsid w:val="006D00FE"/>
    <w:rsid w:val="006D13EE"/>
    <w:rsid w:val="006D19F9"/>
    <w:rsid w:val="006D29CE"/>
    <w:rsid w:val="006D44B1"/>
    <w:rsid w:val="006D4E5D"/>
    <w:rsid w:val="006D529B"/>
    <w:rsid w:val="006D5E50"/>
    <w:rsid w:val="006D5FB9"/>
    <w:rsid w:val="006D6D92"/>
    <w:rsid w:val="006D739A"/>
    <w:rsid w:val="006D7752"/>
    <w:rsid w:val="006E016C"/>
    <w:rsid w:val="006E09AB"/>
    <w:rsid w:val="006E1305"/>
    <w:rsid w:val="006E1EE1"/>
    <w:rsid w:val="006E227A"/>
    <w:rsid w:val="006E2536"/>
    <w:rsid w:val="006E2824"/>
    <w:rsid w:val="006E29D8"/>
    <w:rsid w:val="006E2A93"/>
    <w:rsid w:val="006E2AAC"/>
    <w:rsid w:val="006E302A"/>
    <w:rsid w:val="006E353C"/>
    <w:rsid w:val="006E38D7"/>
    <w:rsid w:val="006E3B83"/>
    <w:rsid w:val="006E3D4D"/>
    <w:rsid w:val="006E3DEB"/>
    <w:rsid w:val="006E3E54"/>
    <w:rsid w:val="006E5021"/>
    <w:rsid w:val="006E5C5A"/>
    <w:rsid w:val="006E678D"/>
    <w:rsid w:val="006E6FDE"/>
    <w:rsid w:val="006E7015"/>
    <w:rsid w:val="006E73B8"/>
    <w:rsid w:val="006E7643"/>
    <w:rsid w:val="006E79D4"/>
    <w:rsid w:val="006F0154"/>
    <w:rsid w:val="006F0438"/>
    <w:rsid w:val="006F044A"/>
    <w:rsid w:val="006F0F3F"/>
    <w:rsid w:val="006F12F3"/>
    <w:rsid w:val="006F193F"/>
    <w:rsid w:val="006F1A74"/>
    <w:rsid w:val="006F1BB7"/>
    <w:rsid w:val="006F24A4"/>
    <w:rsid w:val="006F2DBB"/>
    <w:rsid w:val="006F2E06"/>
    <w:rsid w:val="006F3F52"/>
    <w:rsid w:val="006F505C"/>
    <w:rsid w:val="006F509F"/>
    <w:rsid w:val="006F576D"/>
    <w:rsid w:val="006F7315"/>
    <w:rsid w:val="006F7A7C"/>
    <w:rsid w:val="006F7E1C"/>
    <w:rsid w:val="007004DC"/>
    <w:rsid w:val="007013A0"/>
    <w:rsid w:val="00701AA1"/>
    <w:rsid w:val="00704E47"/>
    <w:rsid w:val="00705D42"/>
    <w:rsid w:val="007063EA"/>
    <w:rsid w:val="00706F17"/>
    <w:rsid w:val="00706FF9"/>
    <w:rsid w:val="0070715F"/>
    <w:rsid w:val="007073FC"/>
    <w:rsid w:val="00707A89"/>
    <w:rsid w:val="00707E19"/>
    <w:rsid w:val="007101E2"/>
    <w:rsid w:val="007105B3"/>
    <w:rsid w:val="007107D1"/>
    <w:rsid w:val="00710D2A"/>
    <w:rsid w:val="00710DE3"/>
    <w:rsid w:val="00710FFF"/>
    <w:rsid w:val="00712095"/>
    <w:rsid w:val="00712542"/>
    <w:rsid w:val="00714586"/>
    <w:rsid w:val="007149EB"/>
    <w:rsid w:val="00715180"/>
    <w:rsid w:val="00716AE8"/>
    <w:rsid w:val="00717BD0"/>
    <w:rsid w:val="00720192"/>
    <w:rsid w:val="007203F2"/>
    <w:rsid w:val="0072067B"/>
    <w:rsid w:val="007208EA"/>
    <w:rsid w:val="00721597"/>
    <w:rsid w:val="00721646"/>
    <w:rsid w:val="00721AA1"/>
    <w:rsid w:val="00722158"/>
    <w:rsid w:val="007248B9"/>
    <w:rsid w:val="00724BF4"/>
    <w:rsid w:val="007264BA"/>
    <w:rsid w:val="00726B1B"/>
    <w:rsid w:val="00726C3D"/>
    <w:rsid w:val="00726DFB"/>
    <w:rsid w:val="00726FD6"/>
    <w:rsid w:val="00730B43"/>
    <w:rsid w:val="00731175"/>
    <w:rsid w:val="0073179F"/>
    <w:rsid w:val="00731AC1"/>
    <w:rsid w:val="00731CBE"/>
    <w:rsid w:val="00733008"/>
    <w:rsid w:val="007335AE"/>
    <w:rsid w:val="00734720"/>
    <w:rsid w:val="007349BA"/>
    <w:rsid w:val="00735199"/>
    <w:rsid w:val="007352B8"/>
    <w:rsid w:val="00735C2D"/>
    <w:rsid w:val="00735E6C"/>
    <w:rsid w:val="0073615E"/>
    <w:rsid w:val="0073680D"/>
    <w:rsid w:val="00736922"/>
    <w:rsid w:val="00737240"/>
    <w:rsid w:val="00737285"/>
    <w:rsid w:val="007407DD"/>
    <w:rsid w:val="00742532"/>
    <w:rsid w:val="00742664"/>
    <w:rsid w:val="007429D5"/>
    <w:rsid w:val="00742C29"/>
    <w:rsid w:val="00742C7E"/>
    <w:rsid w:val="007432CC"/>
    <w:rsid w:val="00743496"/>
    <w:rsid w:val="0074380B"/>
    <w:rsid w:val="007441D5"/>
    <w:rsid w:val="00744DE5"/>
    <w:rsid w:val="00745A1A"/>
    <w:rsid w:val="00746896"/>
    <w:rsid w:val="00746B5B"/>
    <w:rsid w:val="00746DE4"/>
    <w:rsid w:val="00746F35"/>
    <w:rsid w:val="00747C6C"/>
    <w:rsid w:val="00750078"/>
    <w:rsid w:val="00750868"/>
    <w:rsid w:val="00750F30"/>
    <w:rsid w:val="007518AA"/>
    <w:rsid w:val="007534BF"/>
    <w:rsid w:val="00753C8F"/>
    <w:rsid w:val="0075418A"/>
    <w:rsid w:val="007543A6"/>
    <w:rsid w:val="007545EB"/>
    <w:rsid w:val="00754A38"/>
    <w:rsid w:val="00754FD5"/>
    <w:rsid w:val="00757076"/>
    <w:rsid w:val="00757697"/>
    <w:rsid w:val="00757718"/>
    <w:rsid w:val="00757DB9"/>
    <w:rsid w:val="007601D1"/>
    <w:rsid w:val="0076057C"/>
    <w:rsid w:val="0076112F"/>
    <w:rsid w:val="0076152E"/>
    <w:rsid w:val="00762388"/>
    <w:rsid w:val="0076295B"/>
    <w:rsid w:val="00762F0A"/>
    <w:rsid w:val="00763622"/>
    <w:rsid w:val="00764C01"/>
    <w:rsid w:val="0076501A"/>
    <w:rsid w:val="0076655B"/>
    <w:rsid w:val="00766E08"/>
    <w:rsid w:val="00767363"/>
    <w:rsid w:val="007673FE"/>
    <w:rsid w:val="00767437"/>
    <w:rsid w:val="0076756D"/>
    <w:rsid w:val="007678A8"/>
    <w:rsid w:val="0077051B"/>
    <w:rsid w:val="007706AA"/>
    <w:rsid w:val="007728F6"/>
    <w:rsid w:val="0077427C"/>
    <w:rsid w:val="00774CFC"/>
    <w:rsid w:val="00775707"/>
    <w:rsid w:val="00775755"/>
    <w:rsid w:val="00775837"/>
    <w:rsid w:val="00775A6C"/>
    <w:rsid w:val="00775DB8"/>
    <w:rsid w:val="00776749"/>
    <w:rsid w:val="00776790"/>
    <w:rsid w:val="00776FC2"/>
    <w:rsid w:val="007772AD"/>
    <w:rsid w:val="00777D42"/>
    <w:rsid w:val="00780473"/>
    <w:rsid w:val="0078091B"/>
    <w:rsid w:val="00780B2B"/>
    <w:rsid w:val="00780EDB"/>
    <w:rsid w:val="00781152"/>
    <w:rsid w:val="00781324"/>
    <w:rsid w:val="00781712"/>
    <w:rsid w:val="00781AC4"/>
    <w:rsid w:val="00782910"/>
    <w:rsid w:val="00783370"/>
    <w:rsid w:val="007837B4"/>
    <w:rsid w:val="00784115"/>
    <w:rsid w:val="0078420A"/>
    <w:rsid w:val="007842A7"/>
    <w:rsid w:val="007843F9"/>
    <w:rsid w:val="00784D58"/>
    <w:rsid w:val="00785081"/>
    <w:rsid w:val="0078508F"/>
    <w:rsid w:val="00785B8F"/>
    <w:rsid w:val="007862E9"/>
    <w:rsid w:val="00786B8B"/>
    <w:rsid w:val="0078751D"/>
    <w:rsid w:val="00790B10"/>
    <w:rsid w:val="00790B19"/>
    <w:rsid w:val="007913F8"/>
    <w:rsid w:val="00791A29"/>
    <w:rsid w:val="00791A4C"/>
    <w:rsid w:val="0079255E"/>
    <w:rsid w:val="007925E7"/>
    <w:rsid w:val="0079272C"/>
    <w:rsid w:val="007938BD"/>
    <w:rsid w:val="0079480C"/>
    <w:rsid w:val="00794F42"/>
    <w:rsid w:val="007953F1"/>
    <w:rsid w:val="007956B5"/>
    <w:rsid w:val="0079611B"/>
    <w:rsid w:val="00796168"/>
    <w:rsid w:val="00796194"/>
    <w:rsid w:val="007968D3"/>
    <w:rsid w:val="00796FC9"/>
    <w:rsid w:val="00797645"/>
    <w:rsid w:val="007A1147"/>
    <w:rsid w:val="007A1634"/>
    <w:rsid w:val="007A27E8"/>
    <w:rsid w:val="007A356B"/>
    <w:rsid w:val="007A35FD"/>
    <w:rsid w:val="007A3C11"/>
    <w:rsid w:val="007A3E28"/>
    <w:rsid w:val="007A4ADE"/>
    <w:rsid w:val="007A4B46"/>
    <w:rsid w:val="007A4ECE"/>
    <w:rsid w:val="007A54B4"/>
    <w:rsid w:val="007A59ED"/>
    <w:rsid w:val="007A5B2B"/>
    <w:rsid w:val="007A6807"/>
    <w:rsid w:val="007A718F"/>
    <w:rsid w:val="007A7919"/>
    <w:rsid w:val="007A7CE1"/>
    <w:rsid w:val="007A7E10"/>
    <w:rsid w:val="007B08F2"/>
    <w:rsid w:val="007B155A"/>
    <w:rsid w:val="007B1608"/>
    <w:rsid w:val="007B1DB2"/>
    <w:rsid w:val="007B250E"/>
    <w:rsid w:val="007B270C"/>
    <w:rsid w:val="007B2FC5"/>
    <w:rsid w:val="007B3428"/>
    <w:rsid w:val="007B3627"/>
    <w:rsid w:val="007B3E7E"/>
    <w:rsid w:val="007B3F70"/>
    <w:rsid w:val="007B4548"/>
    <w:rsid w:val="007B5BE9"/>
    <w:rsid w:val="007B6F82"/>
    <w:rsid w:val="007B7210"/>
    <w:rsid w:val="007B763E"/>
    <w:rsid w:val="007B78CA"/>
    <w:rsid w:val="007C0796"/>
    <w:rsid w:val="007C1E1C"/>
    <w:rsid w:val="007C235C"/>
    <w:rsid w:val="007C268A"/>
    <w:rsid w:val="007C2832"/>
    <w:rsid w:val="007C2922"/>
    <w:rsid w:val="007C3825"/>
    <w:rsid w:val="007C4A59"/>
    <w:rsid w:val="007C4CB4"/>
    <w:rsid w:val="007C4D2E"/>
    <w:rsid w:val="007C4FC0"/>
    <w:rsid w:val="007C5133"/>
    <w:rsid w:val="007C51A5"/>
    <w:rsid w:val="007C5375"/>
    <w:rsid w:val="007C54E3"/>
    <w:rsid w:val="007C56DF"/>
    <w:rsid w:val="007C6289"/>
    <w:rsid w:val="007D01B6"/>
    <w:rsid w:val="007D208F"/>
    <w:rsid w:val="007D2497"/>
    <w:rsid w:val="007D2799"/>
    <w:rsid w:val="007D2C65"/>
    <w:rsid w:val="007D2DB3"/>
    <w:rsid w:val="007D3907"/>
    <w:rsid w:val="007D424F"/>
    <w:rsid w:val="007D4688"/>
    <w:rsid w:val="007D49BC"/>
    <w:rsid w:val="007D4C0E"/>
    <w:rsid w:val="007D6111"/>
    <w:rsid w:val="007D6469"/>
    <w:rsid w:val="007D7424"/>
    <w:rsid w:val="007D7BDD"/>
    <w:rsid w:val="007D7C57"/>
    <w:rsid w:val="007D7FE2"/>
    <w:rsid w:val="007E04FE"/>
    <w:rsid w:val="007E19C4"/>
    <w:rsid w:val="007E1CF1"/>
    <w:rsid w:val="007E1D66"/>
    <w:rsid w:val="007E1D8B"/>
    <w:rsid w:val="007E1F8A"/>
    <w:rsid w:val="007E205C"/>
    <w:rsid w:val="007E23BF"/>
    <w:rsid w:val="007E4FB2"/>
    <w:rsid w:val="007E5427"/>
    <w:rsid w:val="007E666C"/>
    <w:rsid w:val="007E6B82"/>
    <w:rsid w:val="007E6DC2"/>
    <w:rsid w:val="007E7340"/>
    <w:rsid w:val="007E73B1"/>
    <w:rsid w:val="007E7CFC"/>
    <w:rsid w:val="007F16D0"/>
    <w:rsid w:val="007F19F2"/>
    <w:rsid w:val="007F1A7A"/>
    <w:rsid w:val="007F2337"/>
    <w:rsid w:val="007F3991"/>
    <w:rsid w:val="007F41F1"/>
    <w:rsid w:val="007F42B8"/>
    <w:rsid w:val="007F489E"/>
    <w:rsid w:val="007F51F0"/>
    <w:rsid w:val="007F6C8C"/>
    <w:rsid w:val="007F71E5"/>
    <w:rsid w:val="007F7B1F"/>
    <w:rsid w:val="007F7D69"/>
    <w:rsid w:val="008006C0"/>
    <w:rsid w:val="00801546"/>
    <w:rsid w:val="008019C5"/>
    <w:rsid w:val="00801B11"/>
    <w:rsid w:val="00801E70"/>
    <w:rsid w:val="0080209C"/>
    <w:rsid w:val="00802F4E"/>
    <w:rsid w:val="008038CC"/>
    <w:rsid w:val="008040F5"/>
    <w:rsid w:val="00804970"/>
    <w:rsid w:val="00807275"/>
    <w:rsid w:val="008076A1"/>
    <w:rsid w:val="00810299"/>
    <w:rsid w:val="00810AEE"/>
    <w:rsid w:val="00810FB1"/>
    <w:rsid w:val="00811051"/>
    <w:rsid w:val="008119F9"/>
    <w:rsid w:val="00811C90"/>
    <w:rsid w:val="00812530"/>
    <w:rsid w:val="00812546"/>
    <w:rsid w:val="0081259C"/>
    <w:rsid w:val="008129FF"/>
    <w:rsid w:val="008133A0"/>
    <w:rsid w:val="00813757"/>
    <w:rsid w:val="0081376D"/>
    <w:rsid w:val="0081382A"/>
    <w:rsid w:val="008141A1"/>
    <w:rsid w:val="008147D6"/>
    <w:rsid w:val="00817159"/>
    <w:rsid w:val="008173E3"/>
    <w:rsid w:val="00817C7F"/>
    <w:rsid w:val="00820481"/>
    <w:rsid w:val="00820D49"/>
    <w:rsid w:val="008216A8"/>
    <w:rsid w:val="00821E58"/>
    <w:rsid w:val="00822A06"/>
    <w:rsid w:val="008237A3"/>
    <w:rsid w:val="00823A1D"/>
    <w:rsid w:val="00823B8F"/>
    <w:rsid w:val="008246C3"/>
    <w:rsid w:val="00825722"/>
    <w:rsid w:val="00826047"/>
    <w:rsid w:val="00827137"/>
    <w:rsid w:val="008271D9"/>
    <w:rsid w:val="008273DB"/>
    <w:rsid w:val="008275A9"/>
    <w:rsid w:val="0082789B"/>
    <w:rsid w:val="00827CD7"/>
    <w:rsid w:val="00830B83"/>
    <w:rsid w:val="008310AF"/>
    <w:rsid w:val="00831D1C"/>
    <w:rsid w:val="00831E22"/>
    <w:rsid w:val="0083296A"/>
    <w:rsid w:val="008329C4"/>
    <w:rsid w:val="00832E1B"/>
    <w:rsid w:val="00833348"/>
    <w:rsid w:val="00833D70"/>
    <w:rsid w:val="0083487E"/>
    <w:rsid w:val="00834B8B"/>
    <w:rsid w:val="0083554A"/>
    <w:rsid w:val="00835C6C"/>
    <w:rsid w:val="00835D01"/>
    <w:rsid w:val="00835E15"/>
    <w:rsid w:val="008361AF"/>
    <w:rsid w:val="0083638E"/>
    <w:rsid w:val="00836858"/>
    <w:rsid w:val="00840D55"/>
    <w:rsid w:val="00841C74"/>
    <w:rsid w:val="0084279D"/>
    <w:rsid w:val="00842A15"/>
    <w:rsid w:val="00843176"/>
    <w:rsid w:val="00843D50"/>
    <w:rsid w:val="008445EC"/>
    <w:rsid w:val="00844FD8"/>
    <w:rsid w:val="008459F1"/>
    <w:rsid w:val="00845A8B"/>
    <w:rsid w:val="00845E53"/>
    <w:rsid w:val="0084632D"/>
    <w:rsid w:val="00846586"/>
    <w:rsid w:val="0085128B"/>
    <w:rsid w:val="00851290"/>
    <w:rsid w:val="008515AC"/>
    <w:rsid w:val="00851EB8"/>
    <w:rsid w:val="008520F0"/>
    <w:rsid w:val="00852B76"/>
    <w:rsid w:val="00853120"/>
    <w:rsid w:val="0085579C"/>
    <w:rsid w:val="00855B77"/>
    <w:rsid w:val="00856170"/>
    <w:rsid w:val="00856197"/>
    <w:rsid w:val="00857BD1"/>
    <w:rsid w:val="008604D6"/>
    <w:rsid w:val="00861927"/>
    <w:rsid w:val="00862B89"/>
    <w:rsid w:val="00863397"/>
    <w:rsid w:val="0086374B"/>
    <w:rsid w:val="00863FC5"/>
    <w:rsid w:val="00864EAD"/>
    <w:rsid w:val="0086546E"/>
    <w:rsid w:val="008656ED"/>
    <w:rsid w:val="00866228"/>
    <w:rsid w:val="00866B9E"/>
    <w:rsid w:val="00867054"/>
    <w:rsid w:val="00867585"/>
    <w:rsid w:val="00867611"/>
    <w:rsid w:val="00867C1F"/>
    <w:rsid w:val="008702B6"/>
    <w:rsid w:val="00870CFC"/>
    <w:rsid w:val="00870E0D"/>
    <w:rsid w:val="0087190A"/>
    <w:rsid w:val="00871DDA"/>
    <w:rsid w:val="00872140"/>
    <w:rsid w:val="00872356"/>
    <w:rsid w:val="00872551"/>
    <w:rsid w:val="00872D53"/>
    <w:rsid w:val="0087405C"/>
    <w:rsid w:val="00874324"/>
    <w:rsid w:val="0087434A"/>
    <w:rsid w:val="008743DB"/>
    <w:rsid w:val="00874444"/>
    <w:rsid w:val="0087550E"/>
    <w:rsid w:val="00875C8F"/>
    <w:rsid w:val="008763B9"/>
    <w:rsid w:val="008765CB"/>
    <w:rsid w:val="0087682D"/>
    <w:rsid w:val="008769B7"/>
    <w:rsid w:val="00877C92"/>
    <w:rsid w:val="00877E9B"/>
    <w:rsid w:val="00877F2E"/>
    <w:rsid w:val="00880353"/>
    <w:rsid w:val="00880D79"/>
    <w:rsid w:val="0088108C"/>
    <w:rsid w:val="008812FE"/>
    <w:rsid w:val="00881650"/>
    <w:rsid w:val="00882865"/>
    <w:rsid w:val="00883E69"/>
    <w:rsid w:val="00884694"/>
    <w:rsid w:val="00885319"/>
    <w:rsid w:val="0088550D"/>
    <w:rsid w:val="008871BA"/>
    <w:rsid w:val="00887621"/>
    <w:rsid w:val="00890008"/>
    <w:rsid w:val="00891298"/>
    <w:rsid w:val="00891C5E"/>
    <w:rsid w:val="0089237E"/>
    <w:rsid w:val="00892C04"/>
    <w:rsid w:val="00892D9D"/>
    <w:rsid w:val="00892E25"/>
    <w:rsid w:val="008934A4"/>
    <w:rsid w:val="008934CA"/>
    <w:rsid w:val="00894684"/>
    <w:rsid w:val="00895948"/>
    <w:rsid w:val="00895A72"/>
    <w:rsid w:val="00895F6A"/>
    <w:rsid w:val="00895FED"/>
    <w:rsid w:val="0089641D"/>
    <w:rsid w:val="00896CC1"/>
    <w:rsid w:val="008977CC"/>
    <w:rsid w:val="00897B5E"/>
    <w:rsid w:val="00897F53"/>
    <w:rsid w:val="008A02C3"/>
    <w:rsid w:val="008A0878"/>
    <w:rsid w:val="008A0DB4"/>
    <w:rsid w:val="008A23BD"/>
    <w:rsid w:val="008A2FB3"/>
    <w:rsid w:val="008A3D9B"/>
    <w:rsid w:val="008A4617"/>
    <w:rsid w:val="008A4637"/>
    <w:rsid w:val="008A4BB3"/>
    <w:rsid w:val="008A504C"/>
    <w:rsid w:val="008A5127"/>
    <w:rsid w:val="008A5288"/>
    <w:rsid w:val="008A5BB2"/>
    <w:rsid w:val="008A679B"/>
    <w:rsid w:val="008A7624"/>
    <w:rsid w:val="008A7A7E"/>
    <w:rsid w:val="008A7BB6"/>
    <w:rsid w:val="008B0D8E"/>
    <w:rsid w:val="008B13A1"/>
    <w:rsid w:val="008B32C8"/>
    <w:rsid w:val="008B36F4"/>
    <w:rsid w:val="008B4225"/>
    <w:rsid w:val="008B4D1F"/>
    <w:rsid w:val="008B4F36"/>
    <w:rsid w:val="008B57B2"/>
    <w:rsid w:val="008B6D0B"/>
    <w:rsid w:val="008B7688"/>
    <w:rsid w:val="008C0518"/>
    <w:rsid w:val="008C1346"/>
    <w:rsid w:val="008C2684"/>
    <w:rsid w:val="008C2701"/>
    <w:rsid w:val="008C2AD4"/>
    <w:rsid w:val="008C3AEF"/>
    <w:rsid w:val="008C45F8"/>
    <w:rsid w:val="008C4AA9"/>
    <w:rsid w:val="008C4C66"/>
    <w:rsid w:val="008C55B1"/>
    <w:rsid w:val="008C63F7"/>
    <w:rsid w:val="008C6B37"/>
    <w:rsid w:val="008C6C1F"/>
    <w:rsid w:val="008C6F76"/>
    <w:rsid w:val="008C7AF9"/>
    <w:rsid w:val="008D12C7"/>
    <w:rsid w:val="008D176F"/>
    <w:rsid w:val="008D1898"/>
    <w:rsid w:val="008D1938"/>
    <w:rsid w:val="008D2137"/>
    <w:rsid w:val="008D2CF6"/>
    <w:rsid w:val="008D2D38"/>
    <w:rsid w:val="008D2FF0"/>
    <w:rsid w:val="008D2FFE"/>
    <w:rsid w:val="008D360F"/>
    <w:rsid w:val="008D3633"/>
    <w:rsid w:val="008D4875"/>
    <w:rsid w:val="008D4A31"/>
    <w:rsid w:val="008D4C4C"/>
    <w:rsid w:val="008D56C2"/>
    <w:rsid w:val="008D57A4"/>
    <w:rsid w:val="008D5E71"/>
    <w:rsid w:val="008D684E"/>
    <w:rsid w:val="008D6863"/>
    <w:rsid w:val="008D68FB"/>
    <w:rsid w:val="008D6B00"/>
    <w:rsid w:val="008D6C67"/>
    <w:rsid w:val="008E1043"/>
    <w:rsid w:val="008E264E"/>
    <w:rsid w:val="008E303C"/>
    <w:rsid w:val="008E5B44"/>
    <w:rsid w:val="008E626D"/>
    <w:rsid w:val="008E69C7"/>
    <w:rsid w:val="008E7DA5"/>
    <w:rsid w:val="008F1480"/>
    <w:rsid w:val="008F1594"/>
    <w:rsid w:val="008F15A2"/>
    <w:rsid w:val="008F1615"/>
    <w:rsid w:val="008F22FC"/>
    <w:rsid w:val="008F29D3"/>
    <w:rsid w:val="008F36BF"/>
    <w:rsid w:val="008F37F5"/>
    <w:rsid w:val="008F3AB2"/>
    <w:rsid w:val="008F4449"/>
    <w:rsid w:val="008F4947"/>
    <w:rsid w:val="008F4DAB"/>
    <w:rsid w:val="008F5B51"/>
    <w:rsid w:val="008F640C"/>
    <w:rsid w:val="008F6826"/>
    <w:rsid w:val="008F77C4"/>
    <w:rsid w:val="008F7D89"/>
    <w:rsid w:val="008F7F69"/>
    <w:rsid w:val="00900021"/>
    <w:rsid w:val="00900185"/>
    <w:rsid w:val="009004AD"/>
    <w:rsid w:val="0090113C"/>
    <w:rsid w:val="00901249"/>
    <w:rsid w:val="00901B69"/>
    <w:rsid w:val="00901BD2"/>
    <w:rsid w:val="009022CD"/>
    <w:rsid w:val="009023C6"/>
    <w:rsid w:val="009030F1"/>
    <w:rsid w:val="009039F8"/>
    <w:rsid w:val="00904B24"/>
    <w:rsid w:val="00904D38"/>
    <w:rsid w:val="00904D76"/>
    <w:rsid w:val="00905A3D"/>
    <w:rsid w:val="00905E4D"/>
    <w:rsid w:val="0090600D"/>
    <w:rsid w:val="0090638E"/>
    <w:rsid w:val="009103EB"/>
    <w:rsid w:val="0091136D"/>
    <w:rsid w:val="009117B3"/>
    <w:rsid w:val="00912CD9"/>
    <w:rsid w:val="009137FD"/>
    <w:rsid w:val="00914245"/>
    <w:rsid w:val="00914461"/>
    <w:rsid w:val="00914C3B"/>
    <w:rsid w:val="00914F2C"/>
    <w:rsid w:val="00915207"/>
    <w:rsid w:val="00915E4D"/>
    <w:rsid w:val="00916494"/>
    <w:rsid w:val="0092022E"/>
    <w:rsid w:val="00920D32"/>
    <w:rsid w:val="0092116D"/>
    <w:rsid w:val="009219E9"/>
    <w:rsid w:val="00923707"/>
    <w:rsid w:val="0092380A"/>
    <w:rsid w:val="009245E3"/>
    <w:rsid w:val="00924B6B"/>
    <w:rsid w:val="00925452"/>
    <w:rsid w:val="009254ED"/>
    <w:rsid w:val="00925A66"/>
    <w:rsid w:val="00925C23"/>
    <w:rsid w:val="00925DC6"/>
    <w:rsid w:val="00926472"/>
    <w:rsid w:val="009268A9"/>
    <w:rsid w:val="00927138"/>
    <w:rsid w:val="00927AB8"/>
    <w:rsid w:val="00927B63"/>
    <w:rsid w:val="009301CB"/>
    <w:rsid w:val="0093021C"/>
    <w:rsid w:val="00930317"/>
    <w:rsid w:val="0093048C"/>
    <w:rsid w:val="009306FB"/>
    <w:rsid w:val="009311C5"/>
    <w:rsid w:val="009316E4"/>
    <w:rsid w:val="00932032"/>
    <w:rsid w:val="009330E7"/>
    <w:rsid w:val="00933BBE"/>
    <w:rsid w:val="0093471F"/>
    <w:rsid w:val="00934E0B"/>
    <w:rsid w:val="00935586"/>
    <w:rsid w:val="00935C9C"/>
    <w:rsid w:val="00935F14"/>
    <w:rsid w:val="009367CA"/>
    <w:rsid w:val="00936D5D"/>
    <w:rsid w:val="00937EC4"/>
    <w:rsid w:val="00940CFE"/>
    <w:rsid w:val="0094132E"/>
    <w:rsid w:val="00941A66"/>
    <w:rsid w:val="00941BAD"/>
    <w:rsid w:val="00941C61"/>
    <w:rsid w:val="0094258F"/>
    <w:rsid w:val="00942657"/>
    <w:rsid w:val="00942750"/>
    <w:rsid w:val="00942792"/>
    <w:rsid w:val="0094290B"/>
    <w:rsid w:val="00942C2A"/>
    <w:rsid w:val="0094335C"/>
    <w:rsid w:val="009434A7"/>
    <w:rsid w:val="00943B61"/>
    <w:rsid w:val="009445CA"/>
    <w:rsid w:val="00946295"/>
    <w:rsid w:val="00946E8E"/>
    <w:rsid w:val="00947175"/>
    <w:rsid w:val="00947508"/>
    <w:rsid w:val="00947A1D"/>
    <w:rsid w:val="00947A68"/>
    <w:rsid w:val="00947ED7"/>
    <w:rsid w:val="00950C2E"/>
    <w:rsid w:val="00951138"/>
    <w:rsid w:val="009514B6"/>
    <w:rsid w:val="00951A73"/>
    <w:rsid w:val="009525CF"/>
    <w:rsid w:val="009529AA"/>
    <w:rsid w:val="0095337A"/>
    <w:rsid w:val="009534DA"/>
    <w:rsid w:val="0095386A"/>
    <w:rsid w:val="00953F0A"/>
    <w:rsid w:val="00954A4F"/>
    <w:rsid w:val="00954D57"/>
    <w:rsid w:val="009558EC"/>
    <w:rsid w:val="00955A2D"/>
    <w:rsid w:val="00955D3B"/>
    <w:rsid w:val="00957128"/>
    <w:rsid w:val="00957211"/>
    <w:rsid w:val="009575B7"/>
    <w:rsid w:val="00957916"/>
    <w:rsid w:val="00960F96"/>
    <w:rsid w:val="009614B3"/>
    <w:rsid w:val="00961DCC"/>
    <w:rsid w:val="009620C0"/>
    <w:rsid w:val="00962D59"/>
    <w:rsid w:val="00962FC7"/>
    <w:rsid w:val="00962FF7"/>
    <w:rsid w:val="009634DF"/>
    <w:rsid w:val="009638A5"/>
    <w:rsid w:val="00963969"/>
    <w:rsid w:val="009652B6"/>
    <w:rsid w:val="0096548C"/>
    <w:rsid w:val="009654B8"/>
    <w:rsid w:val="00965E75"/>
    <w:rsid w:val="00966129"/>
    <w:rsid w:val="009662A8"/>
    <w:rsid w:val="00966827"/>
    <w:rsid w:val="00967490"/>
    <w:rsid w:val="009676B2"/>
    <w:rsid w:val="009701D6"/>
    <w:rsid w:val="00970606"/>
    <w:rsid w:val="00970852"/>
    <w:rsid w:val="00970C00"/>
    <w:rsid w:val="00971B81"/>
    <w:rsid w:val="00971CEB"/>
    <w:rsid w:val="0097262A"/>
    <w:rsid w:val="009727F8"/>
    <w:rsid w:val="00972E17"/>
    <w:rsid w:val="00974208"/>
    <w:rsid w:val="009747FE"/>
    <w:rsid w:val="00975212"/>
    <w:rsid w:val="0097574E"/>
    <w:rsid w:val="00975F12"/>
    <w:rsid w:val="00976779"/>
    <w:rsid w:val="0098037E"/>
    <w:rsid w:val="0098088F"/>
    <w:rsid w:val="009816A7"/>
    <w:rsid w:val="00981E01"/>
    <w:rsid w:val="00982542"/>
    <w:rsid w:val="00984367"/>
    <w:rsid w:val="00984D21"/>
    <w:rsid w:val="00985296"/>
    <w:rsid w:val="00985DB3"/>
    <w:rsid w:val="00986892"/>
    <w:rsid w:val="00986EC4"/>
    <w:rsid w:val="009872D4"/>
    <w:rsid w:val="00987B7B"/>
    <w:rsid w:val="00991083"/>
    <w:rsid w:val="009911A7"/>
    <w:rsid w:val="009914F2"/>
    <w:rsid w:val="00991910"/>
    <w:rsid w:val="009928C8"/>
    <w:rsid w:val="00992B5A"/>
    <w:rsid w:val="00993299"/>
    <w:rsid w:val="0099357E"/>
    <w:rsid w:val="009937F9"/>
    <w:rsid w:val="00994487"/>
    <w:rsid w:val="00995194"/>
    <w:rsid w:val="00995314"/>
    <w:rsid w:val="00995485"/>
    <w:rsid w:val="009956DE"/>
    <w:rsid w:val="00996298"/>
    <w:rsid w:val="009971CE"/>
    <w:rsid w:val="00997BC2"/>
    <w:rsid w:val="009A0518"/>
    <w:rsid w:val="009A0689"/>
    <w:rsid w:val="009A08CB"/>
    <w:rsid w:val="009A0ABB"/>
    <w:rsid w:val="009A0D10"/>
    <w:rsid w:val="009A194C"/>
    <w:rsid w:val="009A1F18"/>
    <w:rsid w:val="009A2338"/>
    <w:rsid w:val="009A3B31"/>
    <w:rsid w:val="009A3B9C"/>
    <w:rsid w:val="009A4294"/>
    <w:rsid w:val="009A477F"/>
    <w:rsid w:val="009A4CCF"/>
    <w:rsid w:val="009A52B2"/>
    <w:rsid w:val="009A6304"/>
    <w:rsid w:val="009A6A86"/>
    <w:rsid w:val="009A6D42"/>
    <w:rsid w:val="009A6E5C"/>
    <w:rsid w:val="009B05D8"/>
    <w:rsid w:val="009B0790"/>
    <w:rsid w:val="009B0B9E"/>
    <w:rsid w:val="009B0E4B"/>
    <w:rsid w:val="009B117B"/>
    <w:rsid w:val="009B1940"/>
    <w:rsid w:val="009B1D37"/>
    <w:rsid w:val="009B2D78"/>
    <w:rsid w:val="009B2F24"/>
    <w:rsid w:val="009B301C"/>
    <w:rsid w:val="009B3406"/>
    <w:rsid w:val="009B375D"/>
    <w:rsid w:val="009B461B"/>
    <w:rsid w:val="009B53CD"/>
    <w:rsid w:val="009B6BCB"/>
    <w:rsid w:val="009B7A31"/>
    <w:rsid w:val="009B7BD3"/>
    <w:rsid w:val="009B7F0B"/>
    <w:rsid w:val="009C1CB2"/>
    <w:rsid w:val="009C1DF4"/>
    <w:rsid w:val="009C22EF"/>
    <w:rsid w:val="009C2449"/>
    <w:rsid w:val="009C3A97"/>
    <w:rsid w:val="009C41AC"/>
    <w:rsid w:val="009C4F57"/>
    <w:rsid w:val="009C57F5"/>
    <w:rsid w:val="009C592C"/>
    <w:rsid w:val="009C59FD"/>
    <w:rsid w:val="009C621C"/>
    <w:rsid w:val="009C6252"/>
    <w:rsid w:val="009C633A"/>
    <w:rsid w:val="009C69C3"/>
    <w:rsid w:val="009C6D5B"/>
    <w:rsid w:val="009C7440"/>
    <w:rsid w:val="009C754F"/>
    <w:rsid w:val="009D0710"/>
    <w:rsid w:val="009D0715"/>
    <w:rsid w:val="009D0F86"/>
    <w:rsid w:val="009D14E9"/>
    <w:rsid w:val="009D1898"/>
    <w:rsid w:val="009D1FD4"/>
    <w:rsid w:val="009D210D"/>
    <w:rsid w:val="009D2877"/>
    <w:rsid w:val="009D338B"/>
    <w:rsid w:val="009D3841"/>
    <w:rsid w:val="009D3905"/>
    <w:rsid w:val="009D3E1E"/>
    <w:rsid w:val="009D44F7"/>
    <w:rsid w:val="009D47E7"/>
    <w:rsid w:val="009D529C"/>
    <w:rsid w:val="009D5347"/>
    <w:rsid w:val="009D5539"/>
    <w:rsid w:val="009D56D7"/>
    <w:rsid w:val="009D5BCE"/>
    <w:rsid w:val="009D6648"/>
    <w:rsid w:val="009D669B"/>
    <w:rsid w:val="009D6F81"/>
    <w:rsid w:val="009D7217"/>
    <w:rsid w:val="009D7539"/>
    <w:rsid w:val="009D7FA2"/>
    <w:rsid w:val="009E189D"/>
    <w:rsid w:val="009E1963"/>
    <w:rsid w:val="009E2313"/>
    <w:rsid w:val="009E3E36"/>
    <w:rsid w:val="009E4881"/>
    <w:rsid w:val="009E4ACE"/>
    <w:rsid w:val="009E5631"/>
    <w:rsid w:val="009E57BB"/>
    <w:rsid w:val="009E691A"/>
    <w:rsid w:val="009E6D5D"/>
    <w:rsid w:val="009E7B22"/>
    <w:rsid w:val="009F1147"/>
    <w:rsid w:val="009F1980"/>
    <w:rsid w:val="009F2C6C"/>
    <w:rsid w:val="009F2EAB"/>
    <w:rsid w:val="009F2F14"/>
    <w:rsid w:val="009F3271"/>
    <w:rsid w:val="009F4086"/>
    <w:rsid w:val="009F4749"/>
    <w:rsid w:val="009F5116"/>
    <w:rsid w:val="009F5218"/>
    <w:rsid w:val="009F62A0"/>
    <w:rsid w:val="009F659A"/>
    <w:rsid w:val="009F6934"/>
    <w:rsid w:val="009F6DA4"/>
    <w:rsid w:val="009F6DE0"/>
    <w:rsid w:val="009F6F40"/>
    <w:rsid w:val="009F74B5"/>
    <w:rsid w:val="009F74C5"/>
    <w:rsid w:val="009F7942"/>
    <w:rsid w:val="009F7ADA"/>
    <w:rsid w:val="00A003EF"/>
    <w:rsid w:val="00A0131A"/>
    <w:rsid w:val="00A01483"/>
    <w:rsid w:val="00A0228C"/>
    <w:rsid w:val="00A024D3"/>
    <w:rsid w:val="00A0312D"/>
    <w:rsid w:val="00A03A84"/>
    <w:rsid w:val="00A0405B"/>
    <w:rsid w:val="00A04647"/>
    <w:rsid w:val="00A04E87"/>
    <w:rsid w:val="00A05450"/>
    <w:rsid w:val="00A0558F"/>
    <w:rsid w:val="00A0580B"/>
    <w:rsid w:val="00A060E7"/>
    <w:rsid w:val="00A068C7"/>
    <w:rsid w:val="00A06E3B"/>
    <w:rsid w:val="00A07660"/>
    <w:rsid w:val="00A07A8E"/>
    <w:rsid w:val="00A07B2F"/>
    <w:rsid w:val="00A102DC"/>
    <w:rsid w:val="00A10FAC"/>
    <w:rsid w:val="00A11347"/>
    <w:rsid w:val="00A1158A"/>
    <w:rsid w:val="00A1187E"/>
    <w:rsid w:val="00A12918"/>
    <w:rsid w:val="00A13490"/>
    <w:rsid w:val="00A13A95"/>
    <w:rsid w:val="00A13E2B"/>
    <w:rsid w:val="00A14204"/>
    <w:rsid w:val="00A14604"/>
    <w:rsid w:val="00A147E5"/>
    <w:rsid w:val="00A1484B"/>
    <w:rsid w:val="00A14F2A"/>
    <w:rsid w:val="00A15889"/>
    <w:rsid w:val="00A1725C"/>
    <w:rsid w:val="00A17713"/>
    <w:rsid w:val="00A1788A"/>
    <w:rsid w:val="00A1788F"/>
    <w:rsid w:val="00A17B52"/>
    <w:rsid w:val="00A17C51"/>
    <w:rsid w:val="00A201A5"/>
    <w:rsid w:val="00A20238"/>
    <w:rsid w:val="00A21835"/>
    <w:rsid w:val="00A2186F"/>
    <w:rsid w:val="00A222E5"/>
    <w:rsid w:val="00A23078"/>
    <w:rsid w:val="00A2349A"/>
    <w:rsid w:val="00A2467C"/>
    <w:rsid w:val="00A24E4E"/>
    <w:rsid w:val="00A25511"/>
    <w:rsid w:val="00A257E9"/>
    <w:rsid w:val="00A2580E"/>
    <w:rsid w:val="00A25851"/>
    <w:rsid w:val="00A25EE8"/>
    <w:rsid w:val="00A26493"/>
    <w:rsid w:val="00A26F96"/>
    <w:rsid w:val="00A2726F"/>
    <w:rsid w:val="00A27725"/>
    <w:rsid w:val="00A27882"/>
    <w:rsid w:val="00A27B61"/>
    <w:rsid w:val="00A27C37"/>
    <w:rsid w:val="00A307FD"/>
    <w:rsid w:val="00A30A0A"/>
    <w:rsid w:val="00A315E6"/>
    <w:rsid w:val="00A31836"/>
    <w:rsid w:val="00A324F3"/>
    <w:rsid w:val="00A326D4"/>
    <w:rsid w:val="00A32EEB"/>
    <w:rsid w:val="00A34218"/>
    <w:rsid w:val="00A3450B"/>
    <w:rsid w:val="00A34661"/>
    <w:rsid w:val="00A346FC"/>
    <w:rsid w:val="00A34B0C"/>
    <w:rsid w:val="00A34C82"/>
    <w:rsid w:val="00A3503D"/>
    <w:rsid w:val="00A352D1"/>
    <w:rsid w:val="00A35B79"/>
    <w:rsid w:val="00A35C4F"/>
    <w:rsid w:val="00A35F5B"/>
    <w:rsid w:val="00A3626A"/>
    <w:rsid w:val="00A36495"/>
    <w:rsid w:val="00A36506"/>
    <w:rsid w:val="00A36E7B"/>
    <w:rsid w:val="00A36F46"/>
    <w:rsid w:val="00A378F7"/>
    <w:rsid w:val="00A37A31"/>
    <w:rsid w:val="00A37C18"/>
    <w:rsid w:val="00A40B90"/>
    <w:rsid w:val="00A411FE"/>
    <w:rsid w:val="00A414D1"/>
    <w:rsid w:val="00A42B2B"/>
    <w:rsid w:val="00A42FEB"/>
    <w:rsid w:val="00A43370"/>
    <w:rsid w:val="00A43878"/>
    <w:rsid w:val="00A43CD3"/>
    <w:rsid w:val="00A43D22"/>
    <w:rsid w:val="00A44233"/>
    <w:rsid w:val="00A44920"/>
    <w:rsid w:val="00A44E03"/>
    <w:rsid w:val="00A44F10"/>
    <w:rsid w:val="00A4589A"/>
    <w:rsid w:val="00A46A13"/>
    <w:rsid w:val="00A46A75"/>
    <w:rsid w:val="00A5054B"/>
    <w:rsid w:val="00A50574"/>
    <w:rsid w:val="00A50958"/>
    <w:rsid w:val="00A50E82"/>
    <w:rsid w:val="00A5170A"/>
    <w:rsid w:val="00A5224A"/>
    <w:rsid w:val="00A524AD"/>
    <w:rsid w:val="00A5297C"/>
    <w:rsid w:val="00A52B1A"/>
    <w:rsid w:val="00A534B7"/>
    <w:rsid w:val="00A5368E"/>
    <w:rsid w:val="00A53B11"/>
    <w:rsid w:val="00A53C8E"/>
    <w:rsid w:val="00A548E1"/>
    <w:rsid w:val="00A54A3F"/>
    <w:rsid w:val="00A54EFC"/>
    <w:rsid w:val="00A55446"/>
    <w:rsid w:val="00A554C7"/>
    <w:rsid w:val="00A55618"/>
    <w:rsid w:val="00A55BAF"/>
    <w:rsid w:val="00A5621B"/>
    <w:rsid w:val="00A57BB3"/>
    <w:rsid w:val="00A57C34"/>
    <w:rsid w:val="00A60895"/>
    <w:rsid w:val="00A60DDA"/>
    <w:rsid w:val="00A61233"/>
    <w:rsid w:val="00A62D82"/>
    <w:rsid w:val="00A648F7"/>
    <w:rsid w:val="00A64946"/>
    <w:rsid w:val="00A649F3"/>
    <w:rsid w:val="00A65030"/>
    <w:rsid w:val="00A65046"/>
    <w:rsid w:val="00A6521A"/>
    <w:rsid w:val="00A65739"/>
    <w:rsid w:val="00A65A23"/>
    <w:rsid w:val="00A6606B"/>
    <w:rsid w:val="00A666F6"/>
    <w:rsid w:val="00A6676F"/>
    <w:rsid w:val="00A679B5"/>
    <w:rsid w:val="00A7009F"/>
    <w:rsid w:val="00A70141"/>
    <w:rsid w:val="00A70A81"/>
    <w:rsid w:val="00A717B5"/>
    <w:rsid w:val="00A71BF9"/>
    <w:rsid w:val="00A71FA0"/>
    <w:rsid w:val="00A7223F"/>
    <w:rsid w:val="00A7365B"/>
    <w:rsid w:val="00A73823"/>
    <w:rsid w:val="00A7511A"/>
    <w:rsid w:val="00A75144"/>
    <w:rsid w:val="00A7586B"/>
    <w:rsid w:val="00A75C33"/>
    <w:rsid w:val="00A760CC"/>
    <w:rsid w:val="00A761C7"/>
    <w:rsid w:val="00A7657E"/>
    <w:rsid w:val="00A76C3B"/>
    <w:rsid w:val="00A77BB2"/>
    <w:rsid w:val="00A80280"/>
    <w:rsid w:val="00A80CDE"/>
    <w:rsid w:val="00A80FC7"/>
    <w:rsid w:val="00A81AD7"/>
    <w:rsid w:val="00A81D39"/>
    <w:rsid w:val="00A8299F"/>
    <w:rsid w:val="00A832CE"/>
    <w:rsid w:val="00A83A58"/>
    <w:rsid w:val="00A83A89"/>
    <w:rsid w:val="00A84560"/>
    <w:rsid w:val="00A84838"/>
    <w:rsid w:val="00A84B64"/>
    <w:rsid w:val="00A84F25"/>
    <w:rsid w:val="00A84FD9"/>
    <w:rsid w:val="00A85296"/>
    <w:rsid w:val="00A85A1C"/>
    <w:rsid w:val="00A86551"/>
    <w:rsid w:val="00A86563"/>
    <w:rsid w:val="00A86747"/>
    <w:rsid w:val="00A869F8"/>
    <w:rsid w:val="00A870CC"/>
    <w:rsid w:val="00A906F0"/>
    <w:rsid w:val="00A90C82"/>
    <w:rsid w:val="00A91124"/>
    <w:rsid w:val="00A91808"/>
    <w:rsid w:val="00A919C1"/>
    <w:rsid w:val="00A91EAD"/>
    <w:rsid w:val="00A91EFD"/>
    <w:rsid w:val="00A92565"/>
    <w:rsid w:val="00A927A7"/>
    <w:rsid w:val="00A92D51"/>
    <w:rsid w:val="00A92DB2"/>
    <w:rsid w:val="00A92E31"/>
    <w:rsid w:val="00A93252"/>
    <w:rsid w:val="00A9351E"/>
    <w:rsid w:val="00A93B91"/>
    <w:rsid w:val="00A95AD2"/>
    <w:rsid w:val="00A95BB9"/>
    <w:rsid w:val="00A9612F"/>
    <w:rsid w:val="00A96CE5"/>
    <w:rsid w:val="00AA2090"/>
    <w:rsid w:val="00AA2DCA"/>
    <w:rsid w:val="00AA2EC7"/>
    <w:rsid w:val="00AA324E"/>
    <w:rsid w:val="00AA3ADA"/>
    <w:rsid w:val="00AA3D56"/>
    <w:rsid w:val="00AA57F8"/>
    <w:rsid w:val="00AA5D05"/>
    <w:rsid w:val="00AA70D4"/>
    <w:rsid w:val="00AA71A1"/>
    <w:rsid w:val="00AA74B5"/>
    <w:rsid w:val="00AA7C7E"/>
    <w:rsid w:val="00AA7C9A"/>
    <w:rsid w:val="00AA7E45"/>
    <w:rsid w:val="00AB04A1"/>
    <w:rsid w:val="00AB0524"/>
    <w:rsid w:val="00AB186F"/>
    <w:rsid w:val="00AB316E"/>
    <w:rsid w:val="00AB3492"/>
    <w:rsid w:val="00AB37F9"/>
    <w:rsid w:val="00AB3EDB"/>
    <w:rsid w:val="00AB41DC"/>
    <w:rsid w:val="00AB43E0"/>
    <w:rsid w:val="00AB49D2"/>
    <w:rsid w:val="00AB4C84"/>
    <w:rsid w:val="00AB4DA3"/>
    <w:rsid w:val="00AB576D"/>
    <w:rsid w:val="00AB673F"/>
    <w:rsid w:val="00AB6D23"/>
    <w:rsid w:val="00AB7527"/>
    <w:rsid w:val="00AC043D"/>
    <w:rsid w:val="00AC07F5"/>
    <w:rsid w:val="00AC0CC3"/>
    <w:rsid w:val="00AC19C6"/>
    <w:rsid w:val="00AC1D1D"/>
    <w:rsid w:val="00AC23F6"/>
    <w:rsid w:val="00AC2E6D"/>
    <w:rsid w:val="00AC3579"/>
    <w:rsid w:val="00AC38EE"/>
    <w:rsid w:val="00AC4947"/>
    <w:rsid w:val="00AC4DDC"/>
    <w:rsid w:val="00AC51FE"/>
    <w:rsid w:val="00AC5BA2"/>
    <w:rsid w:val="00AC7108"/>
    <w:rsid w:val="00AC72F4"/>
    <w:rsid w:val="00AD1860"/>
    <w:rsid w:val="00AD1D6C"/>
    <w:rsid w:val="00AD216A"/>
    <w:rsid w:val="00AD2267"/>
    <w:rsid w:val="00AD238F"/>
    <w:rsid w:val="00AD2B6B"/>
    <w:rsid w:val="00AD2C92"/>
    <w:rsid w:val="00AD2D97"/>
    <w:rsid w:val="00AD3101"/>
    <w:rsid w:val="00AD37FB"/>
    <w:rsid w:val="00AD3F35"/>
    <w:rsid w:val="00AD4FF0"/>
    <w:rsid w:val="00AD5A94"/>
    <w:rsid w:val="00AE1223"/>
    <w:rsid w:val="00AE162D"/>
    <w:rsid w:val="00AE18EF"/>
    <w:rsid w:val="00AE1C7B"/>
    <w:rsid w:val="00AE223B"/>
    <w:rsid w:val="00AE416D"/>
    <w:rsid w:val="00AE46D2"/>
    <w:rsid w:val="00AE4C0F"/>
    <w:rsid w:val="00AE4E33"/>
    <w:rsid w:val="00AE5572"/>
    <w:rsid w:val="00AE59DE"/>
    <w:rsid w:val="00AE5AF4"/>
    <w:rsid w:val="00AE5ECC"/>
    <w:rsid w:val="00AE623E"/>
    <w:rsid w:val="00AE69BD"/>
    <w:rsid w:val="00AE6CDD"/>
    <w:rsid w:val="00AE7006"/>
    <w:rsid w:val="00AE73B4"/>
    <w:rsid w:val="00AF0139"/>
    <w:rsid w:val="00AF0689"/>
    <w:rsid w:val="00AF1CF3"/>
    <w:rsid w:val="00AF1D39"/>
    <w:rsid w:val="00AF27EB"/>
    <w:rsid w:val="00AF4050"/>
    <w:rsid w:val="00AF45AD"/>
    <w:rsid w:val="00AF471E"/>
    <w:rsid w:val="00AF4D58"/>
    <w:rsid w:val="00AF4E12"/>
    <w:rsid w:val="00AF53BB"/>
    <w:rsid w:val="00AF5E50"/>
    <w:rsid w:val="00AF6E49"/>
    <w:rsid w:val="00AF6F0C"/>
    <w:rsid w:val="00AF7B95"/>
    <w:rsid w:val="00B00096"/>
    <w:rsid w:val="00B00741"/>
    <w:rsid w:val="00B00782"/>
    <w:rsid w:val="00B0080D"/>
    <w:rsid w:val="00B00F04"/>
    <w:rsid w:val="00B00FF2"/>
    <w:rsid w:val="00B025CE"/>
    <w:rsid w:val="00B02AD5"/>
    <w:rsid w:val="00B03408"/>
    <w:rsid w:val="00B03A7B"/>
    <w:rsid w:val="00B043A8"/>
    <w:rsid w:val="00B04616"/>
    <w:rsid w:val="00B04DEB"/>
    <w:rsid w:val="00B05A9F"/>
    <w:rsid w:val="00B06B17"/>
    <w:rsid w:val="00B06F22"/>
    <w:rsid w:val="00B0745D"/>
    <w:rsid w:val="00B07CD5"/>
    <w:rsid w:val="00B07E09"/>
    <w:rsid w:val="00B10393"/>
    <w:rsid w:val="00B105AA"/>
    <w:rsid w:val="00B10950"/>
    <w:rsid w:val="00B1099B"/>
    <w:rsid w:val="00B11BAF"/>
    <w:rsid w:val="00B12C05"/>
    <w:rsid w:val="00B132CA"/>
    <w:rsid w:val="00B132D6"/>
    <w:rsid w:val="00B13461"/>
    <w:rsid w:val="00B13476"/>
    <w:rsid w:val="00B136C6"/>
    <w:rsid w:val="00B1371E"/>
    <w:rsid w:val="00B13759"/>
    <w:rsid w:val="00B1376E"/>
    <w:rsid w:val="00B13A09"/>
    <w:rsid w:val="00B1581C"/>
    <w:rsid w:val="00B1613E"/>
    <w:rsid w:val="00B16216"/>
    <w:rsid w:val="00B163A6"/>
    <w:rsid w:val="00B169BC"/>
    <w:rsid w:val="00B16D85"/>
    <w:rsid w:val="00B1737B"/>
    <w:rsid w:val="00B17750"/>
    <w:rsid w:val="00B17BF5"/>
    <w:rsid w:val="00B20783"/>
    <w:rsid w:val="00B20CDC"/>
    <w:rsid w:val="00B20D3B"/>
    <w:rsid w:val="00B215B2"/>
    <w:rsid w:val="00B21DA1"/>
    <w:rsid w:val="00B228A3"/>
    <w:rsid w:val="00B25744"/>
    <w:rsid w:val="00B25FE3"/>
    <w:rsid w:val="00B2667F"/>
    <w:rsid w:val="00B26AA3"/>
    <w:rsid w:val="00B30825"/>
    <w:rsid w:val="00B30EFE"/>
    <w:rsid w:val="00B31409"/>
    <w:rsid w:val="00B337C5"/>
    <w:rsid w:val="00B33C9D"/>
    <w:rsid w:val="00B340BD"/>
    <w:rsid w:val="00B34132"/>
    <w:rsid w:val="00B34564"/>
    <w:rsid w:val="00B3612C"/>
    <w:rsid w:val="00B365E9"/>
    <w:rsid w:val="00B36AA5"/>
    <w:rsid w:val="00B37704"/>
    <w:rsid w:val="00B400C8"/>
    <w:rsid w:val="00B404E1"/>
    <w:rsid w:val="00B40CC8"/>
    <w:rsid w:val="00B41226"/>
    <w:rsid w:val="00B412D0"/>
    <w:rsid w:val="00B418EC"/>
    <w:rsid w:val="00B421CB"/>
    <w:rsid w:val="00B44008"/>
    <w:rsid w:val="00B443AC"/>
    <w:rsid w:val="00B444A3"/>
    <w:rsid w:val="00B44CBC"/>
    <w:rsid w:val="00B44D5C"/>
    <w:rsid w:val="00B451F5"/>
    <w:rsid w:val="00B453D4"/>
    <w:rsid w:val="00B47669"/>
    <w:rsid w:val="00B5064E"/>
    <w:rsid w:val="00B50E56"/>
    <w:rsid w:val="00B516DF"/>
    <w:rsid w:val="00B519C1"/>
    <w:rsid w:val="00B53E3D"/>
    <w:rsid w:val="00B54C0A"/>
    <w:rsid w:val="00B557AF"/>
    <w:rsid w:val="00B56B54"/>
    <w:rsid w:val="00B56B58"/>
    <w:rsid w:val="00B60F6A"/>
    <w:rsid w:val="00B613C3"/>
    <w:rsid w:val="00B6195F"/>
    <w:rsid w:val="00B61F90"/>
    <w:rsid w:val="00B621EF"/>
    <w:rsid w:val="00B6247A"/>
    <w:rsid w:val="00B62594"/>
    <w:rsid w:val="00B62D60"/>
    <w:rsid w:val="00B6321F"/>
    <w:rsid w:val="00B6349E"/>
    <w:rsid w:val="00B63B61"/>
    <w:rsid w:val="00B63C71"/>
    <w:rsid w:val="00B64307"/>
    <w:rsid w:val="00B64368"/>
    <w:rsid w:val="00B644B8"/>
    <w:rsid w:val="00B6491C"/>
    <w:rsid w:val="00B666C5"/>
    <w:rsid w:val="00B668BC"/>
    <w:rsid w:val="00B66D96"/>
    <w:rsid w:val="00B7098C"/>
    <w:rsid w:val="00B70A99"/>
    <w:rsid w:val="00B7163A"/>
    <w:rsid w:val="00B71A5E"/>
    <w:rsid w:val="00B7267D"/>
    <w:rsid w:val="00B72C22"/>
    <w:rsid w:val="00B7323C"/>
    <w:rsid w:val="00B733D6"/>
    <w:rsid w:val="00B73BC1"/>
    <w:rsid w:val="00B74047"/>
    <w:rsid w:val="00B7411E"/>
    <w:rsid w:val="00B7419D"/>
    <w:rsid w:val="00B7512F"/>
    <w:rsid w:val="00B7561B"/>
    <w:rsid w:val="00B776FA"/>
    <w:rsid w:val="00B8084C"/>
    <w:rsid w:val="00B80A79"/>
    <w:rsid w:val="00B80D8A"/>
    <w:rsid w:val="00B80F4E"/>
    <w:rsid w:val="00B811E0"/>
    <w:rsid w:val="00B828B6"/>
    <w:rsid w:val="00B82984"/>
    <w:rsid w:val="00B84438"/>
    <w:rsid w:val="00B852F9"/>
    <w:rsid w:val="00B85ABC"/>
    <w:rsid w:val="00B85FA9"/>
    <w:rsid w:val="00B85FF2"/>
    <w:rsid w:val="00B860D4"/>
    <w:rsid w:val="00B868F4"/>
    <w:rsid w:val="00B86B75"/>
    <w:rsid w:val="00B86F02"/>
    <w:rsid w:val="00B874CE"/>
    <w:rsid w:val="00B87FC2"/>
    <w:rsid w:val="00B90385"/>
    <w:rsid w:val="00B906E0"/>
    <w:rsid w:val="00B90BC4"/>
    <w:rsid w:val="00B91043"/>
    <w:rsid w:val="00B91369"/>
    <w:rsid w:val="00B91647"/>
    <w:rsid w:val="00B91C74"/>
    <w:rsid w:val="00B91CF5"/>
    <w:rsid w:val="00B91D07"/>
    <w:rsid w:val="00B91D93"/>
    <w:rsid w:val="00B9221F"/>
    <w:rsid w:val="00B92A41"/>
    <w:rsid w:val="00B92EB8"/>
    <w:rsid w:val="00B939E1"/>
    <w:rsid w:val="00B93F6D"/>
    <w:rsid w:val="00B93F8F"/>
    <w:rsid w:val="00B9422C"/>
    <w:rsid w:val="00B942AC"/>
    <w:rsid w:val="00B947D7"/>
    <w:rsid w:val="00B94AA8"/>
    <w:rsid w:val="00B954F4"/>
    <w:rsid w:val="00B95B06"/>
    <w:rsid w:val="00B95D53"/>
    <w:rsid w:val="00B96A43"/>
    <w:rsid w:val="00B970E7"/>
    <w:rsid w:val="00B973AD"/>
    <w:rsid w:val="00B975B8"/>
    <w:rsid w:val="00B9787C"/>
    <w:rsid w:val="00B97881"/>
    <w:rsid w:val="00B979DF"/>
    <w:rsid w:val="00BA1151"/>
    <w:rsid w:val="00BA1179"/>
    <w:rsid w:val="00BA1526"/>
    <w:rsid w:val="00BA1C42"/>
    <w:rsid w:val="00BA2B44"/>
    <w:rsid w:val="00BA3B2A"/>
    <w:rsid w:val="00BA3D10"/>
    <w:rsid w:val="00BA3DDA"/>
    <w:rsid w:val="00BA5F7F"/>
    <w:rsid w:val="00BA795F"/>
    <w:rsid w:val="00BA7C94"/>
    <w:rsid w:val="00BA7CCA"/>
    <w:rsid w:val="00BB11FD"/>
    <w:rsid w:val="00BB217C"/>
    <w:rsid w:val="00BB22E6"/>
    <w:rsid w:val="00BB293A"/>
    <w:rsid w:val="00BB2DE9"/>
    <w:rsid w:val="00BB3084"/>
    <w:rsid w:val="00BB3597"/>
    <w:rsid w:val="00BB38F4"/>
    <w:rsid w:val="00BB3EC4"/>
    <w:rsid w:val="00BB4495"/>
    <w:rsid w:val="00BB5353"/>
    <w:rsid w:val="00BB5575"/>
    <w:rsid w:val="00BB5853"/>
    <w:rsid w:val="00BB5B3D"/>
    <w:rsid w:val="00BB624E"/>
    <w:rsid w:val="00BB67E4"/>
    <w:rsid w:val="00BB68D1"/>
    <w:rsid w:val="00BB6F69"/>
    <w:rsid w:val="00BB70B9"/>
    <w:rsid w:val="00BC03D8"/>
    <w:rsid w:val="00BC08B6"/>
    <w:rsid w:val="00BC0ED5"/>
    <w:rsid w:val="00BC1F3C"/>
    <w:rsid w:val="00BC2527"/>
    <w:rsid w:val="00BC30E1"/>
    <w:rsid w:val="00BC3B9D"/>
    <w:rsid w:val="00BC3F46"/>
    <w:rsid w:val="00BC464E"/>
    <w:rsid w:val="00BC48D5"/>
    <w:rsid w:val="00BC4C4C"/>
    <w:rsid w:val="00BC51A2"/>
    <w:rsid w:val="00BC577A"/>
    <w:rsid w:val="00BC6560"/>
    <w:rsid w:val="00BC6B3C"/>
    <w:rsid w:val="00BC6D51"/>
    <w:rsid w:val="00BC76C4"/>
    <w:rsid w:val="00BC7FA7"/>
    <w:rsid w:val="00BD050D"/>
    <w:rsid w:val="00BD1A52"/>
    <w:rsid w:val="00BD1F0F"/>
    <w:rsid w:val="00BD207B"/>
    <w:rsid w:val="00BD4423"/>
    <w:rsid w:val="00BD4D94"/>
    <w:rsid w:val="00BD5A69"/>
    <w:rsid w:val="00BD5E4A"/>
    <w:rsid w:val="00BD6081"/>
    <w:rsid w:val="00BD699E"/>
    <w:rsid w:val="00BD743E"/>
    <w:rsid w:val="00BD7C7D"/>
    <w:rsid w:val="00BE083A"/>
    <w:rsid w:val="00BE0A9E"/>
    <w:rsid w:val="00BE144F"/>
    <w:rsid w:val="00BE1901"/>
    <w:rsid w:val="00BE20BC"/>
    <w:rsid w:val="00BE2486"/>
    <w:rsid w:val="00BE2CD8"/>
    <w:rsid w:val="00BE2EB8"/>
    <w:rsid w:val="00BE31DE"/>
    <w:rsid w:val="00BE355B"/>
    <w:rsid w:val="00BE360B"/>
    <w:rsid w:val="00BE364F"/>
    <w:rsid w:val="00BE3713"/>
    <w:rsid w:val="00BE3F77"/>
    <w:rsid w:val="00BE480B"/>
    <w:rsid w:val="00BE5031"/>
    <w:rsid w:val="00BE5B09"/>
    <w:rsid w:val="00BE5C8D"/>
    <w:rsid w:val="00BE5C9D"/>
    <w:rsid w:val="00BE5E5B"/>
    <w:rsid w:val="00BE6775"/>
    <w:rsid w:val="00BE7397"/>
    <w:rsid w:val="00BE7AFF"/>
    <w:rsid w:val="00BF03D8"/>
    <w:rsid w:val="00BF0741"/>
    <w:rsid w:val="00BF0776"/>
    <w:rsid w:val="00BF0894"/>
    <w:rsid w:val="00BF0C26"/>
    <w:rsid w:val="00BF1DB2"/>
    <w:rsid w:val="00BF2738"/>
    <w:rsid w:val="00BF31BB"/>
    <w:rsid w:val="00BF352C"/>
    <w:rsid w:val="00BF3B34"/>
    <w:rsid w:val="00BF3B4D"/>
    <w:rsid w:val="00BF3B77"/>
    <w:rsid w:val="00BF4D3D"/>
    <w:rsid w:val="00BF51C3"/>
    <w:rsid w:val="00BF5455"/>
    <w:rsid w:val="00BF5534"/>
    <w:rsid w:val="00BF5956"/>
    <w:rsid w:val="00BF6859"/>
    <w:rsid w:val="00BF6C85"/>
    <w:rsid w:val="00BF751E"/>
    <w:rsid w:val="00BF7731"/>
    <w:rsid w:val="00BF7E1F"/>
    <w:rsid w:val="00C016BA"/>
    <w:rsid w:val="00C01B3C"/>
    <w:rsid w:val="00C01C5D"/>
    <w:rsid w:val="00C01FAE"/>
    <w:rsid w:val="00C0220F"/>
    <w:rsid w:val="00C02D6B"/>
    <w:rsid w:val="00C03D3D"/>
    <w:rsid w:val="00C042CE"/>
    <w:rsid w:val="00C05080"/>
    <w:rsid w:val="00C05291"/>
    <w:rsid w:val="00C052E8"/>
    <w:rsid w:val="00C06170"/>
    <w:rsid w:val="00C06969"/>
    <w:rsid w:val="00C06C3A"/>
    <w:rsid w:val="00C07086"/>
    <w:rsid w:val="00C074C4"/>
    <w:rsid w:val="00C07A99"/>
    <w:rsid w:val="00C07C8E"/>
    <w:rsid w:val="00C10E22"/>
    <w:rsid w:val="00C10E3C"/>
    <w:rsid w:val="00C1148A"/>
    <w:rsid w:val="00C11CD6"/>
    <w:rsid w:val="00C11D29"/>
    <w:rsid w:val="00C13950"/>
    <w:rsid w:val="00C13AEE"/>
    <w:rsid w:val="00C13D68"/>
    <w:rsid w:val="00C1478D"/>
    <w:rsid w:val="00C14B53"/>
    <w:rsid w:val="00C14B9F"/>
    <w:rsid w:val="00C14E67"/>
    <w:rsid w:val="00C15652"/>
    <w:rsid w:val="00C15CE6"/>
    <w:rsid w:val="00C1691E"/>
    <w:rsid w:val="00C175C5"/>
    <w:rsid w:val="00C20AC8"/>
    <w:rsid w:val="00C20BF2"/>
    <w:rsid w:val="00C217FD"/>
    <w:rsid w:val="00C21B1B"/>
    <w:rsid w:val="00C22BD4"/>
    <w:rsid w:val="00C22D9B"/>
    <w:rsid w:val="00C22F5C"/>
    <w:rsid w:val="00C23181"/>
    <w:rsid w:val="00C237FD"/>
    <w:rsid w:val="00C240F9"/>
    <w:rsid w:val="00C24401"/>
    <w:rsid w:val="00C2693A"/>
    <w:rsid w:val="00C26D70"/>
    <w:rsid w:val="00C26D82"/>
    <w:rsid w:val="00C279FC"/>
    <w:rsid w:val="00C30BA9"/>
    <w:rsid w:val="00C31704"/>
    <w:rsid w:val="00C318FB"/>
    <w:rsid w:val="00C31B01"/>
    <w:rsid w:val="00C31B82"/>
    <w:rsid w:val="00C32B5B"/>
    <w:rsid w:val="00C32B7F"/>
    <w:rsid w:val="00C343C6"/>
    <w:rsid w:val="00C34BDD"/>
    <w:rsid w:val="00C34E13"/>
    <w:rsid w:val="00C353A4"/>
    <w:rsid w:val="00C356D1"/>
    <w:rsid w:val="00C36279"/>
    <w:rsid w:val="00C364E9"/>
    <w:rsid w:val="00C36DB2"/>
    <w:rsid w:val="00C36E36"/>
    <w:rsid w:val="00C374E8"/>
    <w:rsid w:val="00C374F7"/>
    <w:rsid w:val="00C37943"/>
    <w:rsid w:val="00C37B5F"/>
    <w:rsid w:val="00C37E4F"/>
    <w:rsid w:val="00C37EF8"/>
    <w:rsid w:val="00C41A89"/>
    <w:rsid w:val="00C41B80"/>
    <w:rsid w:val="00C41C3A"/>
    <w:rsid w:val="00C4227D"/>
    <w:rsid w:val="00C42530"/>
    <w:rsid w:val="00C426E2"/>
    <w:rsid w:val="00C42F07"/>
    <w:rsid w:val="00C43943"/>
    <w:rsid w:val="00C44BA6"/>
    <w:rsid w:val="00C44C35"/>
    <w:rsid w:val="00C44C9B"/>
    <w:rsid w:val="00C465A3"/>
    <w:rsid w:val="00C479A2"/>
    <w:rsid w:val="00C5040E"/>
    <w:rsid w:val="00C505CE"/>
    <w:rsid w:val="00C51236"/>
    <w:rsid w:val="00C523D0"/>
    <w:rsid w:val="00C53555"/>
    <w:rsid w:val="00C54303"/>
    <w:rsid w:val="00C544F7"/>
    <w:rsid w:val="00C549D4"/>
    <w:rsid w:val="00C557D3"/>
    <w:rsid w:val="00C562EE"/>
    <w:rsid w:val="00C56FE7"/>
    <w:rsid w:val="00C57824"/>
    <w:rsid w:val="00C57C53"/>
    <w:rsid w:val="00C57D71"/>
    <w:rsid w:val="00C602B9"/>
    <w:rsid w:val="00C6040F"/>
    <w:rsid w:val="00C60DCC"/>
    <w:rsid w:val="00C6124D"/>
    <w:rsid w:val="00C614FA"/>
    <w:rsid w:val="00C630D6"/>
    <w:rsid w:val="00C6386E"/>
    <w:rsid w:val="00C63E8A"/>
    <w:rsid w:val="00C63FC4"/>
    <w:rsid w:val="00C6428A"/>
    <w:rsid w:val="00C6483D"/>
    <w:rsid w:val="00C656AD"/>
    <w:rsid w:val="00C66110"/>
    <w:rsid w:val="00C668B8"/>
    <w:rsid w:val="00C668E2"/>
    <w:rsid w:val="00C67041"/>
    <w:rsid w:val="00C679B9"/>
    <w:rsid w:val="00C70DE0"/>
    <w:rsid w:val="00C71077"/>
    <w:rsid w:val="00C7284D"/>
    <w:rsid w:val="00C72C7D"/>
    <w:rsid w:val="00C738F4"/>
    <w:rsid w:val="00C73B49"/>
    <w:rsid w:val="00C73F06"/>
    <w:rsid w:val="00C7431E"/>
    <w:rsid w:val="00C743F0"/>
    <w:rsid w:val="00C7493B"/>
    <w:rsid w:val="00C74C75"/>
    <w:rsid w:val="00C74CC5"/>
    <w:rsid w:val="00C74E3A"/>
    <w:rsid w:val="00C75A7E"/>
    <w:rsid w:val="00C77411"/>
    <w:rsid w:val="00C77A52"/>
    <w:rsid w:val="00C80299"/>
    <w:rsid w:val="00C805D0"/>
    <w:rsid w:val="00C81DCA"/>
    <w:rsid w:val="00C81F89"/>
    <w:rsid w:val="00C820B6"/>
    <w:rsid w:val="00C826F5"/>
    <w:rsid w:val="00C827AD"/>
    <w:rsid w:val="00C82C2A"/>
    <w:rsid w:val="00C834D5"/>
    <w:rsid w:val="00C835A0"/>
    <w:rsid w:val="00C835A7"/>
    <w:rsid w:val="00C8382B"/>
    <w:rsid w:val="00C838B4"/>
    <w:rsid w:val="00C84B4F"/>
    <w:rsid w:val="00C84F13"/>
    <w:rsid w:val="00C84FDC"/>
    <w:rsid w:val="00C854D7"/>
    <w:rsid w:val="00C85C7F"/>
    <w:rsid w:val="00C85E49"/>
    <w:rsid w:val="00C86252"/>
    <w:rsid w:val="00C869FA"/>
    <w:rsid w:val="00C86A72"/>
    <w:rsid w:val="00C873AF"/>
    <w:rsid w:val="00C87DD2"/>
    <w:rsid w:val="00C9036D"/>
    <w:rsid w:val="00C91151"/>
    <w:rsid w:val="00C913EF"/>
    <w:rsid w:val="00C919FA"/>
    <w:rsid w:val="00C92652"/>
    <w:rsid w:val="00C9297C"/>
    <w:rsid w:val="00C929D8"/>
    <w:rsid w:val="00C92A2F"/>
    <w:rsid w:val="00C93477"/>
    <w:rsid w:val="00C93B83"/>
    <w:rsid w:val="00C93ECE"/>
    <w:rsid w:val="00C94C5A"/>
    <w:rsid w:val="00C95372"/>
    <w:rsid w:val="00C9620C"/>
    <w:rsid w:val="00C969D3"/>
    <w:rsid w:val="00C97DA1"/>
    <w:rsid w:val="00CA0430"/>
    <w:rsid w:val="00CA0ECB"/>
    <w:rsid w:val="00CA1071"/>
    <w:rsid w:val="00CA10DB"/>
    <w:rsid w:val="00CA14F6"/>
    <w:rsid w:val="00CA1689"/>
    <w:rsid w:val="00CA1866"/>
    <w:rsid w:val="00CA3955"/>
    <w:rsid w:val="00CA450F"/>
    <w:rsid w:val="00CA4647"/>
    <w:rsid w:val="00CA504D"/>
    <w:rsid w:val="00CA57A1"/>
    <w:rsid w:val="00CA5D43"/>
    <w:rsid w:val="00CA67CA"/>
    <w:rsid w:val="00CA7A3D"/>
    <w:rsid w:val="00CB056C"/>
    <w:rsid w:val="00CB0A98"/>
    <w:rsid w:val="00CB0F07"/>
    <w:rsid w:val="00CB15B9"/>
    <w:rsid w:val="00CB19E5"/>
    <w:rsid w:val="00CB1CD2"/>
    <w:rsid w:val="00CB219F"/>
    <w:rsid w:val="00CB2807"/>
    <w:rsid w:val="00CB28B2"/>
    <w:rsid w:val="00CB2FC9"/>
    <w:rsid w:val="00CB3893"/>
    <w:rsid w:val="00CB3E09"/>
    <w:rsid w:val="00CB43CA"/>
    <w:rsid w:val="00CB49C6"/>
    <w:rsid w:val="00CB524C"/>
    <w:rsid w:val="00CB60C5"/>
    <w:rsid w:val="00CB7442"/>
    <w:rsid w:val="00CC0A3D"/>
    <w:rsid w:val="00CC2020"/>
    <w:rsid w:val="00CC236F"/>
    <w:rsid w:val="00CC35AB"/>
    <w:rsid w:val="00CC3881"/>
    <w:rsid w:val="00CC43B2"/>
    <w:rsid w:val="00CC4B86"/>
    <w:rsid w:val="00CC5662"/>
    <w:rsid w:val="00CC5C3B"/>
    <w:rsid w:val="00CC5DFD"/>
    <w:rsid w:val="00CC64A6"/>
    <w:rsid w:val="00CC6727"/>
    <w:rsid w:val="00CC6ABB"/>
    <w:rsid w:val="00CC6F7F"/>
    <w:rsid w:val="00CC76AD"/>
    <w:rsid w:val="00CC7774"/>
    <w:rsid w:val="00CC7B23"/>
    <w:rsid w:val="00CD02FF"/>
    <w:rsid w:val="00CD0503"/>
    <w:rsid w:val="00CD055F"/>
    <w:rsid w:val="00CD0836"/>
    <w:rsid w:val="00CD0B18"/>
    <w:rsid w:val="00CD0F52"/>
    <w:rsid w:val="00CD173A"/>
    <w:rsid w:val="00CD2991"/>
    <w:rsid w:val="00CD2B17"/>
    <w:rsid w:val="00CD2BBA"/>
    <w:rsid w:val="00CD2EBB"/>
    <w:rsid w:val="00CD2F56"/>
    <w:rsid w:val="00CD3742"/>
    <w:rsid w:val="00CD409D"/>
    <w:rsid w:val="00CD4954"/>
    <w:rsid w:val="00CD4CE0"/>
    <w:rsid w:val="00CD4E56"/>
    <w:rsid w:val="00CD62A6"/>
    <w:rsid w:val="00CD6FF2"/>
    <w:rsid w:val="00CD7530"/>
    <w:rsid w:val="00CD769A"/>
    <w:rsid w:val="00CD7C7C"/>
    <w:rsid w:val="00CE022E"/>
    <w:rsid w:val="00CE0F20"/>
    <w:rsid w:val="00CE117D"/>
    <w:rsid w:val="00CE13E4"/>
    <w:rsid w:val="00CE1E6C"/>
    <w:rsid w:val="00CE2875"/>
    <w:rsid w:val="00CE31D6"/>
    <w:rsid w:val="00CE4E3C"/>
    <w:rsid w:val="00CE4F35"/>
    <w:rsid w:val="00CE5108"/>
    <w:rsid w:val="00CE523A"/>
    <w:rsid w:val="00CE5F5E"/>
    <w:rsid w:val="00CE6F81"/>
    <w:rsid w:val="00CE70F5"/>
    <w:rsid w:val="00CF0B7B"/>
    <w:rsid w:val="00CF1092"/>
    <w:rsid w:val="00CF142E"/>
    <w:rsid w:val="00CF20AA"/>
    <w:rsid w:val="00CF2F9A"/>
    <w:rsid w:val="00CF31F7"/>
    <w:rsid w:val="00CF3D95"/>
    <w:rsid w:val="00CF3E46"/>
    <w:rsid w:val="00CF5348"/>
    <w:rsid w:val="00CF55C8"/>
    <w:rsid w:val="00CF5F0D"/>
    <w:rsid w:val="00CF71F7"/>
    <w:rsid w:val="00CF77CA"/>
    <w:rsid w:val="00D0016C"/>
    <w:rsid w:val="00D015FE"/>
    <w:rsid w:val="00D0282A"/>
    <w:rsid w:val="00D031AA"/>
    <w:rsid w:val="00D031EC"/>
    <w:rsid w:val="00D045A1"/>
    <w:rsid w:val="00D04B15"/>
    <w:rsid w:val="00D06DC6"/>
    <w:rsid w:val="00D06EB2"/>
    <w:rsid w:val="00D06F0E"/>
    <w:rsid w:val="00D10DE3"/>
    <w:rsid w:val="00D1120A"/>
    <w:rsid w:val="00D11351"/>
    <w:rsid w:val="00D131BE"/>
    <w:rsid w:val="00D14B42"/>
    <w:rsid w:val="00D14C53"/>
    <w:rsid w:val="00D14D0E"/>
    <w:rsid w:val="00D14D74"/>
    <w:rsid w:val="00D14DCD"/>
    <w:rsid w:val="00D15564"/>
    <w:rsid w:val="00D15873"/>
    <w:rsid w:val="00D15961"/>
    <w:rsid w:val="00D1647A"/>
    <w:rsid w:val="00D16573"/>
    <w:rsid w:val="00D166FD"/>
    <w:rsid w:val="00D16898"/>
    <w:rsid w:val="00D17B04"/>
    <w:rsid w:val="00D17D14"/>
    <w:rsid w:val="00D21660"/>
    <w:rsid w:val="00D21CD6"/>
    <w:rsid w:val="00D21E58"/>
    <w:rsid w:val="00D221CA"/>
    <w:rsid w:val="00D224AB"/>
    <w:rsid w:val="00D23369"/>
    <w:rsid w:val="00D23693"/>
    <w:rsid w:val="00D25B8F"/>
    <w:rsid w:val="00D25CB3"/>
    <w:rsid w:val="00D25D88"/>
    <w:rsid w:val="00D26BCF"/>
    <w:rsid w:val="00D27D6F"/>
    <w:rsid w:val="00D30548"/>
    <w:rsid w:val="00D31A44"/>
    <w:rsid w:val="00D31A4F"/>
    <w:rsid w:val="00D31F6F"/>
    <w:rsid w:val="00D32B7C"/>
    <w:rsid w:val="00D32BE5"/>
    <w:rsid w:val="00D335CD"/>
    <w:rsid w:val="00D33BAE"/>
    <w:rsid w:val="00D33C80"/>
    <w:rsid w:val="00D347EB"/>
    <w:rsid w:val="00D351D0"/>
    <w:rsid w:val="00D35483"/>
    <w:rsid w:val="00D354BA"/>
    <w:rsid w:val="00D35B1E"/>
    <w:rsid w:val="00D3603C"/>
    <w:rsid w:val="00D36E11"/>
    <w:rsid w:val="00D36F31"/>
    <w:rsid w:val="00D37002"/>
    <w:rsid w:val="00D40146"/>
    <w:rsid w:val="00D4068C"/>
    <w:rsid w:val="00D40BA2"/>
    <w:rsid w:val="00D40C0E"/>
    <w:rsid w:val="00D4162A"/>
    <w:rsid w:val="00D42F6E"/>
    <w:rsid w:val="00D437B8"/>
    <w:rsid w:val="00D43970"/>
    <w:rsid w:val="00D445B8"/>
    <w:rsid w:val="00D445FE"/>
    <w:rsid w:val="00D44AD9"/>
    <w:rsid w:val="00D44AE5"/>
    <w:rsid w:val="00D45C48"/>
    <w:rsid w:val="00D4628D"/>
    <w:rsid w:val="00D4665E"/>
    <w:rsid w:val="00D46CB3"/>
    <w:rsid w:val="00D47981"/>
    <w:rsid w:val="00D47C03"/>
    <w:rsid w:val="00D47F7A"/>
    <w:rsid w:val="00D50047"/>
    <w:rsid w:val="00D50C85"/>
    <w:rsid w:val="00D51612"/>
    <w:rsid w:val="00D51BCE"/>
    <w:rsid w:val="00D51E33"/>
    <w:rsid w:val="00D52788"/>
    <w:rsid w:val="00D5298D"/>
    <w:rsid w:val="00D54C24"/>
    <w:rsid w:val="00D5502B"/>
    <w:rsid w:val="00D56197"/>
    <w:rsid w:val="00D5638F"/>
    <w:rsid w:val="00D56667"/>
    <w:rsid w:val="00D571AF"/>
    <w:rsid w:val="00D6121A"/>
    <w:rsid w:val="00D61461"/>
    <w:rsid w:val="00D622DE"/>
    <w:rsid w:val="00D62360"/>
    <w:rsid w:val="00D62A0A"/>
    <w:rsid w:val="00D63505"/>
    <w:rsid w:val="00D636D7"/>
    <w:rsid w:val="00D63B41"/>
    <w:rsid w:val="00D63E89"/>
    <w:rsid w:val="00D659C8"/>
    <w:rsid w:val="00D65B65"/>
    <w:rsid w:val="00D6638E"/>
    <w:rsid w:val="00D66D3D"/>
    <w:rsid w:val="00D7008E"/>
    <w:rsid w:val="00D705F7"/>
    <w:rsid w:val="00D707FC"/>
    <w:rsid w:val="00D70B13"/>
    <w:rsid w:val="00D70EF4"/>
    <w:rsid w:val="00D71334"/>
    <w:rsid w:val="00D7150C"/>
    <w:rsid w:val="00D71B22"/>
    <w:rsid w:val="00D724CD"/>
    <w:rsid w:val="00D72602"/>
    <w:rsid w:val="00D72A73"/>
    <w:rsid w:val="00D73218"/>
    <w:rsid w:val="00D75420"/>
    <w:rsid w:val="00D7545F"/>
    <w:rsid w:val="00D75F9F"/>
    <w:rsid w:val="00D761F4"/>
    <w:rsid w:val="00D7663A"/>
    <w:rsid w:val="00D7671E"/>
    <w:rsid w:val="00D76839"/>
    <w:rsid w:val="00D773D2"/>
    <w:rsid w:val="00D77A6F"/>
    <w:rsid w:val="00D80057"/>
    <w:rsid w:val="00D8015A"/>
    <w:rsid w:val="00D80340"/>
    <w:rsid w:val="00D80499"/>
    <w:rsid w:val="00D80609"/>
    <w:rsid w:val="00D808EE"/>
    <w:rsid w:val="00D80A8A"/>
    <w:rsid w:val="00D81B4E"/>
    <w:rsid w:val="00D82027"/>
    <w:rsid w:val="00D82435"/>
    <w:rsid w:val="00D828DC"/>
    <w:rsid w:val="00D8295E"/>
    <w:rsid w:val="00D83218"/>
    <w:rsid w:val="00D8322D"/>
    <w:rsid w:val="00D857DF"/>
    <w:rsid w:val="00D85E83"/>
    <w:rsid w:val="00D85E9D"/>
    <w:rsid w:val="00D902C1"/>
    <w:rsid w:val="00D90879"/>
    <w:rsid w:val="00D908DE"/>
    <w:rsid w:val="00D91634"/>
    <w:rsid w:val="00D92022"/>
    <w:rsid w:val="00D92F55"/>
    <w:rsid w:val="00D940B4"/>
    <w:rsid w:val="00D9452C"/>
    <w:rsid w:val="00D9483E"/>
    <w:rsid w:val="00D94B81"/>
    <w:rsid w:val="00D94F50"/>
    <w:rsid w:val="00DA05B1"/>
    <w:rsid w:val="00DA0D31"/>
    <w:rsid w:val="00DA1156"/>
    <w:rsid w:val="00DA17D3"/>
    <w:rsid w:val="00DA19A0"/>
    <w:rsid w:val="00DA1AF6"/>
    <w:rsid w:val="00DA238A"/>
    <w:rsid w:val="00DA2B6C"/>
    <w:rsid w:val="00DA37F7"/>
    <w:rsid w:val="00DA3FD9"/>
    <w:rsid w:val="00DA48F9"/>
    <w:rsid w:val="00DA55CC"/>
    <w:rsid w:val="00DA586F"/>
    <w:rsid w:val="00DA6F31"/>
    <w:rsid w:val="00DA7525"/>
    <w:rsid w:val="00DA7728"/>
    <w:rsid w:val="00DA7EFC"/>
    <w:rsid w:val="00DB0090"/>
    <w:rsid w:val="00DB01CA"/>
    <w:rsid w:val="00DB0930"/>
    <w:rsid w:val="00DB1281"/>
    <w:rsid w:val="00DB18FE"/>
    <w:rsid w:val="00DB25BF"/>
    <w:rsid w:val="00DB3102"/>
    <w:rsid w:val="00DB3474"/>
    <w:rsid w:val="00DB4FAD"/>
    <w:rsid w:val="00DB4FC0"/>
    <w:rsid w:val="00DB5B16"/>
    <w:rsid w:val="00DB66EE"/>
    <w:rsid w:val="00DB67E8"/>
    <w:rsid w:val="00DB68A2"/>
    <w:rsid w:val="00DB6B31"/>
    <w:rsid w:val="00DB6D3D"/>
    <w:rsid w:val="00DB7C64"/>
    <w:rsid w:val="00DC036B"/>
    <w:rsid w:val="00DC0371"/>
    <w:rsid w:val="00DC12CD"/>
    <w:rsid w:val="00DC1312"/>
    <w:rsid w:val="00DC16B6"/>
    <w:rsid w:val="00DC1D9C"/>
    <w:rsid w:val="00DC2F83"/>
    <w:rsid w:val="00DC3D16"/>
    <w:rsid w:val="00DC4420"/>
    <w:rsid w:val="00DC45EC"/>
    <w:rsid w:val="00DC4A8F"/>
    <w:rsid w:val="00DC593B"/>
    <w:rsid w:val="00DC597B"/>
    <w:rsid w:val="00DC6110"/>
    <w:rsid w:val="00DC649E"/>
    <w:rsid w:val="00DC7381"/>
    <w:rsid w:val="00DD083C"/>
    <w:rsid w:val="00DD0D4C"/>
    <w:rsid w:val="00DD17CB"/>
    <w:rsid w:val="00DD1E2D"/>
    <w:rsid w:val="00DD1EAD"/>
    <w:rsid w:val="00DD2C60"/>
    <w:rsid w:val="00DD2F9A"/>
    <w:rsid w:val="00DD4D04"/>
    <w:rsid w:val="00DD54CA"/>
    <w:rsid w:val="00DD5570"/>
    <w:rsid w:val="00DD55EE"/>
    <w:rsid w:val="00DD6244"/>
    <w:rsid w:val="00DD6768"/>
    <w:rsid w:val="00DD6BC7"/>
    <w:rsid w:val="00DD6D29"/>
    <w:rsid w:val="00DE10B4"/>
    <w:rsid w:val="00DE1243"/>
    <w:rsid w:val="00DE1B92"/>
    <w:rsid w:val="00DE260A"/>
    <w:rsid w:val="00DE282A"/>
    <w:rsid w:val="00DE3063"/>
    <w:rsid w:val="00DE3259"/>
    <w:rsid w:val="00DE32DF"/>
    <w:rsid w:val="00DE351E"/>
    <w:rsid w:val="00DE50A3"/>
    <w:rsid w:val="00DE5208"/>
    <w:rsid w:val="00DE57ED"/>
    <w:rsid w:val="00DE5F34"/>
    <w:rsid w:val="00DE67AD"/>
    <w:rsid w:val="00DE6E31"/>
    <w:rsid w:val="00DE77DB"/>
    <w:rsid w:val="00DE786F"/>
    <w:rsid w:val="00DE7B9F"/>
    <w:rsid w:val="00DE7CB5"/>
    <w:rsid w:val="00DE7DB6"/>
    <w:rsid w:val="00DE7F79"/>
    <w:rsid w:val="00DF0339"/>
    <w:rsid w:val="00DF1415"/>
    <w:rsid w:val="00DF16B4"/>
    <w:rsid w:val="00DF17DD"/>
    <w:rsid w:val="00DF186A"/>
    <w:rsid w:val="00DF225B"/>
    <w:rsid w:val="00DF22C9"/>
    <w:rsid w:val="00DF2902"/>
    <w:rsid w:val="00DF32A8"/>
    <w:rsid w:val="00DF33CB"/>
    <w:rsid w:val="00DF38F3"/>
    <w:rsid w:val="00DF3979"/>
    <w:rsid w:val="00DF3C81"/>
    <w:rsid w:val="00DF51BB"/>
    <w:rsid w:val="00DF662C"/>
    <w:rsid w:val="00DF6B32"/>
    <w:rsid w:val="00DF70F1"/>
    <w:rsid w:val="00DF72E9"/>
    <w:rsid w:val="00DF76C6"/>
    <w:rsid w:val="00DF773E"/>
    <w:rsid w:val="00DF7760"/>
    <w:rsid w:val="00E00C39"/>
    <w:rsid w:val="00E01ABB"/>
    <w:rsid w:val="00E01DD4"/>
    <w:rsid w:val="00E0208D"/>
    <w:rsid w:val="00E02594"/>
    <w:rsid w:val="00E0297C"/>
    <w:rsid w:val="00E02EB6"/>
    <w:rsid w:val="00E042B0"/>
    <w:rsid w:val="00E0559C"/>
    <w:rsid w:val="00E0652E"/>
    <w:rsid w:val="00E06C1B"/>
    <w:rsid w:val="00E070DD"/>
    <w:rsid w:val="00E0711B"/>
    <w:rsid w:val="00E07336"/>
    <w:rsid w:val="00E07F06"/>
    <w:rsid w:val="00E10822"/>
    <w:rsid w:val="00E10EC5"/>
    <w:rsid w:val="00E11122"/>
    <w:rsid w:val="00E1150A"/>
    <w:rsid w:val="00E12412"/>
    <w:rsid w:val="00E13371"/>
    <w:rsid w:val="00E13967"/>
    <w:rsid w:val="00E1426A"/>
    <w:rsid w:val="00E14360"/>
    <w:rsid w:val="00E14A88"/>
    <w:rsid w:val="00E15706"/>
    <w:rsid w:val="00E15DD9"/>
    <w:rsid w:val="00E15F5E"/>
    <w:rsid w:val="00E16389"/>
    <w:rsid w:val="00E173EB"/>
    <w:rsid w:val="00E20D51"/>
    <w:rsid w:val="00E210F0"/>
    <w:rsid w:val="00E2113F"/>
    <w:rsid w:val="00E21564"/>
    <w:rsid w:val="00E21CC1"/>
    <w:rsid w:val="00E21D60"/>
    <w:rsid w:val="00E22164"/>
    <w:rsid w:val="00E221F2"/>
    <w:rsid w:val="00E229B9"/>
    <w:rsid w:val="00E23136"/>
    <w:rsid w:val="00E248D6"/>
    <w:rsid w:val="00E2597C"/>
    <w:rsid w:val="00E259E9"/>
    <w:rsid w:val="00E271EE"/>
    <w:rsid w:val="00E27248"/>
    <w:rsid w:val="00E2731B"/>
    <w:rsid w:val="00E2768D"/>
    <w:rsid w:val="00E3039A"/>
    <w:rsid w:val="00E308A2"/>
    <w:rsid w:val="00E31496"/>
    <w:rsid w:val="00E31500"/>
    <w:rsid w:val="00E315A3"/>
    <w:rsid w:val="00E31B8A"/>
    <w:rsid w:val="00E31DA0"/>
    <w:rsid w:val="00E320C9"/>
    <w:rsid w:val="00E33046"/>
    <w:rsid w:val="00E335D1"/>
    <w:rsid w:val="00E33A2C"/>
    <w:rsid w:val="00E33F1E"/>
    <w:rsid w:val="00E34535"/>
    <w:rsid w:val="00E34685"/>
    <w:rsid w:val="00E3604C"/>
    <w:rsid w:val="00E3619C"/>
    <w:rsid w:val="00E3625A"/>
    <w:rsid w:val="00E36289"/>
    <w:rsid w:val="00E36645"/>
    <w:rsid w:val="00E37635"/>
    <w:rsid w:val="00E379CA"/>
    <w:rsid w:val="00E37CCA"/>
    <w:rsid w:val="00E408B9"/>
    <w:rsid w:val="00E410E1"/>
    <w:rsid w:val="00E41EBE"/>
    <w:rsid w:val="00E428CC"/>
    <w:rsid w:val="00E42D20"/>
    <w:rsid w:val="00E42ECE"/>
    <w:rsid w:val="00E430E2"/>
    <w:rsid w:val="00E43177"/>
    <w:rsid w:val="00E432D0"/>
    <w:rsid w:val="00E4332A"/>
    <w:rsid w:val="00E4359C"/>
    <w:rsid w:val="00E4361B"/>
    <w:rsid w:val="00E439C1"/>
    <w:rsid w:val="00E43B8E"/>
    <w:rsid w:val="00E4416D"/>
    <w:rsid w:val="00E449C3"/>
    <w:rsid w:val="00E44B24"/>
    <w:rsid w:val="00E45629"/>
    <w:rsid w:val="00E45E28"/>
    <w:rsid w:val="00E45E5A"/>
    <w:rsid w:val="00E47661"/>
    <w:rsid w:val="00E479D5"/>
    <w:rsid w:val="00E47DBD"/>
    <w:rsid w:val="00E5047E"/>
    <w:rsid w:val="00E50D16"/>
    <w:rsid w:val="00E50FB4"/>
    <w:rsid w:val="00E51051"/>
    <w:rsid w:val="00E52D21"/>
    <w:rsid w:val="00E53309"/>
    <w:rsid w:val="00E53E0C"/>
    <w:rsid w:val="00E54168"/>
    <w:rsid w:val="00E5419D"/>
    <w:rsid w:val="00E542D4"/>
    <w:rsid w:val="00E5501D"/>
    <w:rsid w:val="00E55B02"/>
    <w:rsid w:val="00E56188"/>
    <w:rsid w:val="00E56278"/>
    <w:rsid w:val="00E562E9"/>
    <w:rsid w:val="00E56E5E"/>
    <w:rsid w:val="00E56E8B"/>
    <w:rsid w:val="00E56FCA"/>
    <w:rsid w:val="00E57742"/>
    <w:rsid w:val="00E602F4"/>
    <w:rsid w:val="00E60530"/>
    <w:rsid w:val="00E605F8"/>
    <w:rsid w:val="00E61072"/>
    <w:rsid w:val="00E61414"/>
    <w:rsid w:val="00E61AE6"/>
    <w:rsid w:val="00E61B1B"/>
    <w:rsid w:val="00E61EB7"/>
    <w:rsid w:val="00E626FA"/>
    <w:rsid w:val="00E63005"/>
    <w:rsid w:val="00E631DB"/>
    <w:rsid w:val="00E63CFC"/>
    <w:rsid w:val="00E64BD3"/>
    <w:rsid w:val="00E64D6C"/>
    <w:rsid w:val="00E657AB"/>
    <w:rsid w:val="00E660EF"/>
    <w:rsid w:val="00E66327"/>
    <w:rsid w:val="00E66D17"/>
    <w:rsid w:val="00E67122"/>
    <w:rsid w:val="00E6771C"/>
    <w:rsid w:val="00E7038C"/>
    <w:rsid w:val="00E710BD"/>
    <w:rsid w:val="00E7173D"/>
    <w:rsid w:val="00E71D30"/>
    <w:rsid w:val="00E71DAD"/>
    <w:rsid w:val="00E723AC"/>
    <w:rsid w:val="00E7297B"/>
    <w:rsid w:val="00E7331F"/>
    <w:rsid w:val="00E74408"/>
    <w:rsid w:val="00E7464B"/>
    <w:rsid w:val="00E74832"/>
    <w:rsid w:val="00E74AA5"/>
    <w:rsid w:val="00E74B69"/>
    <w:rsid w:val="00E756B8"/>
    <w:rsid w:val="00E75CEC"/>
    <w:rsid w:val="00E761FB"/>
    <w:rsid w:val="00E7753D"/>
    <w:rsid w:val="00E8024D"/>
    <w:rsid w:val="00E810CC"/>
    <w:rsid w:val="00E8170F"/>
    <w:rsid w:val="00E820AB"/>
    <w:rsid w:val="00E82185"/>
    <w:rsid w:val="00E8223F"/>
    <w:rsid w:val="00E8242C"/>
    <w:rsid w:val="00E829CD"/>
    <w:rsid w:val="00E8321B"/>
    <w:rsid w:val="00E83423"/>
    <w:rsid w:val="00E8362B"/>
    <w:rsid w:val="00E837D5"/>
    <w:rsid w:val="00E843E9"/>
    <w:rsid w:val="00E84EC3"/>
    <w:rsid w:val="00E85577"/>
    <w:rsid w:val="00E85664"/>
    <w:rsid w:val="00E85A86"/>
    <w:rsid w:val="00E866E8"/>
    <w:rsid w:val="00E8679E"/>
    <w:rsid w:val="00E86D7E"/>
    <w:rsid w:val="00E86FF4"/>
    <w:rsid w:val="00E87050"/>
    <w:rsid w:val="00E87154"/>
    <w:rsid w:val="00E87CCC"/>
    <w:rsid w:val="00E9050C"/>
    <w:rsid w:val="00E916DD"/>
    <w:rsid w:val="00E91A26"/>
    <w:rsid w:val="00E91B4A"/>
    <w:rsid w:val="00E91CF5"/>
    <w:rsid w:val="00E91F92"/>
    <w:rsid w:val="00E92041"/>
    <w:rsid w:val="00E920E3"/>
    <w:rsid w:val="00E92613"/>
    <w:rsid w:val="00E93E22"/>
    <w:rsid w:val="00E94A1E"/>
    <w:rsid w:val="00E9588D"/>
    <w:rsid w:val="00E95B67"/>
    <w:rsid w:val="00E95CEA"/>
    <w:rsid w:val="00E9675D"/>
    <w:rsid w:val="00E9697F"/>
    <w:rsid w:val="00E970B6"/>
    <w:rsid w:val="00E97765"/>
    <w:rsid w:val="00E97900"/>
    <w:rsid w:val="00EA05B5"/>
    <w:rsid w:val="00EA0986"/>
    <w:rsid w:val="00EA0D3F"/>
    <w:rsid w:val="00EA0D7C"/>
    <w:rsid w:val="00EA253F"/>
    <w:rsid w:val="00EA28AE"/>
    <w:rsid w:val="00EA4E6C"/>
    <w:rsid w:val="00EA51D0"/>
    <w:rsid w:val="00EA57ED"/>
    <w:rsid w:val="00EA5A17"/>
    <w:rsid w:val="00EA5D9A"/>
    <w:rsid w:val="00EA618F"/>
    <w:rsid w:val="00EA77FA"/>
    <w:rsid w:val="00EA7A58"/>
    <w:rsid w:val="00EB059B"/>
    <w:rsid w:val="00EB0C09"/>
    <w:rsid w:val="00EB123E"/>
    <w:rsid w:val="00EB179A"/>
    <w:rsid w:val="00EB2210"/>
    <w:rsid w:val="00EB3A0F"/>
    <w:rsid w:val="00EB3BEB"/>
    <w:rsid w:val="00EB3E0C"/>
    <w:rsid w:val="00EB3EB9"/>
    <w:rsid w:val="00EB3EDD"/>
    <w:rsid w:val="00EB3F92"/>
    <w:rsid w:val="00EB4A9F"/>
    <w:rsid w:val="00EB4AB9"/>
    <w:rsid w:val="00EB4D4F"/>
    <w:rsid w:val="00EB5CFC"/>
    <w:rsid w:val="00EB6907"/>
    <w:rsid w:val="00EB6927"/>
    <w:rsid w:val="00EB7871"/>
    <w:rsid w:val="00EC0886"/>
    <w:rsid w:val="00EC08AE"/>
    <w:rsid w:val="00EC154E"/>
    <w:rsid w:val="00EC1EB3"/>
    <w:rsid w:val="00EC22D7"/>
    <w:rsid w:val="00EC2420"/>
    <w:rsid w:val="00EC3549"/>
    <w:rsid w:val="00EC3DD0"/>
    <w:rsid w:val="00EC4E24"/>
    <w:rsid w:val="00EC57B6"/>
    <w:rsid w:val="00EC5F8D"/>
    <w:rsid w:val="00EC69AB"/>
    <w:rsid w:val="00EC772E"/>
    <w:rsid w:val="00EC7DC3"/>
    <w:rsid w:val="00ED0075"/>
    <w:rsid w:val="00ED029E"/>
    <w:rsid w:val="00ED106A"/>
    <w:rsid w:val="00ED10A6"/>
    <w:rsid w:val="00ED1940"/>
    <w:rsid w:val="00ED1A02"/>
    <w:rsid w:val="00ED2235"/>
    <w:rsid w:val="00ED323A"/>
    <w:rsid w:val="00ED343B"/>
    <w:rsid w:val="00ED45DD"/>
    <w:rsid w:val="00ED4619"/>
    <w:rsid w:val="00ED49C5"/>
    <w:rsid w:val="00ED4E1F"/>
    <w:rsid w:val="00ED4EC1"/>
    <w:rsid w:val="00ED5BAD"/>
    <w:rsid w:val="00ED65D3"/>
    <w:rsid w:val="00ED6736"/>
    <w:rsid w:val="00ED68DF"/>
    <w:rsid w:val="00ED6964"/>
    <w:rsid w:val="00ED78B8"/>
    <w:rsid w:val="00ED7A3A"/>
    <w:rsid w:val="00EE09ED"/>
    <w:rsid w:val="00EE1774"/>
    <w:rsid w:val="00EE1CE1"/>
    <w:rsid w:val="00EE1EA1"/>
    <w:rsid w:val="00EE2FD7"/>
    <w:rsid w:val="00EE3861"/>
    <w:rsid w:val="00EE3EF3"/>
    <w:rsid w:val="00EE4EEB"/>
    <w:rsid w:val="00EE634E"/>
    <w:rsid w:val="00EE69EE"/>
    <w:rsid w:val="00EE7398"/>
    <w:rsid w:val="00EE7B72"/>
    <w:rsid w:val="00EE7F27"/>
    <w:rsid w:val="00EF06CE"/>
    <w:rsid w:val="00EF0A9C"/>
    <w:rsid w:val="00EF0DFB"/>
    <w:rsid w:val="00EF164B"/>
    <w:rsid w:val="00EF2218"/>
    <w:rsid w:val="00EF4024"/>
    <w:rsid w:val="00EF4083"/>
    <w:rsid w:val="00EF4134"/>
    <w:rsid w:val="00EF446B"/>
    <w:rsid w:val="00EF47CB"/>
    <w:rsid w:val="00EF4E03"/>
    <w:rsid w:val="00EF6394"/>
    <w:rsid w:val="00EF6B83"/>
    <w:rsid w:val="00F00373"/>
    <w:rsid w:val="00F005F3"/>
    <w:rsid w:val="00F009CF"/>
    <w:rsid w:val="00F015BF"/>
    <w:rsid w:val="00F022D2"/>
    <w:rsid w:val="00F0233A"/>
    <w:rsid w:val="00F03014"/>
    <w:rsid w:val="00F037D6"/>
    <w:rsid w:val="00F04774"/>
    <w:rsid w:val="00F04790"/>
    <w:rsid w:val="00F04C6F"/>
    <w:rsid w:val="00F05159"/>
    <w:rsid w:val="00F05DA2"/>
    <w:rsid w:val="00F0679C"/>
    <w:rsid w:val="00F06A90"/>
    <w:rsid w:val="00F077E8"/>
    <w:rsid w:val="00F10490"/>
    <w:rsid w:val="00F114D0"/>
    <w:rsid w:val="00F1259C"/>
    <w:rsid w:val="00F12ABB"/>
    <w:rsid w:val="00F1444B"/>
    <w:rsid w:val="00F14B14"/>
    <w:rsid w:val="00F15220"/>
    <w:rsid w:val="00F15CCA"/>
    <w:rsid w:val="00F1751E"/>
    <w:rsid w:val="00F206AF"/>
    <w:rsid w:val="00F2079A"/>
    <w:rsid w:val="00F20DC3"/>
    <w:rsid w:val="00F20DEA"/>
    <w:rsid w:val="00F21032"/>
    <w:rsid w:val="00F2106A"/>
    <w:rsid w:val="00F2121F"/>
    <w:rsid w:val="00F21403"/>
    <w:rsid w:val="00F21428"/>
    <w:rsid w:val="00F2142D"/>
    <w:rsid w:val="00F21476"/>
    <w:rsid w:val="00F22559"/>
    <w:rsid w:val="00F22651"/>
    <w:rsid w:val="00F22C54"/>
    <w:rsid w:val="00F23430"/>
    <w:rsid w:val="00F238A7"/>
    <w:rsid w:val="00F23E2E"/>
    <w:rsid w:val="00F240BF"/>
    <w:rsid w:val="00F24CCD"/>
    <w:rsid w:val="00F2523A"/>
    <w:rsid w:val="00F254A7"/>
    <w:rsid w:val="00F25787"/>
    <w:rsid w:val="00F26274"/>
    <w:rsid w:val="00F263E7"/>
    <w:rsid w:val="00F26417"/>
    <w:rsid w:val="00F26E58"/>
    <w:rsid w:val="00F271C3"/>
    <w:rsid w:val="00F27827"/>
    <w:rsid w:val="00F27E2D"/>
    <w:rsid w:val="00F3181C"/>
    <w:rsid w:val="00F31D47"/>
    <w:rsid w:val="00F31DE1"/>
    <w:rsid w:val="00F324C3"/>
    <w:rsid w:val="00F33005"/>
    <w:rsid w:val="00F338B0"/>
    <w:rsid w:val="00F33EBA"/>
    <w:rsid w:val="00F33F61"/>
    <w:rsid w:val="00F3400F"/>
    <w:rsid w:val="00F3404D"/>
    <w:rsid w:val="00F34B30"/>
    <w:rsid w:val="00F34CE6"/>
    <w:rsid w:val="00F34D9A"/>
    <w:rsid w:val="00F34EE9"/>
    <w:rsid w:val="00F35F96"/>
    <w:rsid w:val="00F362FC"/>
    <w:rsid w:val="00F367BB"/>
    <w:rsid w:val="00F36D3C"/>
    <w:rsid w:val="00F377CC"/>
    <w:rsid w:val="00F40050"/>
    <w:rsid w:val="00F40294"/>
    <w:rsid w:val="00F404E6"/>
    <w:rsid w:val="00F40EB5"/>
    <w:rsid w:val="00F4144E"/>
    <w:rsid w:val="00F41966"/>
    <w:rsid w:val="00F41AA7"/>
    <w:rsid w:val="00F42721"/>
    <w:rsid w:val="00F4295B"/>
    <w:rsid w:val="00F432F9"/>
    <w:rsid w:val="00F43789"/>
    <w:rsid w:val="00F437D1"/>
    <w:rsid w:val="00F443C7"/>
    <w:rsid w:val="00F44C4E"/>
    <w:rsid w:val="00F46620"/>
    <w:rsid w:val="00F471C5"/>
    <w:rsid w:val="00F4774A"/>
    <w:rsid w:val="00F507EE"/>
    <w:rsid w:val="00F509D6"/>
    <w:rsid w:val="00F50CBB"/>
    <w:rsid w:val="00F51158"/>
    <w:rsid w:val="00F52027"/>
    <w:rsid w:val="00F5225E"/>
    <w:rsid w:val="00F52441"/>
    <w:rsid w:val="00F524A1"/>
    <w:rsid w:val="00F52BBC"/>
    <w:rsid w:val="00F52CE4"/>
    <w:rsid w:val="00F5359E"/>
    <w:rsid w:val="00F53C97"/>
    <w:rsid w:val="00F53F8A"/>
    <w:rsid w:val="00F5471A"/>
    <w:rsid w:val="00F54CC9"/>
    <w:rsid w:val="00F54D7E"/>
    <w:rsid w:val="00F55BC9"/>
    <w:rsid w:val="00F55FB4"/>
    <w:rsid w:val="00F571C7"/>
    <w:rsid w:val="00F5733A"/>
    <w:rsid w:val="00F604E9"/>
    <w:rsid w:val="00F60F16"/>
    <w:rsid w:val="00F6158C"/>
    <w:rsid w:val="00F6172B"/>
    <w:rsid w:val="00F61F28"/>
    <w:rsid w:val="00F6241C"/>
    <w:rsid w:val="00F6288D"/>
    <w:rsid w:val="00F632D3"/>
    <w:rsid w:val="00F63780"/>
    <w:rsid w:val="00F63981"/>
    <w:rsid w:val="00F63F86"/>
    <w:rsid w:val="00F64012"/>
    <w:rsid w:val="00F6419E"/>
    <w:rsid w:val="00F66308"/>
    <w:rsid w:val="00F6663C"/>
    <w:rsid w:val="00F66829"/>
    <w:rsid w:val="00F66BD4"/>
    <w:rsid w:val="00F6779D"/>
    <w:rsid w:val="00F70CA6"/>
    <w:rsid w:val="00F70DEF"/>
    <w:rsid w:val="00F71247"/>
    <w:rsid w:val="00F73F07"/>
    <w:rsid w:val="00F740A1"/>
    <w:rsid w:val="00F74599"/>
    <w:rsid w:val="00F748DE"/>
    <w:rsid w:val="00F74D68"/>
    <w:rsid w:val="00F74F0F"/>
    <w:rsid w:val="00F75A95"/>
    <w:rsid w:val="00F75D46"/>
    <w:rsid w:val="00F75F7B"/>
    <w:rsid w:val="00F769CF"/>
    <w:rsid w:val="00F77166"/>
    <w:rsid w:val="00F77CA5"/>
    <w:rsid w:val="00F80236"/>
    <w:rsid w:val="00F81A16"/>
    <w:rsid w:val="00F82BAF"/>
    <w:rsid w:val="00F82D9F"/>
    <w:rsid w:val="00F831B5"/>
    <w:rsid w:val="00F83223"/>
    <w:rsid w:val="00F84316"/>
    <w:rsid w:val="00F8463C"/>
    <w:rsid w:val="00F84AE9"/>
    <w:rsid w:val="00F84DED"/>
    <w:rsid w:val="00F850CB"/>
    <w:rsid w:val="00F858CB"/>
    <w:rsid w:val="00F85B18"/>
    <w:rsid w:val="00F864DC"/>
    <w:rsid w:val="00F8678E"/>
    <w:rsid w:val="00F86F94"/>
    <w:rsid w:val="00F900DB"/>
    <w:rsid w:val="00F90FFB"/>
    <w:rsid w:val="00F912FB"/>
    <w:rsid w:val="00F91BF0"/>
    <w:rsid w:val="00F91DB8"/>
    <w:rsid w:val="00F9297D"/>
    <w:rsid w:val="00F92B54"/>
    <w:rsid w:val="00F92E54"/>
    <w:rsid w:val="00F93FDF"/>
    <w:rsid w:val="00F95064"/>
    <w:rsid w:val="00F95357"/>
    <w:rsid w:val="00F95EE8"/>
    <w:rsid w:val="00F960A8"/>
    <w:rsid w:val="00F97047"/>
    <w:rsid w:val="00F97D40"/>
    <w:rsid w:val="00F97D4E"/>
    <w:rsid w:val="00FA0479"/>
    <w:rsid w:val="00FA1DDD"/>
    <w:rsid w:val="00FA23AB"/>
    <w:rsid w:val="00FA23D7"/>
    <w:rsid w:val="00FA241F"/>
    <w:rsid w:val="00FA3804"/>
    <w:rsid w:val="00FA42F0"/>
    <w:rsid w:val="00FA43C8"/>
    <w:rsid w:val="00FA50E9"/>
    <w:rsid w:val="00FA65E8"/>
    <w:rsid w:val="00FA6734"/>
    <w:rsid w:val="00FA6B03"/>
    <w:rsid w:val="00FA78FC"/>
    <w:rsid w:val="00FA7932"/>
    <w:rsid w:val="00FB00ED"/>
    <w:rsid w:val="00FB010E"/>
    <w:rsid w:val="00FB082D"/>
    <w:rsid w:val="00FB0D8E"/>
    <w:rsid w:val="00FB0E38"/>
    <w:rsid w:val="00FB0EB2"/>
    <w:rsid w:val="00FB12AC"/>
    <w:rsid w:val="00FB1ABB"/>
    <w:rsid w:val="00FB23B1"/>
    <w:rsid w:val="00FB2EA5"/>
    <w:rsid w:val="00FB3440"/>
    <w:rsid w:val="00FB3CF1"/>
    <w:rsid w:val="00FB41FB"/>
    <w:rsid w:val="00FB5C78"/>
    <w:rsid w:val="00FB65C1"/>
    <w:rsid w:val="00FB704F"/>
    <w:rsid w:val="00FB7CF1"/>
    <w:rsid w:val="00FC1506"/>
    <w:rsid w:val="00FC33F7"/>
    <w:rsid w:val="00FC6AAF"/>
    <w:rsid w:val="00FC7973"/>
    <w:rsid w:val="00FD0157"/>
    <w:rsid w:val="00FD056D"/>
    <w:rsid w:val="00FD05EA"/>
    <w:rsid w:val="00FD0C87"/>
    <w:rsid w:val="00FD0DCA"/>
    <w:rsid w:val="00FD0ED8"/>
    <w:rsid w:val="00FD13D7"/>
    <w:rsid w:val="00FD1FFE"/>
    <w:rsid w:val="00FD20DA"/>
    <w:rsid w:val="00FD27BF"/>
    <w:rsid w:val="00FD39F9"/>
    <w:rsid w:val="00FD436B"/>
    <w:rsid w:val="00FD4A5E"/>
    <w:rsid w:val="00FD4D2F"/>
    <w:rsid w:val="00FD5067"/>
    <w:rsid w:val="00FD51F3"/>
    <w:rsid w:val="00FD5546"/>
    <w:rsid w:val="00FD5C51"/>
    <w:rsid w:val="00FD62A8"/>
    <w:rsid w:val="00FD653B"/>
    <w:rsid w:val="00FD668C"/>
    <w:rsid w:val="00FD70B4"/>
    <w:rsid w:val="00FD7FCF"/>
    <w:rsid w:val="00FE0211"/>
    <w:rsid w:val="00FE0246"/>
    <w:rsid w:val="00FE0284"/>
    <w:rsid w:val="00FE1A5A"/>
    <w:rsid w:val="00FE1CCE"/>
    <w:rsid w:val="00FE1D52"/>
    <w:rsid w:val="00FE2508"/>
    <w:rsid w:val="00FE48E4"/>
    <w:rsid w:val="00FE6229"/>
    <w:rsid w:val="00FE6346"/>
    <w:rsid w:val="00FE68F7"/>
    <w:rsid w:val="00FE7245"/>
    <w:rsid w:val="00FE73C8"/>
    <w:rsid w:val="00FE74F3"/>
    <w:rsid w:val="00FF05B3"/>
    <w:rsid w:val="00FF0832"/>
    <w:rsid w:val="00FF0D79"/>
    <w:rsid w:val="00FF28E1"/>
    <w:rsid w:val="00FF295B"/>
    <w:rsid w:val="00FF2A56"/>
    <w:rsid w:val="00FF3976"/>
    <w:rsid w:val="00FF41F3"/>
    <w:rsid w:val="00FF43BE"/>
    <w:rsid w:val="00FF49F0"/>
    <w:rsid w:val="00FF4DAF"/>
    <w:rsid w:val="00FF5185"/>
    <w:rsid w:val="00FF5C77"/>
    <w:rsid w:val="00FF61A4"/>
    <w:rsid w:val="00FF6844"/>
    <w:rsid w:val="00FF7AA3"/>
    <w:rsid w:val="00FF7CA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1AC54"/>
  <w15:docId w15:val="{294FE3EB-42D2-40A1-AEE8-1B779D26C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GB" w:eastAsia="en-US" w:bidi="ar-SA"/>
      </w:rPr>
    </w:rPrDefault>
    <w:pPrDefault>
      <w:pPr>
        <w:spacing w:after="160" w:line="312"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4401"/>
    <w:pPr>
      <w:spacing w:line="480" w:lineRule="auto"/>
    </w:pPr>
    <w:rPr>
      <w:rFonts w:ascii="Times New Roman" w:hAnsi="Times New Roman"/>
      <w:sz w:val="24"/>
    </w:rPr>
  </w:style>
  <w:style w:type="paragraph" w:styleId="Heading1">
    <w:name w:val="heading 1"/>
    <w:basedOn w:val="Normal"/>
    <w:next w:val="Normal"/>
    <w:link w:val="Heading1Char"/>
    <w:uiPriority w:val="9"/>
    <w:qFormat/>
    <w:rsid w:val="00C37B5F"/>
    <w:pPr>
      <w:keepNext/>
      <w:keepLines/>
      <w:spacing w:before="360" w:after="360" w:line="240" w:lineRule="auto"/>
      <w:outlineLvl w:val="0"/>
    </w:pPr>
    <w:rPr>
      <w:rFonts w:eastAsiaTheme="majorEastAsia" w:cstheme="majorBidi"/>
      <w:b/>
      <w:szCs w:val="36"/>
    </w:rPr>
  </w:style>
  <w:style w:type="paragraph" w:styleId="Heading2">
    <w:name w:val="heading 2"/>
    <w:basedOn w:val="Normal"/>
    <w:next w:val="Normal"/>
    <w:link w:val="Heading2Char"/>
    <w:uiPriority w:val="9"/>
    <w:qFormat/>
    <w:rsid w:val="007D7424"/>
    <w:pPr>
      <w:keepNext/>
      <w:keepLines/>
      <w:spacing w:before="320" w:after="320" w:line="240" w:lineRule="auto"/>
      <w:outlineLvl w:val="1"/>
    </w:pPr>
    <w:rPr>
      <w:rFonts w:eastAsiaTheme="majorEastAsia" w:cstheme="majorBidi"/>
      <w:i/>
      <w:szCs w:val="36"/>
    </w:rPr>
  </w:style>
  <w:style w:type="paragraph" w:styleId="Heading3">
    <w:name w:val="heading 3"/>
    <w:basedOn w:val="Normal"/>
    <w:next w:val="Normal"/>
    <w:link w:val="Heading3Char"/>
    <w:uiPriority w:val="9"/>
    <w:qFormat/>
    <w:rsid w:val="00E74AA5"/>
    <w:pPr>
      <w:keepNext/>
      <w:keepLines/>
      <w:spacing w:before="280" w:after="280" w:line="240" w:lineRule="auto"/>
      <w:outlineLvl w:val="2"/>
    </w:pPr>
    <w:rPr>
      <w:rFonts w:eastAsiaTheme="majorEastAsia" w:cstheme="majorBidi"/>
      <w:i/>
      <w:szCs w:val="28"/>
    </w:rPr>
  </w:style>
  <w:style w:type="paragraph" w:styleId="Heading4">
    <w:name w:val="heading 4"/>
    <w:basedOn w:val="Normal"/>
    <w:next w:val="Normal"/>
    <w:link w:val="Heading4Char"/>
    <w:uiPriority w:val="9"/>
    <w:qFormat/>
    <w:rsid w:val="00653A89"/>
    <w:pPr>
      <w:keepNext/>
      <w:keepLines/>
      <w:spacing w:before="240" w:after="240" w:line="240" w:lineRule="auto"/>
      <w:outlineLvl w:val="3"/>
    </w:pPr>
    <w:rPr>
      <w:rFonts w:eastAsiaTheme="majorEastAsia" w:cstheme="majorBidi"/>
      <w:i/>
      <w:iCs/>
      <w:sz w:val="32"/>
      <w:szCs w:val="28"/>
    </w:rPr>
  </w:style>
  <w:style w:type="paragraph" w:styleId="Heading5">
    <w:name w:val="heading 5"/>
    <w:basedOn w:val="Normal"/>
    <w:next w:val="Normal"/>
    <w:link w:val="Heading5Char"/>
    <w:uiPriority w:val="9"/>
    <w:qFormat/>
    <w:rsid w:val="00653A89"/>
    <w:pPr>
      <w:keepNext/>
      <w:keepLines/>
      <w:spacing w:before="200" w:after="200" w:line="240" w:lineRule="auto"/>
      <w:outlineLvl w:val="4"/>
    </w:pPr>
    <w:rPr>
      <w:rFonts w:eastAsiaTheme="majorEastAsia" w:cstheme="majorBidi"/>
      <w:sz w:val="28"/>
      <w:szCs w:val="24"/>
    </w:rPr>
  </w:style>
  <w:style w:type="paragraph" w:styleId="Heading6">
    <w:name w:val="heading 6"/>
    <w:basedOn w:val="Normal"/>
    <w:next w:val="Normal"/>
    <w:link w:val="Heading6Char"/>
    <w:uiPriority w:val="9"/>
    <w:qFormat/>
    <w:rsid w:val="00653A89"/>
    <w:pPr>
      <w:keepNext/>
      <w:keepLines/>
      <w:spacing w:before="200" w:after="200" w:line="240" w:lineRule="auto"/>
      <w:outlineLvl w:val="5"/>
    </w:pPr>
    <w:rPr>
      <w:rFonts w:eastAsiaTheme="majorEastAsia" w:cstheme="majorBidi"/>
      <w:i/>
      <w:iCs/>
      <w:sz w:val="28"/>
      <w:szCs w:val="24"/>
    </w:rPr>
  </w:style>
  <w:style w:type="paragraph" w:styleId="Heading7">
    <w:name w:val="heading 7"/>
    <w:basedOn w:val="Normal"/>
    <w:next w:val="Normal"/>
    <w:link w:val="Heading7Char"/>
    <w:uiPriority w:val="9"/>
    <w:qFormat/>
    <w:rsid w:val="00653A89"/>
    <w:pPr>
      <w:keepNext/>
      <w:keepLines/>
      <w:spacing w:before="160" w:line="240" w:lineRule="auto"/>
      <w:outlineLvl w:val="6"/>
    </w:pPr>
    <w:rPr>
      <w:rFonts w:eastAsiaTheme="majorEastAsia" w:cstheme="majorBidi"/>
      <w:color w:val="595959" w:themeColor="text1" w:themeTint="A6"/>
      <w:szCs w:val="24"/>
    </w:rPr>
  </w:style>
  <w:style w:type="paragraph" w:styleId="Heading8">
    <w:name w:val="heading 8"/>
    <w:basedOn w:val="Heading7"/>
    <w:next w:val="Normal"/>
    <w:link w:val="Heading8Char"/>
    <w:uiPriority w:val="9"/>
    <w:qFormat/>
    <w:rsid w:val="00CF2F9A"/>
    <w:pPr>
      <w:outlineLvl w:val="7"/>
    </w:pPr>
    <w:rPr>
      <w:i/>
    </w:rPr>
  </w:style>
  <w:style w:type="paragraph" w:styleId="Heading9">
    <w:name w:val="heading 9"/>
    <w:basedOn w:val="Heading8"/>
    <w:next w:val="Normal"/>
    <w:link w:val="Heading9Char"/>
    <w:uiPriority w:val="9"/>
    <w:qFormat/>
    <w:rsid w:val="00CF2F9A"/>
    <w:pPr>
      <w:outlineLvl w:val="8"/>
    </w:pPr>
    <w:rPr>
      <w:i w:val="0"/>
      <w:iCs/>
      <w: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pPr>
      <w:spacing w:before="180" w:after="180"/>
    </w:pPr>
  </w:style>
  <w:style w:type="paragraph" w:customStyle="1" w:styleId="FirstParagraph">
    <w:name w:val="First Paragraph"/>
    <w:basedOn w:val="BodyText"/>
    <w:next w:val="BodyText"/>
    <w:unhideWhenUsed/>
  </w:style>
  <w:style w:type="paragraph" w:customStyle="1" w:styleId="Compact">
    <w:name w:val="Compact"/>
    <w:basedOn w:val="BodyText"/>
    <w:unhideWhenUsed/>
    <w:pPr>
      <w:spacing w:before="36" w:after="36"/>
    </w:pPr>
  </w:style>
  <w:style w:type="paragraph" w:styleId="Title">
    <w:name w:val="Title"/>
    <w:basedOn w:val="Normal"/>
    <w:next w:val="Normal"/>
    <w:link w:val="TitleChar"/>
    <w:uiPriority w:val="10"/>
    <w:qFormat/>
    <w:rsid w:val="00ED6964"/>
    <w:pPr>
      <w:spacing w:after="0" w:line="240" w:lineRule="auto"/>
      <w:contextualSpacing/>
    </w:pPr>
    <w:rPr>
      <w:rFonts w:eastAsiaTheme="majorEastAsia" w:cstheme="majorBidi"/>
      <w:spacing w:val="40"/>
      <w:sz w:val="76"/>
      <w:szCs w:val="76"/>
    </w:rPr>
  </w:style>
  <w:style w:type="paragraph" w:styleId="Subtitle">
    <w:name w:val="Subtitle"/>
    <w:basedOn w:val="Normal"/>
    <w:next w:val="Normal"/>
    <w:link w:val="SubtitleChar"/>
    <w:uiPriority w:val="11"/>
    <w:qFormat/>
    <w:rsid w:val="00BB624E"/>
    <w:pPr>
      <w:numPr>
        <w:ilvl w:val="1"/>
      </w:numPr>
      <w:spacing w:after="240"/>
    </w:pPr>
    <w:rPr>
      <w:color w:val="000000" w:themeColor="text1"/>
      <w:sz w:val="36"/>
      <w:szCs w:val="24"/>
    </w:rPr>
  </w:style>
  <w:style w:type="paragraph" w:customStyle="1" w:styleId="Author">
    <w:name w:val="Author"/>
    <w:next w:val="BodyText"/>
    <w:unhideWhenUsed/>
    <w:pPr>
      <w:keepNext/>
      <w:keepLines/>
      <w:jc w:val="center"/>
    </w:pPr>
  </w:style>
  <w:style w:type="paragraph" w:styleId="Date">
    <w:name w:val="Date"/>
    <w:next w:val="BodyText"/>
    <w:unhideWhenUsed/>
    <w:pPr>
      <w:keepNext/>
      <w:keepLines/>
      <w:jc w:val="center"/>
    </w:pPr>
  </w:style>
  <w:style w:type="paragraph" w:customStyle="1" w:styleId="Abstract">
    <w:name w:val="Abstract"/>
    <w:basedOn w:val="Normal"/>
    <w:next w:val="BodyText"/>
    <w:unhideWhenUsed/>
    <w:pPr>
      <w:keepNext/>
      <w:keepLines/>
      <w:spacing w:before="300" w:after="300"/>
    </w:pPr>
    <w:rPr>
      <w:sz w:val="20"/>
      <w:szCs w:val="20"/>
    </w:rPr>
  </w:style>
  <w:style w:type="paragraph" w:styleId="Bibliography">
    <w:name w:val="Bibliography"/>
    <w:basedOn w:val="Normal"/>
    <w:unhideWhenUsed/>
  </w:style>
  <w:style w:type="paragraph" w:styleId="BlockText">
    <w:name w:val="Block Text"/>
    <w:basedOn w:val="BodyText"/>
    <w:next w:val="BodyText"/>
    <w:uiPriority w:val="9"/>
    <w:unhideWhenUsed/>
    <w:pPr>
      <w:spacing w:before="100" w:after="100"/>
    </w:pPr>
    <w:rPr>
      <w:rFonts w:asciiTheme="majorHAnsi" w:eastAsiaTheme="majorEastAsia" w:hAnsiTheme="majorHAnsi" w:cstheme="majorBidi"/>
      <w:bCs/>
      <w:sz w:val="20"/>
      <w:szCs w:val="20"/>
    </w:rPr>
  </w:style>
  <w:style w:type="paragraph" w:styleId="FootnoteText">
    <w:name w:val="footnote text"/>
    <w:basedOn w:val="Normal"/>
    <w:link w:val="FootnoteTextChar"/>
    <w:uiPriority w:val="9"/>
    <w:rsid w:val="00BB217C"/>
    <w:rPr>
      <w:sz w:val="20"/>
    </w:rPr>
  </w:style>
  <w:style w:type="paragraph" w:customStyle="1" w:styleId="DefinitionTerm">
    <w:name w:val="Definition Term"/>
    <w:basedOn w:val="Normal"/>
    <w:next w:val="Definition"/>
    <w:unhideWhenUsed/>
    <w:pPr>
      <w:keepNext/>
      <w:keepLines/>
      <w:spacing w:after="0"/>
    </w:pPr>
    <w:rPr>
      <w:b/>
    </w:rPr>
  </w:style>
  <w:style w:type="paragraph" w:customStyle="1" w:styleId="Definition">
    <w:name w:val="Definition"/>
    <w:basedOn w:val="Normal"/>
    <w:unhideWhenUsed/>
  </w:style>
  <w:style w:type="paragraph" w:styleId="Caption">
    <w:name w:val="caption"/>
    <w:basedOn w:val="Normal"/>
    <w:next w:val="Normal"/>
    <w:link w:val="CaptionChar"/>
    <w:uiPriority w:val="35"/>
    <w:qFormat/>
    <w:rsid w:val="0060188A"/>
    <w:pPr>
      <w:spacing w:before="120" w:after="360" w:line="240" w:lineRule="auto"/>
    </w:pPr>
    <w:rPr>
      <w:bCs/>
      <w:sz w:val="20"/>
      <w:szCs w:val="16"/>
    </w:rPr>
  </w:style>
  <w:style w:type="paragraph" w:customStyle="1" w:styleId="TableCaption">
    <w:name w:val="Table Caption"/>
    <w:basedOn w:val="Caption"/>
    <w:unhideWhenUsed/>
    <w:pPr>
      <w:keepNext/>
    </w:pPr>
  </w:style>
  <w:style w:type="paragraph" w:customStyle="1" w:styleId="ImageCaption">
    <w:name w:val="Image Caption"/>
    <w:basedOn w:val="Caption"/>
    <w:unhideWhenUsed/>
  </w:style>
  <w:style w:type="paragraph" w:customStyle="1" w:styleId="Figure">
    <w:name w:val="Figure"/>
    <w:basedOn w:val="Normal"/>
    <w:unhideWhenUsed/>
  </w:style>
  <w:style w:type="paragraph" w:customStyle="1" w:styleId="FigurewithCaption">
    <w:name w:val="Figure with Caption"/>
    <w:basedOn w:val="Figure"/>
    <w:unhideWhenUsed/>
    <w:pPr>
      <w:keepNext/>
    </w:pPr>
  </w:style>
  <w:style w:type="character" w:customStyle="1" w:styleId="CaptionChar">
    <w:name w:val="Caption Char"/>
    <w:basedOn w:val="DefaultParagraphFont"/>
    <w:link w:val="Caption"/>
    <w:uiPriority w:val="35"/>
    <w:rsid w:val="0075418A"/>
    <w:rPr>
      <w:rFonts w:ascii="Times New Roman" w:hAnsi="Times New Roman"/>
      <w:bCs/>
      <w:sz w:val="20"/>
      <w:szCs w:val="16"/>
    </w:rPr>
  </w:style>
  <w:style w:type="character" w:customStyle="1" w:styleId="VerbatimChar">
    <w:name w:val="Verbatim Char"/>
    <w:basedOn w:val="CaptionChar"/>
    <w:link w:val="SourceCode"/>
    <w:rsid w:val="0075418A"/>
    <w:rPr>
      <w:rFonts w:ascii="Times New Roman" w:hAnsi="Times New Roman"/>
      <w:bCs w:val="0"/>
      <w:sz w:val="24"/>
      <w:szCs w:val="16"/>
    </w:rPr>
  </w:style>
  <w:style w:type="character" w:styleId="FootnoteReference">
    <w:name w:val="footnote reference"/>
    <w:basedOn w:val="CaptionChar"/>
    <w:unhideWhenUsed/>
    <w:rPr>
      <w:rFonts w:ascii="Times New Roman" w:hAnsi="Times New Roman"/>
      <w:b w:val="0"/>
      <w:bCs/>
      <w:color w:val="C0504D" w:themeColor="accent2"/>
      <w:spacing w:val="10"/>
      <w:sz w:val="16"/>
      <w:szCs w:val="16"/>
      <w:vertAlign w:val="superscript"/>
    </w:rPr>
  </w:style>
  <w:style w:type="character" w:styleId="Hyperlink">
    <w:name w:val="Hyperlink"/>
    <w:basedOn w:val="CaptionChar"/>
    <w:uiPriority w:val="99"/>
    <w:unhideWhenUsed/>
    <w:rPr>
      <w:rFonts w:ascii="Times New Roman" w:hAnsi="Times New Roman"/>
      <w:b w:val="0"/>
      <w:bCs/>
      <w:color w:val="4F81BD" w:themeColor="accent1"/>
      <w:spacing w:val="10"/>
      <w:sz w:val="16"/>
      <w:szCs w:val="16"/>
    </w:rPr>
  </w:style>
  <w:style w:type="paragraph" w:styleId="TOCHeading">
    <w:name w:val="TOC Heading"/>
    <w:basedOn w:val="Heading1"/>
    <w:next w:val="Normal"/>
    <w:uiPriority w:val="39"/>
    <w:unhideWhenUsed/>
    <w:qFormat/>
    <w:rsid w:val="00D21660"/>
    <w:pPr>
      <w:outlineLvl w:val="9"/>
    </w:pPr>
  </w:style>
  <w:style w:type="paragraph" w:customStyle="1" w:styleId="SourceCode">
    <w:name w:val="Source Code"/>
    <w:basedOn w:val="Normal"/>
    <w:link w:val="VerbatimChar"/>
    <w:unhideWhenUsed/>
    <w:pPr>
      <w:wordWrap w:val="0"/>
    </w:pPr>
  </w:style>
  <w:style w:type="character" w:customStyle="1" w:styleId="KeywordTok">
    <w:name w:val="KeywordTok"/>
    <w:basedOn w:val="VerbatimChar"/>
    <w:unhideWhenUsed/>
    <w:rPr>
      <w:rFonts w:ascii="Consolas" w:hAnsi="Consolas"/>
      <w:b/>
      <w:bCs w:val="0"/>
      <w:color w:val="007020"/>
      <w:spacing w:val="10"/>
      <w:sz w:val="22"/>
      <w:szCs w:val="16"/>
    </w:rPr>
  </w:style>
  <w:style w:type="character" w:customStyle="1" w:styleId="DataTypeTok">
    <w:name w:val="DataTypeTok"/>
    <w:basedOn w:val="VerbatimChar"/>
    <w:unhideWhenUsed/>
    <w:rPr>
      <w:rFonts w:ascii="Consolas" w:hAnsi="Consolas"/>
      <w:b w:val="0"/>
      <w:bCs w:val="0"/>
      <w:color w:val="902000"/>
      <w:spacing w:val="10"/>
      <w:sz w:val="22"/>
      <w:szCs w:val="16"/>
    </w:rPr>
  </w:style>
  <w:style w:type="character" w:customStyle="1" w:styleId="DecValTok">
    <w:name w:val="DecValTok"/>
    <w:basedOn w:val="VerbatimChar"/>
    <w:unhideWhenUsed/>
    <w:rPr>
      <w:rFonts w:ascii="Consolas" w:hAnsi="Consolas"/>
      <w:b w:val="0"/>
      <w:bCs w:val="0"/>
      <w:color w:val="40A070"/>
      <w:spacing w:val="10"/>
      <w:sz w:val="22"/>
      <w:szCs w:val="16"/>
    </w:rPr>
  </w:style>
  <w:style w:type="character" w:customStyle="1" w:styleId="BaseNTok">
    <w:name w:val="BaseNTok"/>
    <w:basedOn w:val="VerbatimChar"/>
    <w:unhideWhenUsed/>
    <w:rPr>
      <w:rFonts w:ascii="Consolas" w:hAnsi="Consolas"/>
      <w:b w:val="0"/>
      <w:bCs w:val="0"/>
      <w:color w:val="40A070"/>
      <w:spacing w:val="10"/>
      <w:sz w:val="22"/>
      <w:szCs w:val="16"/>
    </w:rPr>
  </w:style>
  <w:style w:type="character" w:customStyle="1" w:styleId="FloatTok">
    <w:name w:val="FloatTok"/>
    <w:basedOn w:val="VerbatimChar"/>
    <w:unhideWhenUsed/>
    <w:rPr>
      <w:rFonts w:ascii="Consolas" w:hAnsi="Consolas"/>
      <w:b w:val="0"/>
      <w:bCs w:val="0"/>
      <w:color w:val="40A070"/>
      <w:spacing w:val="10"/>
      <w:sz w:val="22"/>
      <w:szCs w:val="16"/>
    </w:rPr>
  </w:style>
  <w:style w:type="character" w:customStyle="1" w:styleId="ConstantTok">
    <w:name w:val="ConstantTok"/>
    <w:basedOn w:val="VerbatimChar"/>
    <w:unhideWhenUsed/>
    <w:rPr>
      <w:rFonts w:ascii="Consolas" w:hAnsi="Consolas"/>
      <w:b w:val="0"/>
      <w:bCs w:val="0"/>
      <w:color w:val="880000"/>
      <w:spacing w:val="10"/>
      <w:sz w:val="22"/>
      <w:szCs w:val="16"/>
    </w:rPr>
  </w:style>
  <w:style w:type="character" w:customStyle="1" w:styleId="CharTok">
    <w:name w:val="CharTok"/>
    <w:basedOn w:val="VerbatimChar"/>
    <w:unhideWhenUsed/>
    <w:rPr>
      <w:rFonts w:ascii="Consolas" w:hAnsi="Consolas"/>
      <w:b w:val="0"/>
      <w:bCs w:val="0"/>
      <w:color w:val="4070A0"/>
      <w:spacing w:val="10"/>
      <w:sz w:val="22"/>
      <w:szCs w:val="16"/>
    </w:rPr>
  </w:style>
  <w:style w:type="character" w:customStyle="1" w:styleId="SpecialCharTok">
    <w:name w:val="SpecialCharTok"/>
    <w:basedOn w:val="VerbatimChar"/>
    <w:unhideWhenUsed/>
    <w:rPr>
      <w:rFonts w:ascii="Consolas" w:hAnsi="Consolas"/>
      <w:b w:val="0"/>
      <w:bCs w:val="0"/>
      <w:color w:val="4070A0"/>
      <w:spacing w:val="10"/>
      <w:sz w:val="22"/>
      <w:szCs w:val="16"/>
    </w:rPr>
  </w:style>
  <w:style w:type="character" w:customStyle="1" w:styleId="StringTok">
    <w:name w:val="StringTok"/>
    <w:basedOn w:val="VerbatimChar"/>
    <w:unhideWhenUsed/>
    <w:rPr>
      <w:rFonts w:ascii="Consolas" w:hAnsi="Consolas"/>
      <w:b w:val="0"/>
      <w:bCs w:val="0"/>
      <w:color w:val="4070A0"/>
      <w:spacing w:val="10"/>
      <w:sz w:val="22"/>
      <w:szCs w:val="16"/>
    </w:rPr>
  </w:style>
  <w:style w:type="character" w:customStyle="1" w:styleId="VerbatimStringTok">
    <w:name w:val="VerbatimStringTok"/>
    <w:basedOn w:val="VerbatimChar"/>
    <w:unhideWhenUsed/>
    <w:rPr>
      <w:rFonts w:ascii="Consolas" w:hAnsi="Consolas"/>
      <w:b w:val="0"/>
      <w:bCs w:val="0"/>
      <w:color w:val="4070A0"/>
      <w:spacing w:val="10"/>
      <w:sz w:val="22"/>
      <w:szCs w:val="16"/>
    </w:rPr>
  </w:style>
  <w:style w:type="character" w:customStyle="1" w:styleId="SpecialStringTok">
    <w:name w:val="SpecialStringTok"/>
    <w:basedOn w:val="VerbatimChar"/>
    <w:unhideWhenUsed/>
    <w:rPr>
      <w:rFonts w:ascii="Consolas" w:hAnsi="Consolas"/>
      <w:b w:val="0"/>
      <w:bCs w:val="0"/>
      <w:color w:val="BB6688"/>
      <w:spacing w:val="10"/>
      <w:sz w:val="22"/>
      <w:szCs w:val="16"/>
    </w:rPr>
  </w:style>
  <w:style w:type="character" w:customStyle="1" w:styleId="ImportTok">
    <w:name w:val="ImportTok"/>
    <w:basedOn w:val="VerbatimChar"/>
    <w:unhideWhenUsed/>
    <w:rPr>
      <w:rFonts w:ascii="Consolas" w:hAnsi="Consolas"/>
      <w:b w:val="0"/>
      <w:bCs w:val="0"/>
      <w:color w:val="C0504D" w:themeColor="accent2"/>
      <w:spacing w:val="10"/>
      <w:sz w:val="22"/>
      <w:szCs w:val="16"/>
    </w:rPr>
  </w:style>
  <w:style w:type="character" w:customStyle="1" w:styleId="CommentTok">
    <w:name w:val="CommentTok"/>
    <w:basedOn w:val="VerbatimChar"/>
    <w:unhideWhenUsed/>
    <w:rPr>
      <w:rFonts w:ascii="Consolas" w:hAnsi="Consolas"/>
      <w:b w:val="0"/>
      <w:bCs w:val="0"/>
      <w:i/>
      <w:color w:val="60A0B0"/>
      <w:spacing w:val="10"/>
      <w:sz w:val="22"/>
      <w:szCs w:val="16"/>
    </w:rPr>
  </w:style>
  <w:style w:type="character" w:customStyle="1" w:styleId="DocumentationTok">
    <w:name w:val="DocumentationTok"/>
    <w:basedOn w:val="VerbatimChar"/>
    <w:unhideWhenUsed/>
    <w:rPr>
      <w:rFonts w:ascii="Consolas" w:hAnsi="Consolas"/>
      <w:b w:val="0"/>
      <w:bCs w:val="0"/>
      <w:i/>
      <w:color w:val="BA2121"/>
      <w:spacing w:val="10"/>
      <w:sz w:val="22"/>
      <w:szCs w:val="16"/>
    </w:rPr>
  </w:style>
  <w:style w:type="character" w:customStyle="1" w:styleId="AnnotationTok">
    <w:name w:val="AnnotationTok"/>
    <w:basedOn w:val="VerbatimChar"/>
    <w:unhideWhenUsed/>
    <w:rPr>
      <w:rFonts w:ascii="Consolas" w:hAnsi="Consolas"/>
      <w:b/>
      <w:bCs w:val="0"/>
      <w:i/>
      <w:color w:val="60A0B0"/>
      <w:spacing w:val="10"/>
      <w:sz w:val="22"/>
      <w:szCs w:val="16"/>
    </w:rPr>
  </w:style>
  <w:style w:type="character" w:customStyle="1" w:styleId="CommentVarTok">
    <w:name w:val="CommentVarTok"/>
    <w:basedOn w:val="VerbatimChar"/>
    <w:unhideWhenUsed/>
    <w:rPr>
      <w:rFonts w:ascii="Consolas" w:hAnsi="Consolas"/>
      <w:b/>
      <w:bCs w:val="0"/>
      <w:i/>
      <w:color w:val="60A0B0"/>
      <w:spacing w:val="10"/>
      <w:sz w:val="22"/>
      <w:szCs w:val="16"/>
    </w:rPr>
  </w:style>
  <w:style w:type="character" w:customStyle="1" w:styleId="OtherTok">
    <w:name w:val="OtherTok"/>
    <w:basedOn w:val="VerbatimChar"/>
    <w:unhideWhenUsed/>
    <w:rPr>
      <w:rFonts w:ascii="Consolas" w:hAnsi="Consolas"/>
      <w:b w:val="0"/>
      <w:bCs w:val="0"/>
      <w:color w:val="007020"/>
      <w:spacing w:val="10"/>
      <w:sz w:val="22"/>
      <w:szCs w:val="16"/>
    </w:rPr>
  </w:style>
  <w:style w:type="character" w:customStyle="1" w:styleId="FunctionTok">
    <w:name w:val="FunctionTok"/>
    <w:basedOn w:val="VerbatimChar"/>
    <w:unhideWhenUsed/>
    <w:rPr>
      <w:rFonts w:ascii="Consolas" w:hAnsi="Consolas"/>
      <w:b w:val="0"/>
      <w:bCs w:val="0"/>
      <w:color w:val="06287E"/>
      <w:spacing w:val="10"/>
      <w:sz w:val="22"/>
      <w:szCs w:val="16"/>
    </w:rPr>
  </w:style>
  <w:style w:type="character" w:customStyle="1" w:styleId="VariableTok">
    <w:name w:val="VariableTok"/>
    <w:basedOn w:val="VerbatimChar"/>
    <w:unhideWhenUsed/>
    <w:rPr>
      <w:rFonts w:ascii="Consolas" w:hAnsi="Consolas"/>
      <w:b w:val="0"/>
      <w:bCs w:val="0"/>
      <w:color w:val="19177C"/>
      <w:spacing w:val="10"/>
      <w:sz w:val="22"/>
      <w:szCs w:val="16"/>
    </w:rPr>
  </w:style>
  <w:style w:type="character" w:customStyle="1" w:styleId="ControlFlowTok">
    <w:name w:val="ControlFlowTok"/>
    <w:basedOn w:val="VerbatimChar"/>
    <w:unhideWhenUsed/>
    <w:rPr>
      <w:rFonts w:ascii="Consolas" w:hAnsi="Consolas"/>
      <w:b/>
      <w:bCs w:val="0"/>
      <w:color w:val="007020"/>
      <w:spacing w:val="10"/>
      <w:sz w:val="22"/>
      <w:szCs w:val="16"/>
    </w:rPr>
  </w:style>
  <w:style w:type="character" w:customStyle="1" w:styleId="OperatorTok">
    <w:name w:val="OperatorTok"/>
    <w:basedOn w:val="VerbatimChar"/>
    <w:unhideWhenUsed/>
    <w:rPr>
      <w:rFonts w:ascii="Consolas" w:hAnsi="Consolas"/>
      <w:b w:val="0"/>
      <w:bCs w:val="0"/>
      <w:color w:val="666666"/>
      <w:spacing w:val="10"/>
      <w:sz w:val="22"/>
      <w:szCs w:val="16"/>
    </w:rPr>
  </w:style>
  <w:style w:type="character" w:customStyle="1" w:styleId="BuiltInTok">
    <w:name w:val="BuiltInTok"/>
    <w:basedOn w:val="VerbatimChar"/>
    <w:unhideWhenUsed/>
    <w:rPr>
      <w:rFonts w:ascii="Consolas" w:hAnsi="Consolas"/>
      <w:b w:val="0"/>
      <w:bCs w:val="0"/>
      <w:color w:val="C0504D" w:themeColor="accent2"/>
      <w:spacing w:val="10"/>
      <w:sz w:val="22"/>
      <w:szCs w:val="16"/>
    </w:rPr>
  </w:style>
  <w:style w:type="character" w:customStyle="1" w:styleId="ExtensionTok">
    <w:name w:val="ExtensionTok"/>
    <w:basedOn w:val="VerbatimChar"/>
    <w:unhideWhenUsed/>
    <w:rPr>
      <w:rFonts w:ascii="Consolas" w:hAnsi="Consolas"/>
      <w:b w:val="0"/>
      <w:bCs w:val="0"/>
      <w:color w:val="C0504D" w:themeColor="accent2"/>
      <w:spacing w:val="10"/>
      <w:sz w:val="22"/>
      <w:szCs w:val="16"/>
    </w:rPr>
  </w:style>
  <w:style w:type="character" w:customStyle="1" w:styleId="PreprocessorTok">
    <w:name w:val="PreprocessorTok"/>
    <w:basedOn w:val="VerbatimChar"/>
    <w:unhideWhenUsed/>
    <w:rPr>
      <w:rFonts w:ascii="Consolas" w:hAnsi="Consolas"/>
      <w:b w:val="0"/>
      <w:bCs w:val="0"/>
      <w:color w:val="BC7A00"/>
      <w:spacing w:val="10"/>
      <w:sz w:val="22"/>
      <w:szCs w:val="16"/>
    </w:rPr>
  </w:style>
  <w:style w:type="character" w:customStyle="1" w:styleId="AttributeTok">
    <w:name w:val="AttributeTok"/>
    <w:basedOn w:val="VerbatimChar"/>
    <w:unhideWhenUsed/>
    <w:rPr>
      <w:rFonts w:ascii="Consolas" w:hAnsi="Consolas"/>
      <w:b w:val="0"/>
      <w:bCs w:val="0"/>
      <w:color w:val="7D9029"/>
      <w:spacing w:val="10"/>
      <w:sz w:val="22"/>
      <w:szCs w:val="16"/>
    </w:rPr>
  </w:style>
  <w:style w:type="character" w:customStyle="1" w:styleId="RegionMarkerTok">
    <w:name w:val="RegionMarkerTok"/>
    <w:basedOn w:val="VerbatimChar"/>
    <w:unhideWhenUsed/>
    <w:rPr>
      <w:rFonts w:ascii="Consolas" w:hAnsi="Consolas"/>
      <w:b w:val="0"/>
      <w:bCs w:val="0"/>
      <w:color w:val="C0504D" w:themeColor="accent2"/>
      <w:spacing w:val="10"/>
      <w:sz w:val="22"/>
      <w:szCs w:val="16"/>
    </w:rPr>
  </w:style>
  <w:style w:type="character" w:customStyle="1" w:styleId="InformationTok">
    <w:name w:val="InformationTok"/>
    <w:basedOn w:val="VerbatimChar"/>
    <w:unhideWhenUsed/>
    <w:rPr>
      <w:rFonts w:ascii="Consolas" w:hAnsi="Consolas"/>
      <w:b/>
      <w:bCs w:val="0"/>
      <w:i/>
      <w:color w:val="60A0B0"/>
      <w:spacing w:val="10"/>
      <w:sz w:val="22"/>
      <w:szCs w:val="16"/>
    </w:rPr>
  </w:style>
  <w:style w:type="character" w:customStyle="1" w:styleId="WarningTok">
    <w:name w:val="WarningTok"/>
    <w:basedOn w:val="VerbatimChar"/>
    <w:unhideWhenUsed/>
    <w:rPr>
      <w:rFonts w:ascii="Consolas" w:hAnsi="Consolas"/>
      <w:b/>
      <w:bCs w:val="0"/>
      <w:i/>
      <w:color w:val="60A0B0"/>
      <w:spacing w:val="10"/>
      <w:sz w:val="22"/>
      <w:szCs w:val="16"/>
    </w:rPr>
  </w:style>
  <w:style w:type="character" w:customStyle="1" w:styleId="AlertTok">
    <w:name w:val="AlertTok"/>
    <w:basedOn w:val="VerbatimChar"/>
    <w:unhideWhenUsed/>
    <w:rPr>
      <w:rFonts w:ascii="Consolas" w:hAnsi="Consolas"/>
      <w:b/>
      <w:bCs w:val="0"/>
      <w:color w:val="FF0000"/>
      <w:spacing w:val="10"/>
      <w:sz w:val="22"/>
      <w:szCs w:val="16"/>
    </w:rPr>
  </w:style>
  <w:style w:type="character" w:customStyle="1" w:styleId="ErrorTok">
    <w:name w:val="ErrorTok"/>
    <w:basedOn w:val="VerbatimChar"/>
    <w:unhideWhenUsed/>
    <w:rPr>
      <w:rFonts w:ascii="Consolas" w:hAnsi="Consolas"/>
      <w:b/>
      <w:bCs w:val="0"/>
      <w:color w:val="FF0000"/>
      <w:spacing w:val="10"/>
      <w:sz w:val="22"/>
      <w:szCs w:val="16"/>
    </w:rPr>
  </w:style>
  <w:style w:type="character" w:customStyle="1" w:styleId="NormalTok">
    <w:name w:val="NormalTok"/>
    <w:basedOn w:val="VerbatimChar"/>
    <w:unhideWhenUsed/>
    <w:rPr>
      <w:rFonts w:ascii="Consolas" w:hAnsi="Consolas"/>
      <w:b w:val="0"/>
      <w:bCs w:val="0"/>
      <w:color w:val="C0504D" w:themeColor="accent2"/>
      <w:spacing w:val="10"/>
      <w:sz w:val="22"/>
      <w:szCs w:val="16"/>
    </w:rPr>
  </w:style>
  <w:style w:type="character" w:styleId="CommentReference">
    <w:name w:val="annotation reference"/>
    <w:basedOn w:val="DefaultParagraphFont"/>
    <w:semiHidden/>
    <w:unhideWhenUsed/>
    <w:rsid w:val="008656ED"/>
    <w:rPr>
      <w:sz w:val="16"/>
      <w:szCs w:val="16"/>
    </w:rPr>
  </w:style>
  <w:style w:type="paragraph" w:styleId="CommentText">
    <w:name w:val="annotation text"/>
    <w:basedOn w:val="Normal"/>
    <w:link w:val="CommentTextChar"/>
    <w:semiHidden/>
    <w:unhideWhenUsed/>
    <w:rsid w:val="008656ED"/>
    <w:rPr>
      <w:sz w:val="20"/>
      <w:szCs w:val="20"/>
    </w:rPr>
  </w:style>
  <w:style w:type="character" w:customStyle="1" w:styleId="CommentTextChar">
    <w:name w:val="Comment Text Char"/>
    <w:basedOn w:val="DefaultParagraphFont"/>
    <w:link w:val="CommentText"/>
    <w:semiHidden/>
    <w:rsid w:val="008656ED"/>
    <w:rPr>
      <w:sz w:val="20"/>
      <w:szCs w:val="20"/>
    </w:rPr>
  </w:style>
  <w:style w:type="paragraph" w:styleId="CommentSubject">
    <w:name w:val="annotation subject"/>
    <w:basedOn w:val="CommentText"/>
    <w:next w:val="CommentText"/>
    <w:link w:val="CommentSubjectChar"/>
    <w:semiHidden/>
    <w:unhideWhenUsed/>
    <w:rsid w:val="008656ED"/>
    <w:rPr>
      <w:b/>
      <w:bCs/>
    </w:rPr>
  </w:style>
  <w:style w:type="character" w:customStyle="1" w:styleId="CommentSubjectChar">
    <w:name w:val="Comment Subject Char"/>
    <w:basedOn w:val="CommentTextChar"/>
    <w:link w:val="CommentSubject"/>
    <w:semiHidden/>
    <w:rsid w:val="008656ED"/>
    <w:rPr>
      <w:b/>
      <w:bCs/>
      <w:sz w:val="20"/>
      <w:szCs w:val="20"/>
    </w:rPr>
  </w:style>
  <w:style w:type="paragraph" w:styleId="BalloonText">
    <w:name w:val="Balloon Text"/>
    <w:basedOn w:val="Normal"/>
    <w:link w:val="BalloonTextChar"/>
    <w:semiHidden/>
    <w:unhideWhenUsed/>
    <w:rsid w:val="008656ED"/>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5418A"/>
    <w:rPr>
      <w:rFonts w:ascii="Segoe UI" w:hAnsi="Segoe UI" w:cs="Segoe UI"/>
      <w:sz w:val="18"/>
      <w:szCs w:val="18"/>
    </w:rPr>
  </w:style>
  <w:style w:type="paragraph" w:customStyle="1" w:styleId="EndNoteBibliographyTitle">
    <w:name w:val="EndNote Bibliography Title"/>
    <w:basedOn w:val="Normal"/>
    <w:link w:val="EndNoteBibliographyTitleChar"/>
    <w:unhideWhenUsed/>
    <w:rsid w:val="009747FE"/>
    <w:pPr>
      <w:spacing w:after="0"/>
      <w:jc w:val="center"/>
    </w:pPr>
    <w:rPr>
      <w:rFonts w:ascii="Cambria" w:hAnsi="Cambria"/>
      <w:noProof/>
    </w:rPr>
  </w:style>
  <w:style w:type="character" w:customStyle="1" w:styleId="BodyTextChar">
    <w:name w:val="Body Text Char"/>
    <w:basedOn w:val="DefaultParagraphFont"/>
    <w:link w:val="BodyText"/>
    <w:rsid w:val="0075418A"/>
    <w:rPr>
      <w:rFonts w:ascii="Times New Roman" w:hAnsi="Times New Roman"/>
      <w:sz w:val="24"/>
    </w:rPr>
  </w:style>
  <w:style w:type="character" w:customStyle="1" w:styleId="EndNoteBibliographyTitleChar">
    <w:name w:val="EndNote Bibliography Title Char"/>
    <w:basedOn w:val="BodyTextChar"/>
    <w:link w:val="EndNoteBibliographyTitle"/>
    <w:rsid w:val="0075418A"/>
    <w:rPr>
      <w:rFonts w:ascii="Cambria" w:hAnsi="Cambria"/>
      <w:noProof/>
      <w:sz w:val="24"/>
    </w:rPr>
  </w:style>
  <w:style w:type="paragraph" w:customStyle="1" w:styleId="EndNoteBibliography">
    <w:name w:val="EndNote Bibliography"/>
    <w:basedOn w:val="Normal"/>
    <w:link w:val="EndNoteBibliographyChar"/>
    <w:unhideWhenUsed/>
    <w:rsid w:val="009747FE"/>
    <w:pPr>
      <w:spacing w:line="240" w:lineRule="auto"/>
    </w:pPr>
    <w:rPr>
      <w:rFonts w:ascii="Cambria" w:hAnsi="Cambria"/>
      <w:noProof/>
    </w:rPr>
  </w:style>
  <w:style w:type="character" w:customStyle="1" w:styleId="EndNoteBibliographyChar">
    <w:name w:val="EndNote Bibliography Char"/>
    <w:basedOn w:val="BodyTextChar"/>
    <w:link w:val="EndNoteBibliography"/>
    <w:rsid w:val="0075418A"/>
    <w:rPr>
      <w:rFonts w:ascii="Cambria" w:hAnsi="Cambria"/>
      <w:noProof/>
      <w:sz w:val="24"/>
    </w:rPr>
  </w:style>
  <w:style w:type="character" w:customStyle="1" w:styleId="UnresolvedMention1">
    <w:name w:val="Unresolved Mention1"/>
    <w:basedOn w:val="DefaultParagraphFont"/>
    <w:uiPriority w:val="99"/>
    <w:semiHidden/>
    <w:unhideWhenUsed/>
    <w:rsid w:val="009747FE"/>
    <w:rPr>
      <w:color w:val="808080"/>
      <w:shd w:val="clear" w:color="auto" w:fill="E6E6E6"/>
    </w:rPr>
  </w:style>
  <w:style w:type="table" w:styleId="TableGrid">
    <w:name w:val="Table Grid"/>
    <w:basedOn w:val="TableNormal"/>
    <w:rsid w:val="00955A2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A27725"/>
    <w:pPr>
      <w:ind w:left="720"/>
      <w:contextualSpacing/>
    </w:pPr>
  </w:style>
  <w:style w:type="paragraph" w:styleId="NormalWeb">
    <w:name w:val="Normal (Web)"/>
    <w:basedOn w:val="Normal"/>
    <w:uiPriority w:val="99"/>
    <w:unhideWhenUsed/>
    <w:rsid w:val="00843176"/>
    <w:pPr>
      <w:spacing w:before="100" w:beforeAutospacing="1" w:after="100" w:afterAutospacing="1"/>
    </w:pPr>
    <w:rPr>
      <w:rFonts w:eastAsia="Times New Roman" w:cs="Times New Roman"/>
      <w:lang w:eastAsia="en-GB"/>
    </w:rPr>
  </w:style>
  <w:style w:type="paragraph" w:styleId="Header">
    <w:name w:val="header"/>
    <w:basedOn w:val="Normal"/>
    <w:link w:val="HeaderChar"/>
    <w:unhideWhenUsed/>
    <w:rsid w:val="003755BC"/>
    <w:pPr>
      <w:tabs>
        <w:tab w:val="center" w:pos="4513"/>
        <w:tab w:val="right" w:pos="9026"/>
      </w:tabs>
      <w:spacing w:after="0"/>
    </w:pPr>
  </w:style>
  <w:style w:type="character" w:customStyle="1" w:styleId="HeaderChar">
    <w:name w:val="Header Char"/>
    <w:basedOn w:val="DefaultParagraphFont"/>
    <w:link w:val="Header"/>
    <w:rsid w:val="0075418A"/>
    <w:rPr>
      <w:rFonts w:ascii="Times New Roman" w:hAnsi="Times New Roman"/>
      <w:sz w:val="24"/>
    </w:rPr>
  </w:style>
  <w:style w:type="paragraph" w:styleId="Footer">
    <w:name w:val="footer"/>
    <w:basedOn w:val="Normal"/>
    <w:link w:val="FooterChar"/>
    <w:unhideWhenUsed/>
    <w:rsid w:val="003755BC"/>
    <w:pPr>
      <w:tabs>
        <w:tab w:val="center" w:pos="4513"/>
        <w:tab w:val="right" w:pos="9026"/>
      </w:tabs>
      <w:spacing w:after="0"/>
    </w:pPr>
  </w:style>
  <w:style w:type="character" w:customStyle="1" w:styleId="FooterChar">
    <w:name w:val="Footer Char"/>
    <w:basedOn w:val="DefaultParagraphFont"/>
    <w:link w:val="Footer"/>
    <w:rsid w:val="0075418A"/>
    <w:rPr>
      <w:rFonts w:ascii="Times New Roman" w:hAnsi="Times New Roman"/>
      <w:sz w:val="24"/>
    </w:rPr>
  </w:style>
  <w:style w:type="paragraph" w:styleId="TOC1">
    <w:name w:val="toc 1"/>
    <w:basedOn w:val="Normal"/>
    <w:next w:val="Normal"/>
    <w:autoRedefine/>
    <w:uiPriority w:val="39"/>
    <w:unhideWhenUsed/>
    <w:rsid w:val="00BC7FA7"/>
    <w:pPr>
      <w:tabs>
        <w:tab w:val="right" w:leader="dot" w:pos="9350"/>
      </w:tabs>
      <w:spacing w:after="100"/>
    </w:pPr>
  </w:style>
  <w:style w:type="paragraph" w:styleId="TOC2">
    <w:name w:val="toc 2"/>
    <w:basedOn w:val="Normal"/>
    <w:next w:val="Normal"/>
    <w:autoRedefine/>
    <w:uiPriority w:val="39"/>
    <w:unhideWhenUsed/>
    <w:rsid w:val="00C13AEE"/>
    <w:pPr>
      <w:spacing w:after="100"/>
      <w:ind w:left="240"/>
    </w:pPr>
  </w:style>
  <w:style w:type="paragraph" w:styleId="TOC3">
    <w:name w:val="toc 3"/>
    <w:basedOn w:val="Normal"/>
    <w:next w:val="Normal"/>
    <w:autoRedefine/>
    <w:uiPriority w:val="39"/>
    <w:unhideWhenUsed/>
    <w:rsid w:val="007E1D66"/>
    <w:pPr>
      <w:tabs>
        <w:tab w:val="right" w:leader="dot" w:pos="9350"/>
      </w:tabs>
      <w:spacing w:after="100"/>
      <w:ind w:left="480"/>
    </w:pPr>
  </w:style>
  <w:style w:type="character" w:customStyle="1" w:styleId="UnresolvedMention2">
    <w:name w:val="Unresolved Mention2"/>
    <w:basedOn w:val="DefaultParagraphFont"/>
    <w:uiPriority w:val="99"/>
    <w:semiHidden/>
    <w:unhideWhenUsed/>
    <w:rsid w:val="002A7781"/>
    <w:rPr>
      <w:color w:val="808080"/>
      <w:shd w:val="clear" w:color="auto" w:fill="E6E6E6"/>
    </w:rPr>
  </w:style>
  <w:style w:type="table" w:customStyle="1" w:styleId="GridTable4-Accent61">
    <w:name w:val="Grid Table 4 - Accent 61"/>
    <w:basedOn w:val="TableNormal"/>
    <w:next w:val="GridTable4-Accent6"/>
    <w:uiPriority w:val="49"/>
    <w:rsid w:val="00B644B8"/>
    <w:pPr>
      <w:spacing w:after="0"/>
    </w:pPr>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B644B8"/>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TOC4">
    <w:name w:val="toc 4"/>
    <w:basedOn w:val="Normal"/>
    <w:next w:val="Normal"/>
    <w:autoRedefine/>
    <w:uiPriority w:val="39"/>
    <w:unhideWhenUsed/>
    <w:rsid w:val="00F240BF"/>
    <w:pPr>
      <w:spacing w:after="100"/>
      <w:ind w:left="660"/>
    </w:pPr>
  </w:style>
  <w:style w:type="paragraph" w:customStyle="1" w:styleId="Default">
    <w:name w:val="Default"/>
    <w:unhideWhenUsed/>
    <w:rsid w:val="00C57C53"/>
    <w:pPr>
      <w:autoSpaceDE w:val="0"/>
      <w:autoSpaceDN w:val="0"/>
      <w:adjustRightInd w:val="0"/>
      <w:spacing w:after="0"/>
    </w:pPr>
    <w:rPr>
      <w:rFonts w:ascii="Arial" w:hAnsi="Arial" w:cs="Arial"/>
      <w:color w:val="000000"/>
    </w:rPr>
  </w:style>
  <w:style w:type="character" w:customStyle="1" w:styleId="UnresolvedMention3">
    <w:name w:val="Unresolved Mention3"/>
    <w:basedOn w:val="DefaultParagraphFont"/>
    <w:uiPriority w:val="99"/>
    <w:semiHidden/>
    <w:unhideWhenUsed/>
    <w:rsid w:val="00622277"/>
    <w:rPr>
      <w:color w:val="808080"/>
      <w:shd w:val="clear" w:color="auto" w:fill="E6E6E6"/>
    </w:rPr>
  </w:style>
  <w:style w:type="paragraph" w:styleId="Revision">
    <w:name w:val="Revision"/>
    <w:hidden/>
    <w:semiHidden/>
    <w:rsid w:val="007E1D66"/>
    <w:pPr>
      <w:spacing w:after="0"/>
    </w:pPr>
    <w:rPr>
      <w:rFonts w:ascii="Arial" w:hAnsi="Arial"/>
      <w:sz w:val="22"/>
    </w:rPr>
  </w:style>
  <w:style w:type="character" w:customStyle="1" w:styleId="Heading1Char">
    <w:name w:val="Heading 1 Char"/>
    <w:basedOn w:val="DefaultParagraphFont"/>
    <w:link w:val="Heading1"/>
    <w:uiPriority w:val="9"/>
    <w:rsid w:val="00C37B5F"/>
    <w:rPr>
      <w:rFonts w:ascii="Times New Roman" w:eastAsiaTheme="majorEastAsia" w:hAnsi="Times New Roman" w:cstheme="majorBidi"/>
      <w:b/>
      <w:sz w:val="24"/>
      <w:szCs w:val="36"/>
    </w:rPr>
  </w:style>
  <w:style w:type="character" w:customStyle="1" w:styleId="Heading2Char">
    <w:name w:val="Heading 2 Char"/>
    <w:basedOn w:val="DefaultParagraphFont"/>
    <w:link w:val="Heading2"/>
    <w:uiPriority w:val="9"/>
    <w:rsid w:val="0075418A"/>
    <w:rPr>
      <w:rFonts w:ascii="Times New Roman" w:eastAsiaTheme="majorEastAsia" w:hAnsi="Times New Roman" w:cstheme="majorBidi"/>
      <w:i/>
      <w:sz w:val="24"/>
      <w:szCs w:val="36"/>
    </w:rPr>
  </w:style>
  <w:style w:type="character" w:customStyle="1" w:styleId="Heading3Char">
    <w:name w:val="Heading 3 Char"/>
    <w:basedOn w:val="DefaultParagraphFont"/>
    <w:link w:val="Heading3"/>
    <w:uiPriority w:val="9"/>
    <w:rsid w:val="00E74AA5"/>
    <w:rPr>
      <w:rFonts w:ascii="Times New Roman" w:eastAsiaTheme="majorEastAsia" w:hAnsi="Times New Roman" w:cstheme="majorBidi"/>
      <w:i/>
      <w:sz w:val="24"/>
      <w:szCs w:val="28"/>
    </w:rPr>
  </w:style>
  <w:style w:type="character" w:customStyle="1" w:styleId="Heading4Char">
    <w:name w:val="Heading 4 Char"/>
    <w:basedOn w:val="DefaultParagraphFont"/>
    <w:link w:val="Heading4"/>
    <w:uiPriority w:val="9"/>
    <w:rsid w:val="0075418A"/>
    <w:rPr>
      <w:rFonts w:ascii="Times New Roman" w:eastAsiaTheme="majorEastAsia" w:hAnsi="Times New Roman" w:cstheme="majorBidi"/>
      <w:i/>
      <w:iCs/>
      <w:sz w:val="32"/>
      <w:szCs w:val="28"/>
    </w:rPr>
  </w:style>
  <w:style w:type="character" w:customStyle="1" w:styleId="Heading5Char">
    <w:name w:val="Heading 5 Char"/>
    <w:basedOn w:val="DefaultParagraphFont"/>
    <w:link w:val="Heading5"/>
    <w:uiPriority w:val="9"/>
    <w:rsid w:val="0075418A"/>
    <w:rPr>
      <w:rFonts w:ascii="Times New Roman" w:eastAsiaTheme="majorEastAsia" w:hAnsi="Times New Roman" w:cstheme="majorBidi"/>
      <w:sz w:val="28"/>
      <w:szCs w:val="24"/>
    </w:rPr>
  </w:style>
  <w:style w:type="character" w:customStyle="1" w:styleId="Heading6Char">
    <w:name w:val="Heading 6 Char"/>
    <w:basedOn w:val="DefaultParagraphFont"/>
    <w:link w:val="Heading6"/>
    <w:uiPriority w:val="9"/>
    <w:rsid w:val="0075418A"/>
    <w:rPr>
      <w:rFonts w:ascii="Times New Roman" w:eastAsiaTheme="majorEastAsia" w:hAnsi="Times New Roman" w:cstheme="majorBidi"/>
      <w:i/>
      <w:iCs/>
      <w:sz w:val="28"/>
      <w:szCs w:val="24"/>
    </w:rPr>
  </w:style>
  <w:style w:type="character" w:customStyle="1" w:styleId="Heading7Char">
    <w:name w:val="Heading 7 Char"/>
    <w:basedOn w:val="DefaultParagraphFont"/>
    <w:link w:val="Heading7"/>
    <w:uiPriority w:val="9"/>
    <w:rsid w:val="0075418A"/>
    <w:rPr>
      <w:rFonts w:ascii="Times New Roman" w:eastAsiaTheme="majorEastAsia" w:hAnsi="Times New Roman" w:cstheme="majorBidi"/>
      <w:color w:val="595959" w:themeColor="text1" w:themeTint="A6"/>
      <w:sz w:val="24"/>
      <w:szCs w:val="24"/>
    </w:rPr>
  </w:style>
  <w:style w:type="character" w:customStyle="1" w:styleId="Heading8Char">
    <w:name w:val="Heading 8 Char"/>
    <w:basedOn w:val="DefaultParagraphFont"/>
    <w:link w:val="Heading8"/>
    <w:uiPriority w:val="9"/>
    <w:rsid w:val="0075418A"/>
    <w:rPr>
      <w:rFonts w:ascii="Times New Roman" w:eastAsiaTheme="majorEastAsia" w:hAnsi="Times New Roman" w:cstheme="majorBidi"/>
      <w:i/>
      <w:color w:val="595959" w:themeColor="text1" w:themeTint="A6"/>
      <w:sz w:val="24"/>
      <w:szCs w:val="24"/>
    </w:rPr>
  </w:style>
  <w:style w:type="character" w:customStyle="1" w:styleId="Heading9Char">
    <w:name w:val="Heading 9 Char"/>
    <w:basedOn w:val="DefaultParagraphFont"/>
    <w:link w:val="Heading9"/>
    <w:uiPriority w:val="9"/>
    <w:rsid w:val="0075418A"/>
    <w:rPr>
      <w:rFonts w:ascii="Times New Roman" w:eastAsiaTheme="majorEastAsia" w:hAnsi="Times New Roman" w:cstheme="majorBidi"/>
      <w:iCs/>
      <w:caps/>
      <w:color w:val="595959" w:themeColor="text1" w:themeTint="A6"/>
      <w:sz w:val="24"/>
      <w:szCs w:val="24"/>
    </w:rPr>
  </w:style>
  <w:style w:type="character" w:customStyle="1" w:styleId="TitleChar">
    <w:name w:val="Title Char"/>
    <w:basedOn w:val="DefaultParagraphFont"/>
    <w:link w:val="Title"/>
    <w:uiPriority w:val="10"/>
    <w:rsid w:val="00ED6964"/>
    <w:rPr>
      <w:rFonts w:ascii="Times New Roman" w:eastAsiaTheme="majorEastAsia" w:hAnsi="Times New Roman" w:cstheme="majorBidi"/>
      <w:spacing w:val="40"/>
      <w:sz w:val="76"/>
      <w:szCs w:val="76"/>
    </w:rPr>
  </w:style>
  <w:style w:type="character" w:customStyle="1" w:styleId="SubtitleChar">
    <w:name w:val="Subtitle Char"/>
    <w:basedOn w:val="DefaultParagraphFont"/>
    <w:link w:val="Subtitle"/>
    <w:uiPriority w:val="11"/>
    <w:rsid w:val="00BB624E"/>
    <w:rPr>
      <w:rFonts w:ascii="Times New Roman" w:hAnsi="Times New Roman"/>
      <w:color w:val="000000" w:themeColor="text1"/>
      <w:sz w:val="36"/>
      <w:szCs w:val="24"/>
    </w:rPr>
  </w:style>
  <w:style w:type="character" w:styleId="Strong">
    <w:name w:val="Strong"/>
    <w:basedOn w:val="DefaultParagraphFont"/>
    <w:uiPriority w:val="22"/>
    <w:unhideWhenUsed/>
    <w:qFormat/>
    <w:rsid w:val="00BB624E"/>
    <w:rPr>
      <w:rFonts w:ascii="Times New Roman" w:eastAsiaTheme="minorEastAsia" w:hAnsi="Times New Roman" w:cstheme="minorBidi"/>
      <w:b/>
      <w:bCs/>
      <w:spacing w:val="0"/>
      <w:w w:val="100"/>
      <w:position w:val="0"/>
      <w:sz w:val="20"/>
      <w:szCs w:val="20"/>
    </w:rPr>
  </w:style>
  <w:style w:type="character" w:styleId="Emphasis">
    <w:name w:val="Emphasis"/>
    <w:basedOn w:val="DefaultParagraphFont"/>
    <w:uiPriority w:val="20"/>
    <w:unhideWhenUsed/>
    <w:qFormat/>
    <w:rsid w:val="00BB624E"/>
    <w:rPr>
      <w:rFonts w:ascii="Times New Roman" w:eastAsiaTheme="minorEastAsia" w:hAnsi="Times New Roman" w:cstheme="minorBidi"/>
      <w:i/>
      <w:iCs/>
      <w:color w:val="943634" w:themeColor="accent2" w:themeShade="BF"/>
      <w:sz w:val="20"/>
      <w:szCs w:val="20"/>
    </w:rPr>
  </w:style>
  <w:style w:type="paragraph" w:styleId="NoSpacing">
    <w:name w:val="No Spacing"/>
    <w:uiPriority w:val="1"/>
    <w:unhideWhenUsed/>
    <w:qFormat/>
    <w:rsid w:val="00D21660"/>
    <w:pPr>
      <w:spacing w:after="0" w:line="240" w:lineRule="auto"/>
    </w:pPr>
  </w:style>
  <w:style w:type="paragraph" w:styleId="Quote">
    <w:name w:val="Quote"/>
    <w:basedOn w:val="Normal"/>
    <w:next w:val="Normal"/>
    <w:link w:val="QuoteChar"/>
    <w:uiPriority w:val="29"/>
    <w:unhideWhenUsed/>
    <w:qFormat/>
    <w:rsid w:val="00BB624E"/>
    <w:pPr>
      <w:spacing w:before="160"/>
      <w:ind w:left="720"/>
    </w:pPr>
    <w:rPr>
      <w:rFonts w:eastAsiaTheme="majorEastAsia" w:cstheme="majorBidi"/>
      <w:szCs w:val="24"/>
    </w:rPr>
  </w:style>
  <w:style w:type="character" w:customStyle="1" w:styleId="QuoteChar">
    <w:name w:val="Quote Char"/>
    <w:basedOn w:val="DefaultParagraphFont"/>
    <w:link w:val="Quote"/>
    <w:uiPriority w:val="29"/>
    <w:rsid w:val="0075418A"/>
    <w:rPr>
      <w:rFonts w:ascii="Times New Roman" w:eastAsiaTheme="majorEastAsia" w:hAnsi="Times New Roman" w:cstheme="majorBidi"/>
      <w:sz w:val="24"/>
      <w:szCs w:val="24"/>
    </w:rPr>
  </w:style>
  <w:style w:type="paragraph" w:styleId="IntenseQuote">
    <w:name w:val="Intense Quote"/>
    <w:basedOn w:val="Normal"/>
    <w:next w:val="Normal"/>
    <w:link w:val="IntenseQuoteChar"/>
    <w:uiPriority w:val="30"/>
    <w:unhideWhenUsed/>
    <w:qFormat/>
    <w:rsid w:val="00BB624E"/>
    <w:pPr>
      <w:spacing w:before="100" w:beforeAutospacing="1" w:after="240"/>
      <w:ind w:left="936" w:right="936"/>
      <w:jc w:val="center"/>
    </w:pPr>
    <w:rPr>
      <w:rFonts w:eastAsiaTheme="majorEastAsia" w:cstheme="majorBidi"/>
      <w:caps/>
      <w:color w:val="943634" w:themeColor="accent2" w:themeShade="BF"/>
      <w:spacing w:val="10"/>
      <w:sz w:val="28"/>
      <w:szCs w:val="28"/>
    </w:rPr>
  </w:style>
  <w:style w:type="character" w:customStyle="1" w:styleId="IntenseQuoteChar">
    <w:name w:val="Intense Quote Char"/>
    <w:basedOn w:val="DefaultParagraphFont"/>
    <w:link w:val="IntenseQuote"/>
    <w:uiPriority w:val="30"/>
    <w:rsid w:val="0075418A"/>
    <w:rPr>
      <w:rFonts w:ascii="Times New Roman" w:eastAsiaTheme="majorEastAsia" w:hAnsi="Times New Roman" w:cstheme="majorBidi"/>
      <w:caps/>
      <w:color w:val="943634" w:themeColor="accent2" w:themeShade="BF"/>
      <w:spacing w:val="10"/>
      <w:sz w:val="28"/>
      <w:szCs w:val="28"/>
    </w:rPr>
  </w:style>
  <w:style w:type="character" w:styleId="SubtleEmphasis">
    <w:name w:val="Subtle Emphasis"/>
    <w:basedOn w:val="DefaultParagraphFont"/>
    <w:uiPriority w:val="19"/>
    <w:unhideWhenUsed/>
    <w:qFormat/>
    <w:rsid w:val="00BB624E"/>
    <w:rPr>
      <w:rFonts w:ascii="Times New Roman" w:hAnsi="Times New Roman"/>
      <w:i/>
      <w:iCs/>
      <w:color w:val="auto"/>
    </w:rPr>
  </w:style>
  <w:style w:type="character" w:styleId="IntenseEmphasis">
    <w:name w:val="Intense Emphasis"/>
    <w:basedOn w:val="DefaultParagraphFont"/>
    <w:uiPriority w:val="21"/>
    <w:unhideWhenUsed/>
    <w:qFormat/>
    <w:rsid w:val="00BB624E"/>
    <w:rPr>
      <w:rFonts w:ascii="Times New Roman" w:eastAsiaTheme="minorEastAsia" w:hAnsi="Times New Roman" w:cstheme="minorBidi"/>
      <w:b/>
      <w:bCs/>
      <w:i/>
      <w:iCs/>
      <w:color w:val="943634" w:themeColor="accent2" w:themeShade="BF"/>
      <w:spacing w:val="0"/>
      <w:w w:val="100"/>
      <w:position w:val="0"/>
      <w:sz w:val="20"/>
      <w:szCs w:val="20"/>
    </w:rPr>
  </w:style>
  <w:style w:type="character" w:styleId="SubtleReference">
    <w:name w:val="Subtle Reference"/>
    <w:basedOn w:val="DefaultParagraphFont"/>
    <w:uiPriority w:val="31"/>
    <w:unhideWhenUsed/>
    <w:qFormat/>
    <w:rsid w:val="00BB624E"/>
    <w:rPr>
      <w:rFonts w:ascii="Times New Roman" w:eastAsiaTheme="minorEastAsia" w:hAnsi="Times New Roman"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unhideWhenUsed/>
    <w:qFormat/>
    <w:rsid w:val="00BB624E"/>
    <w:rPr>
      <w:rFonts w:ascii="Times New Roman" w:eastAsiaTheme="minorEastAsia" w:hAnsi="Times New Roman"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unhideWhenUsed/>
    <w:qFormat/>
    <w:rsid w:val="00D21660"/>
    <w:rPr>
      <w:rFonts w:asciiTheme="minorHAnsi" w:eastAsiaTheme="minorEastAsia" w:hAnsiTheme="minorHAnsi" w:cstheme="minorBidi"/>
      <w:b/>
      <w:bCs/>
      <w:i/>
      <w:iCs/>
      <w:caps w:val="0"/>
      <w:smallCaps w:val="0"/>
      <w:color w:val="auto"/>
      <w:spacing w:val="10"/>
      <w:w w:val="100"/>
      <w:sz w:val="20"/>
      <w:szCs w:val="20"/>
    </w:rPr>
  </w:style>
  <w:style w:type="paragraph" w:customStyle="1" w:styleId="SPECIALHEADING">
    <w:name w:val="SPECIALHEADING"/>
    <w:next w:val="Normal"/>
    <w:unhideWhenUsed/>
    <w:qFormat/>
    <w:rsid w:val="00012999"/>
    <w:pPr>
      <w:keepNext/>
      <w:keepLines/>
      <w:pBdr>
        <w:left w:val="single" w:sz="12" w:space="4" w:color="C00000"/>
      </w:pBdr>
      <w:spacing w:before="240" w:after="240" w:line="240" w:lineRule="auto"/>
    </w:pPr>
    <w:rPr>
      <w:rFonts w:ascii="Times New Roman" w:eastAsiaTheme="majorEastAsia" w:hAnsi="Times New Roman" w:cs="Times New Roman"/>
      <w:spacing w:val="10"/>
      <w:sz w:val="40"/>
      <w:szCs w:val="24"/>
    </w:rPr>
  </w:style>
  <w:style w:type="character" w:customStyle="1" w:styleId="UnresolvedMention4">
    <w:name w:val="Unresolved Mention4"/>
    <w:basedOn w:val="DefaultParagraphFont"/>
    <w:uiPriority w:val="99"/>
    <w:semiHidden/>
    <w:unhideWhenUsed/>
    <w:rsid w:val="003D0222"/>
    <w:rPr>
      <w:color w:val="605E5C"/>
      <w:shd w:val="clear" w:color="auto" w:fill="E1DFDD"/>
    </w:rPr>
  </w:style>
  <w:style w:type="table" w:styleId="PlainTable2">
    <w:name w:val="Plain Table 2"/>
    <w:basedOn w:val="TableNormal"/>
    <w:rsid w:val="005E523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5">
    <w:name w:val="Unresolved Mention5"/>
    <w:basedOn w:val="DefaultParagraphFont"/>
    <w:uiPriority w:val="99"/>
    <w:semiHidden/>
    <w:unhideWhenUsed/>
    <w:rsid w:val="00392A01"/>
    <w:rPr>
      <w:color w:val="605E5C"/>
      <w:shd w:val="clear" w:color="auto" w:fill="E1DFDD"/>
    </w:rPr>
  </w:style>
  <w:style w:type="character" w:customStyle="1" w:styleId="FootnoteTextChar">
    <w:name w:val="Footnote Text Char"/>
    <w:basedOn w:val="DefaultParagraphFont"/>
    <w:link w:val="FootnoteText"/>
    <w:uiPriority w:val="9"/>
    <w:rsid w:val="0075418A"/>
    <w:rPr>
      <w:rFonts w:ascii="Times New Roman" w:hAnsi="Times New Roman"/>
      <w:sz w:val="20"/>
    </w:rPr>
  </w:style>
  <w:style w:type="character" w:customStyle="1" w:styleId="UnresolvedMention6">
    <w:name w:val="Unresolved Mention6"/>
    <w:basedOn w:val="DefaultParagraphFont"/>
    <w:uiPriority w:val="99"/>
    <w:semiHidden/>
    <w:unhideWhenUsed/>
    <w:rsid w:val="00B44D5C"/>
    <w:rPr>
      <w:color w:val="605E5C"/>
      <w:shd w:val="clear" w:color="auto" w:fill="E1DFDD"/>
    </w:rPr>
  </w:style>
  <w:style w:type="paragraph" w:styleId="HTMLPreformatted">
    <w:name w:val="HTML Preformatted"/>
    <w:basedOn w:val="Normal"/>
    <w:link w:val="HTMLPreformattedChar"/>
    <w:uiPriority w:val="99"/>
    <w:semiHidden/>
    <w:unhideWhenUsed/>
    <w:rsid w:val="00FA2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FA23D7"/>
    <w:rPr>
      <w:rFonts w:ascii="Courier New" w:eastAsia="Times New Roman" w:hAnsi="Courier New" w:cs="Courier New"/>
      <w:sz w:val="20"/>
      <w:szCs w:val="20"/>
      <w:lang w:eastAsia="en-GB"/>
    </w:rPr>
  </w:style>
  <w:style w:type="character" w:customStyle="1" w:styleId="gnkrckgcgsb">
    <w:name w:val="gnkrckgcgsb"/>
    <w:basedOn w:val="DefaultParagraphFont"/>
    <w:unhideWhenUsed/>
    <w:rsid w:val="00FA23D7"/>
  </w:style>
  <w:style w:type="character" w:styleId="PlaceholderText">
    <w:name w:val="Placeholder Text"/>
    <w:basedOn w:val="DefaultParagraphFont"/>
    <w:semiHidden/>
    <w:rsid w:val="0069735B"/>
    <w:rPr>
      <w:color w:val="808080"/>
    </w:rPr>
  </w:style>
  <w:style w:type="table" w:styleId="GridTable1Light-Accent2">
    <w:name w:val="Grid Table 1 Light Accent 2"/>
    <w:basedOn w:val="TableNormal"/>
    <w:uiPriority w:val="46"/>
    <w:rsid w:val="003F1E5A"/>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Title1">
    <w:name w:val="Title 1"/>
    <w:basedOn w:val="Heading1"/>
    <w:qFormat/>
    <w:rsid w:val="00C37B5F"/>
    <w:pPr>
      <w:numPr>
        <w:numId w:val="3"/>
      </w:numPr>
    </w:pPr>
  </w:style>
  <w:style w:type="paragraph" w:customStyle="1" w:styleId="Title2">
    <w:name w:val="Title 2"/>
    <w:basedOn w:val="Heading2"/>
    <w:qFormat/>
    <w:rsid w:val="00F4774A"/>
    <w:pPr>
      <w:numPr>
        <w:ilvl w:val="1"/>
        <w:numId w:val="3"/>
      </w:numPr>
    </w:pPr>
  </w:style>
  <w:style w:type="paragraph" w:customStyle="1" w:styleId="Title3">
    <w:name w:val="Title 3"/>
    <w:basedOn w:val="Heading3"/>
    <w:qFormat/>
    <w:rsid w:val="007352B8"/>
    <w:pPr>
      <w:numPr>
        <w:ilvl w:val="2"/>
        <w:numId w:val="3"/>
      </w:numPr>
    </w:pPr>
    <w:rPr>
      <w:i w:val="0"/>
    </w:rPr>
  </w:style>
  <w:style w:type="paragraph" w:customStyle="1" w:styleId="Title4">
    <w:name w:val="Title 4"/>
    <w:basedOn w:val="Heading4"/>
    <w:qFormat/>
    <w:rsid w:val="00442A10"/>
    <w:pPr>
      <w:numPr>
        <w:ilvl w:val="3"/>
        <w:numId w:val="3"/>
      </w:numPr>
    </w:pPr>
    <w:rPr>
      <w:sz w:val="24"/>
    </w:rPr>
  </w:style>
  <w:style w:type="paragraph" w:customStyle="1" w:styleId="Title5">
    <w:name w:val="Title 5"/>
    <w:basedOn w:val="Heading5"/>
    <w:qFormat/>
    <w:rsid w:val="00AB186F"/>
    <w:pPr>
      <w:numPr>
        <w:ilvl w:val="4"/>
        <w:numId w:val="3"/>
      </w:numPr>
    </w:pPr>
  </w:style>
  <w:style w:type="paragraph" w:customStyle="1" w:styleId="Title6">
    <w:name w:val="Title 6"/>
    <w:basedOn w:val="Heading6"/>
    <w:qFormat/>
    <w:rsid w:val="00AB186F"/>
  </w:style>
  <w:style w:type="paragraph" w:customStyle="1" w:styleId="Title7">
    <w:name w:val="Title 7"/>
    <w:basedOn w:val="Heading7"/>
    <w:qFormat/>
    <w:rsid w:val="00AB186F"/>
  </w:style>
  <w:style w:type="paragraph" w:customStyle="1" w:styleId="Title8">
    <w:name w:val="Title 8"/>
    <w:basedOn w:val="Heading8"/>
    <w:qFormat/>
    <w:rsid w:val="00AB186F"/>
  </w:style>
  <w:style w:type="paragraph" w:customStyle="1" w:styleId="Title9">
    <w:name w:val="Title 9"/>
    <w:basedOn w:val="Heading9"/>
    <w:qFormat/>
    <w:rsid w:val="009914F2"/>
  </w:style>
  <w:style w:type="numbering" w:customStyle="1" w:styleId="Numberedheadinglist">
    <w:name w:val="Numbered heading list"/>
    <w:uiPriority w:val="99"/>
    <w:rsid w:val="00AB186F"/>
    <w:pPr>
      <w:numPr>
        <w:numId w:val="2"/>
      </w:numPr>
    </w:pPr>
  </w:style>
  <w:style w:type="character" w:customStyle="1" w:styleId="UnresolvedMention7">
    <w:name w:val="Unresolved Mention7"/>
    <w:basedOn w:val="DefaultParagraphFont"/>
    <w:uiPriority w:val="99"/>
    <w:semiHidden/>
    <w:unhideWhenUsed/>
    <w:rsid w:val="00F20DEA"/>
    <w:rPr>
      <w:color w:val="605E5C"/>
      <w:shd w:val="clear" w:color="auto" w:fill="E1DFDD"/>
    </w:rPr>
  </w:style>
  <w:style w:type="character" w:customStyle="1" w:styleId="UnresolvedMention8">
    <w:name w:val="Unresolved Mention8"/>
    <w:basedOn w:val="DefaultParagraphFont"/>
    <w:uiPriority w:val="99"/>
    <w:semiHidden/>
    <w:unhideWhenUsed/>
    <w:rsid w:val="008B13A1"/>
    <w:rPr>
      <w:color w:val="605E5C"/>
      <w:shd w:val="clear" w:color="auto" w:fill="E1DFDD"/>
    </w:rPr>
  </w:style>
  <w:style w:type="paragraph" w:styleId="TableofFigures">
    <w:name w:val="table of figures"/>
    <w:basedOn w:val="Normal"/>
    <w:next w:val="Normal"/>
    <w:uiPriority w:val="99"/>
    <w:unhideWhenUsed/>
    <w:rsid w:val="00367E0B"/>
    <w:pPr>
      <w:spacing w:after="0"/>
      <w:ind w:left="480" w:hanging="480"/>
    </w:pPr>
    <w:rPr>
      <w:rFonts w:asciiTheme="minorHAnsi" w:hAnsiTheme="minorHAnsi"/>
      <w:b/>
      <w:bCs/>
      <w:sz w:val="20"/>
      <w:szCs w:val="20"/>
    </w:rPr>
  </w:style>
  <w:style w:type="numbering" w:customStyle="1" w:styleId="Manuscript">
    <w:name w:val="Manuscript"/>
    <w:uiPriority w:val="99"/>
    <w:rsid w:val="00F74D68"/>
    <w:pPr>
      <w:numPr>
        <w:numId w:val="3"/>
      </w:numPr>
    </w:pPr>
  </w:style>
  <w:style w:type="character" w:styleId="LineNumber">
    <w:name w:val="line number"/>
    <w:basedOn w:val="DefaultParagraphFont"/>
    <w:semiHidden/>
    <w:unhideWhenUsed/>
    <w:rsid w:val="00666968"/>
  </w:style>
  <w:style w:type="numbering" w:customStyle="1" w:styleId="Appendices">
    <w:name w:val="Appendices"/>
    <w:uiPriority w:val="99"/>
    <w:rsid w:val="008B32C8"/>
    <w:pPr>
      <w:numPr>
        <w:numId w:val="4"/>
      </w:numPr>
    </w:pPr>
  </w:style>
  <w:style w:type="numbering" w:customStyle="1" w:styleId="AppendixB">
    <w:name w:val="Appendix B"/>
    <w:uiPriority w:val="99"/>
    <w:rsid w:val="00E74AA5"/>
    <w:pPr>
      <w:numPr>
        <w:numId w:val="5"/>
      </w:numPr>
    </w:pPr>
  </w:style>
  <w:style w:type="paragraph" w:styleId="Index1">
    <w:name w:val="index 1"/>
    <w:basedOn w:val="Normal"/>
    <w:next w:val="Normal"/>
    <w:autoRedefine/>
    <w:rsid w:val="008B32C8"/>
    <w:pPr>
      <w:numPr>
        <w:numId w:val="4"/>
      </w:numPr>
      <w:spacing w:after="0" w:line="240" w:lineRule="auto"/>
    </w:pPr>
  </w:style>
  <w:style w:type="paragraph" w:styleId="Index2">
    <w:name w:val="index 2"/>
    <w:basedOn w:val="Normal"/>
    <w:next w:val="Normal"/>
    <w:autoRedefine/>
    <w:rsid w:val="008B32C8"/>
    <w:pPr>
      <w:numPr>
        <w:ilvl w:val="1"/>
        <w:numId w:val="4"/>
      </w:numPr>
      <w:spacing w:before="120" w:after="240" w:line="240" w:lineRule="auto"/>
    </w:pPr>
  </w:style>
  <w:style w:type="paragraph" w:styleId="Index3">
    <w:name w:val="index 3"/>
    <w:basedOn w:val="Normal"/>
    <w:next w:val="Normal"/>
    <w:autoRedefine/>
    <w:rsid w:val="008B32C8"/>
    <w:pPr>
      <w:numPr>
        <w:ilvl w:val="2"/>
        <w:numId w:val="4"/>
      </w:numPr>
      <w:spacing w:after="0" w:line="240" w:lineRule="auto"/>
    </w:pPr>
  </w:style>
  <w:style w:type="paragraph" w:styleId="List">
    <w:name w:val="List"/>
    <w:basedOn w:val="Normal"/>
    <w:rsid w:val="00E74AA5"/>
    <w:pPr>
      <w:numPr>
        <w:numId w:val="5"/>
      </w:numPr>
      <w:contextualSpacing/>
    </w:pPr>
  </w:style>
  <w:style w:type="paragraph" w:styleId="List2">
    <w:name w:val="List 2"/>
    <w:basedOn w:val="Normal"/>
    <w:rsid w:val="00E74AA5"/>
    <w:pPr>
      <w:numPr>
        <w:ilvl w:val="1"/>
        <w:numId w:val="5"/>
      </w:numPr>
      <w:contextualSpacing/>
    </w:pPr>
  </w:style>
  <w:style w:type="paragraph" w:styleId="List3">
    <w:name w:val="List 3"/>
    <w:basedOn w:val="Normal"/>
    <w:rsid w:val="00E74AA5"/>
    <w:pPr>
      <w:numPr>
        <w:ilvl w:val="2"/>
        <w:numId w:val="5"/>
      </w:numPr>
      <w:contextualSpacing/>
    </w:pPr>
  </w:style>
  <w:style w:type="character" w:styleId="EndnoteReference">
    <w:name w:val="endnote reference"/>
    <w:basedOn w:val="DefaultParagraphFont"/>
    <w:semiHidden/>
    <w:unhideWhenUsed/>
    <w:rsid w:val="0017089F"/>
    <w:rPr>
      <w:vertAlign w:val="superscript"/>
    </w:rPr>
  </w:style>
  <w:style w:type="character" w:styleId="FollowedHyperlink">
    <w:name w:val="FollowedHyperlink"/>
    <w:basedOn w:val="DefaultParagraphFont"/>
    <w:uiPriority w:val="99"/>
    <w:semiHidden/>
    <w:unhideWhenUsed/>
    <w:rsid w:val="000C6264"/>
    <w:rPr>
      <w:color w:val="954F72"/>
      <w:u w:val="single"/>
    </w:rPr>
  </w:style>
  <w:style w:type="paragraph" w:customStyle="1" w:styleId="msonormal0">
    <w:name w:val="msonormal"/>
    <w:basedOn w:val="Normal"/>
    <w:rsid w:val="000C6264"/>
    <w:pPr>
      <w:spacing w:before="100" w:beforeAutospacing="1" w:after="100" w:afterAutospacing="1" w:line="240" w:lineRule="auto"/>
    </w:pPr>
    <w:rPr>
      <w:rFonts w:eastAsia="Times New Roman" w:cs="Times New Roman"/>
      <w:szCs w:val="24"/>
      <w:lang w:eastAsia="en-GB"/>
    </w:rPr>
  </w:style>
  <w:style w:type="paragraph" w:customStyle="1" w:styleId="xl63">
    <w:name w:val="xl63"/>
    <w:basedOn w:val="Normal"/>
    <w:rsid w:val="000C6264"/>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textAlignment w:val="top"/>
    </w:pPr>
    <w:rPr>
      <w:rFonts w:eastAsia="Times New Roman" w:cs="Times New Roman"/>
      <w:b/>
      <w:bCs/>
      <w:color w:val="FFFFFF"/>
      <w:szCs w:val="24"/>
      <w:lang w:eastAsia="en-GB"/>
    </w:rPr>
  </w:style>
  <w:style w:type="paragraph" w:customStyle="1" w:styleId="xl64">
    <w:name w:val="xl64"/>
    <w:basedOn w:val="Normal"/>
    <w:rsid w:val="000C6264"/>
    <w:pPr>
      <w:spacing w:before="100" w:beforeAutospacing="1" w:after="100" w:afterAutospacing="1" w:line="240" w:lineRule="auto"/>
    </w:pPr>
    <w:rPr>
      <w:rFonts w:eastAsia="Times New Roman" w:cs="Times New Roman"/>
      <w:szCs w:val="24"/>
      <w:lang w:eastAsia="en-GB"/>
    </w:rPr>
  </w:style>
  <w:style w:type="paragraph" w:customStyle="1" w:styleId="xl65">
    <w:name w:val="xl65"/>
    <w:basedOn w:val="Normal"/>
    <w:rsid w:val="000C6264"/>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textAlignment w:val="center"/>
    </w:pPr>
    <w:rPr>
      <w:rFonts w:eastAsia="Times New Roman" w:cs="Times New Roman"/>
      <w:b/>
      <w:bCs/>
      <w:color w:val="FFFFFF"/>
      <w:szCs w:val="24"/>
      <w:lang w:eastAsia="en-GB"/>
    </w:rPr>
  </w:style>
  <w:style w:type="paragraph" w:customStyle="1" w:styleId="xl66">
    <w:name w:val="xl66"/>
    <w:basedOn w:val="Normal"/>
    <w:rsid w:val="000C6264"/>
    <w:pPr>
      <w:spacing w:before="100" w:beforeAutospacing="1" w:after="100" w:afterAutospacing="1" w:line="240" w:lineRule="auto"/>
      <w:jc w:val="center"/>
      <w:textAlignment w:val="center"/>
    </w:pPr>
    <w:rPr>
      <w:rFonts w:eastAsia="Times New Roman" w:cs="Times New Roman"/>
      <w:szCs w:val="24"/>
      <w:lang w:eastAsia="en-GB"/>
    </w:rPr>
  </w:style>
  <w:style w:type="paragraph" w:customStyle="1" w:styleId="xl67">
    <w:name w:val="xl67"/>
    <w:basedOn w:val="Normal"/>
    <w:rsid w:val="000C6264"/>
    <w:pPr>
      <w:spacing w:before="100" w:beforeAutospacing="1" w:after="100" w:afterAutospacing="1" w:line="240" w:lineRule="auto"/>
      <w:jc w:val="center"/>
      <w:textAlignment w:val="center"/>
    </w:pPr>
    <w:rPr>
      <w:rFonts w:eastAsia="Times New Roman" w:cs="Times New Roman"/>
      <w:szCs w:val="24"/>
      <w:lang w:eastAsia="en-GB"/>
    </w:rPr>
  </w:style>
  <w:style w:type="paragraph" w:customStyle="1" w:styleId="xl68">
    <w:name w:val="xl68"/>
    <w:basedOn w:val="Normal"/>
    <w:rsid w:val="000C6264"/>
    <w:pPr>
      <w:spacing w:before="100" w:beforeAutospacing="1" w:after="100" w:afterAutospacing="1" w:line="240" w:lineRule="auto"/>
      <w:jc w:val="center"/>
      <w:textAlignment w:val="top"/>
    </w:pPr>
    <w:rPr>
      <w:rFonts w:eastAsia="Times New Roman" w:cs="Times New Roman"/>
      <w:szCs w:val="24"/>
      <w:lang w:eastAsia="en-GB"/>
    </w:rPr>
  </w:style>
  <w:style w:type="paragraph" w:customStyle="1" w:styleId="xl69">
    <w:name w:val="xl69"/>
    <w:basedOn w:val="Normal"/>
    <w:rsid w:val="000C6264"/>
    <w:pPr>
      <w:spacing w:before="100" w:beforeAutospacing="1" w:after="100" w:afterAutospacing="1" w:line="240" w:lineRule="auto"/>
      <w:jc w:val="center"/>
      <w:textAlignment w:val="top"/>
    </w:pPr>
    <w:rPr>
      <w:rFonts w:eastAsia="Times New Roman" w:cs="Times New Roman"/>
      <w:szCs w:val="24"/>
      <w:lang w:eastAsia="en-GB"/>
    </w:rPr>
  </w:style>
  <w:style w:type="paragraph" w:customStyle="1" w:styleId="xl70">
    <w:name w:val="xl70"/>
    <w:basedOn w:val="Normal"/>
    <w:rsid w:val="00200317"/>
    <w:pPr>
      <w:spacing w:before="100" w:beforeAutospacing="1" w:after="100" w:afterAutospacing="1" w:line="240" w:lineRule="auto"/>
      <w:jc w:val="center"/>
      <w:textAlignment w:val="top"/>
    </w:pPr>
    <w:rPr>
      <w:rFonts w:eastAsia="Times New Roman" w:cs="Times New Roman"/>
      <w:szCs w:val="24"/>
      <w:lang w:eastAsia="en-GB"/>
    </w:rPr>
  </w:style>
  <w:style w:type="paragraph" w:customStyle="1" w:styleId="xl71">
    <w:name w:val="xl71"/>
    <w:basedOn w:val="Normal"/>
    <w:rsid w:val="00200317"/>
    <w:pPr>
      <w:spacing w:before="100" w:beforeAutospacing="1" w:after="100" w:afterAutospacing="1" w:line="240" w:lineRule="auto"/>
      <w:jc w:val="center"/>
      <w:textAlignment w:val="top"/>
    </w:pPr>
    <w:rPr>
      <w:rFonts w:eastAsia="Times New Roman" w:cs="Times New Roman"/>
      <w:szCs w:val="24"/>
      <w:lang w:eastAsia="en-GB"/>
    </w:rPr>
  </w:style>
  <w:style w:type="character" w:customStyle="1" w:styleId="hgkelc">
    <w:name w:val="hgkelc"/>
    <w:basedOn w:val="DefaultParagraphFont"/>
    <w:rsid w:val="00BB2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8138">
      <w:bodyDiv w:val="1"/>
      <w:marLeft w:val="0"/>
      <w:marRight w:val="0"/>
      <w:marTop w:val="0"/>
      <w:marBottom w:val="0"/>
      <w:divBdr>
        <w:top w:val="none" w:sz="0" w:space="0" w:color="auto"/>
        <w:left w:val="none" w:sz="0" w:space="0" w:color="auto"/>
        <w:bottom w:val="none" w:sz="0" w:space="0" w:color="auto"/>
        <w:right w:val="none" w:sz="0" w:space="0" w:color="auto"/>
      </w:divBdr>
    </w:div>
    <w:div w:id="28337061">
      <w:bodyDiv w:val="1"/>
      <w:marLeft w:val="0"/>
      <w:marRight w:val="0"/>
      <w:marTop w:val="0"/>
      <w:marBottom w:val="0"/>
      <w:divBdr>
        <w:top w:val="none" w:sz="0" w:space="0" w:color="auto"/>
        <w:left w:val="none" w:sz="0" w:space="0" w:color="auto"/>
        <w:bottom w:val="none" w:sz="0" w:space="0" w:color="auto"/>
        <w:right w:val="none" w:sz="0" w:space="0" w:color="auto"/>
      </w:divBdr>
    </w:div>
    <w:div w:id="31928980">
      <w:bodyDiv w:val="1"/>
      <w:marLeft w:val="0"/>
      <w:marRight w:val="0"/>
      <w:marTop w:val="0"/>
      <w:marBottom w:val="0"/>
      <w:divBdr>
        <w:top w:val="none" w:sz="0" w:space="0" w:color="auto"/>
        <w:left w:val="none" w:sz="0" w:space="0" w:color="auto"/>
        <w:bottom w:val="none" w:sz="0" w:space="0" w:color="auto"/>
        <w:right w:val="none" w:sz="0" w:space="0" w:color="auto"/>
      </w:divBdr>
    </w:div>
    <w:div w:id="51079519">
      <w:bodyDiv w:val="1"/>
      <w:marLeft w:val="0"/>
      <w:marRight w:val="0"/>
      <w:marTop w:val="0"/>
      <w:marBottom w:val="0"/>
      <w:divBdr>
        <w:top w:val="none" w:sz="0" w:space="0" w:color="auto"/>
        <w:left w:val="none" w:sz="0" w:space="0" w:color="auto"/>
        <w:bottom w:val="none" w:sz="0" w:space="0" w:color="auto"/>
        <w:right w:val="none" w:sz="0" w:space="0" w:color="auto"/>
      </w:divBdr>
    </w:div>
    <w:div w:id="57829569">
      <w:bodyDiv w:val="1"/>
      <w:marLeft w:val="0"/>
      <w:marRight w:val="0"/>
      <w:marTop w:val="0"/>
      <w:marBottom w:val="0"/>
      <w:divBdr>
        <w:top w:val="none" w:sz="0" w:space="0" w:color="auto"/>
        <w:left w:val="none" w:sz="0" w:space="0" w:color="auto"/>
        <w:bottom w:val="none" w:sz="0" w:space="0" w:color="auto"/>
        <w:right w:val="none" w:sz="0" w:space="0" w:color="auto"/>
      </w:divBdr>
    </w:div>
    <w:div w:id="58018480">
      <w:bodyDiv w:val="1"/>
      <w:marLeft w:val="0"/>
      <w:marRight w:val="0"/>
      <w:marTop w:val="0"/>
      <w:marBottom w:val="0"/>
      <w:divBdr>
        <w:top w:val="none" w:sz="0" w:space="0" w:color="auto"/>
        <w:left w:val="none" w:sz="0" w:space="0" w:color="auto"/>
        <w:bottom w:val="none" w:sz="0" w:space="0" w:color="auto"/>
        <w:right w:val="none" w:sz="0" w:space="0" w:color="auto"/>
      </w:divBdr>
    </w:div>
    <w:div w:id="104277111">
      <w:bodyDiv w:val="1"/>
      <w:marLeft w:val="0"/>
      <w:marRight w:val="0"/>
      <w:marTop w:val="0"/>
      <w:marBottom w:val="0"/>
      <w:divBdr>
        <w:top w:val="none" w:sz="0" w:space="0" w:color="auto"/>
        <w:left w:val="none" w:sz="0" w:space="0" w:color="auto"/>
        <w:bottom w:val="none" w:sz="0" w:space="0" w:color="auto"/>
        <w:right w:val="none" w:sz="0" w:space="0" w:color="auto"/>
      </w:divBdr>
    </w:div>
    <w:div w:id="104692985">
      <w:bodyDiv w:val="1"/>
      <w:marLeft w:val="0"/>
      <w:marRight w:val="0"/>
      <w:marTop w:val="0"/>
      <w:marBottom w:val="0"/>
      <w:divBdr>
        <w:top w:val="none" w:sz="0" w:space="0" w:color="auto"/>
        <w:left w:val="none" w:sz="0" w:space="0" w:color="auto"/>
        <w:bottom w:val="none" w:sz="0" w:space="0" w:color="auto"/>
        <w:right w:val="none" w:sz="0" w:space="0" w:color="auto"/>
      </w:divBdr>
    </w:div>
    <w:div w:id="109053527">
      <w:bodyDiv w:val="1"/>
      <w:marLeft w:val="0"/>
      <w:marRight w:val="0"/>
      <w:marTop w:val="0"/>
      <w:marBottom w:val="0"/>
      <w:divBdr>
        <w:top w:val="none" w:sz="0" w:space="0" w:color="auto"/>
        <w:left w:val="none" w:sz="0" w:space="0" w:color="auto"/>
        <w:bottom w:val="none" w:sz="0" w:space="0" w:color="auto"/>
        <w:right w:val="none" w:sz="0" w:space="0" w:color="auto"/>
      </w:divBdr>
    </w:div>
    <w:div w:id="109319751">
      <w:bodyDiv w:val="1"/>
      <w:marLeft w:val="0"/>
      <w:marRight w:val="0"/>
      <w:marTop w:val="0"/>
      <w:marBottom w:val="0"/>
      <w:divBdr>
        <w:top w:val="none" w:sz="0" w:space="0" w:color="auto"/>
        <w:left w:val="none" w:sz="0" w:space="0" w:color="auto"/>
        <w:bottom w:val="none" w:sz="0" w:space="0" w:color="auto"/>
        <w:right w:val="none" w:sz="0" w:space="0" w:color="auto"/>
      </w:divBdr>
    </w:div>
    <w:div w:id="110054501">
      <w:bodyDiv w:val="1"/>
      <w:marLeft w:val="0"/>
      <w:marRight w:val="0"/>
      <w:marTop w:val="0"/>
      <w:marBottom w:val="0"/>
      <w:divBdr>
        <w:top w:val="none" w:sz="0" w:space="0" w:color="auto"/>
        <w:left w:val="none" w:sz="0" w:space="0" w:color="auto"/>
        <w:bottom w:val="none" w:sz="0" w:space="0" w:color="auto"/>
        <w:right w:val="none" w:sz="0" w:space="0" w:color="auto"/>
      </w:divBdr>
    </w:div>
    <w:div w:id="112867316">
      <w:bodyDiv w:val="1"/>
      <w:marLeft w:val="0"/>
      <w:marRight w:val="0"/>
      <w:marTop w:val="0"/>
      <w:marBottom w:val="0"/>
      <w:divBdr>
        <w:top w:val="none" w:sz="0" w:space="0" w:color="auto"/>
        <w:left w:val="none" w:sz="0" w:space="0" w:color="auto"/>
        <w:bottom w:val="none" w:sz="0" w:space="0" w:color="auto"/>
        <w:right w:val="none" w:sz="0" w:space="0" w:color="auto"/>
      </w:divBdr>
    </w:div>
    <w:div w:id="126818819">
      <w:bodyDiv w:val="1"/>
      <w:marLeft w:val="0"/>
      <w:marRight w:val="0"/>
      <w:marTop w:val="0"/>
      <w:marBottom w:val="0"/>
      <w:divBdr>
        <w:top w:val="none" w:sz="0" w:space="0" w:color="auto"/>
        <w:left w:val="none" w:sz="0" w:space="0" w:color="auto"/>
        <w:bottom w:val="none" w:sz="0" w:space="0" w:color="auto"/>
        <w:right w:val="none" w:sz="0" w:space="0" w:color="auto"/>
      </w:divBdr>
    </w:div>
    <w:div w:id="133914610">
      <w:bodyDiv w:val="1"/>
      <w:marLeft w:val="0"/>
      <w:marRight w:val="0"/>
      <w:marTop w:val="0"/>
      <w:marBottom w:val="0"/>
      <w:divBdr>
        <w:top w:val="none" w:sz="0" w:space="0" w:color="auto"/>
        <w:left w:val="none" w:sz="0" w:space="0" w:color="auto"/>
        <w:bottom w:val="none" w:sz="0" w:space="0" w:color="auto"/>
        <w:right w:val="none" w:sz="0" w:space="0" w:color="auto"/>
      </w:divBdr>
    </w:div>
    <w:div w:id="154735038">
      <w:bodyDiv w:val="1"/>
      <w:marLeft w:val="0"/>
      <w:marRight w:val="0"/>
      <w:marTop w:val="0"/>
      <w:marBottom w:val="0"/>
      <w:divBdr>
        <w:top w:val="none" w:sz="0" w:space="0" w:color="auto"/>
        <w:left w:val="none" w:sz="0" w:space="0" w:color="auto"/>
        <w:bottom w:val="none" w:sz="0" w:space="0" w:color="auto"/>
        <w:right w:val="none" w:sz="0" w:space="0" w:color="auto"/>
      </w:divBdr>
    </w:div>
    <w:div w:id="157427191">
      <w:bodyDiv w:val="1"/>
      <w:marLeft w:val="0"/>
      <w:marRight w:val="0"/>
      <w:marTop w:val="0"/>
      <w:marBottom w:val="0"/>
      <w:divBdr>
        <w:top w:val="none" w:sz="0" w:space="0" w:color="auto"/>
        <w:left w:val="none" w:sz="0" w:space="0" w:color="auto"/>
        <w:bottom w:val="none" w:sz="0" w:space="0" w:color="auto"/>
        <w:right w:val="none" w:sz="0" w:space="0" w:color="auto"/>
      </w:divBdr>
    </w:div>
    <w:div w:id="157695416">
      <w:bodyDiv w:val="1"/>
      <w:marLeft w:val="0"/>
      <w:marRight w:val="0"/>
      <w:marTop w:val="0"/>
      <w:marBottom w:val="0"/>
      <w:divBdr>
        <w:top w:val="none" w:sz="0" w:space="0" w:color="auto"/>
        <w:left w:val="none" w:sz="0" w:space="0" w:color="auto"/>
        <w:bottom w:val="none" w:sz="0" w:space="0" w:color="auto"/>
        <w:right w:val="none" w:sz="0" w:space="0" w:color="auto"/>
      </w:divBdr>
    </w:div>
    <w:div w:id="168906025">
      <w:bodyDiv w:val="1"/>
      <w:marLeft w:val="0"/>
      <w:marRight w:val="0"/>
      <w:marTop w:val="0"/>
      <w:marBottom w:val="0"/>
      <w:divBdr>
        <w:top w:val="none" w:sz="0" w:space="0" w:color="auto"/>
        <w:left w:val="none" w:sz="0" w:space="0" w:color="auto"/>
        <w:bottom w:val="none" w:sz="0" w:space="0" w:color="auto"/>
        <w:right w:val="none" w:sz="0" w:space="0" w:color="auto"/>
      </w:divBdr>
    </w:div>
    <w:div w:id="170686159">
      <w:bodyDiv w:val="1"/>
      <w:marLeft w:val="0"/>
      <w:marRight w:val="0"/>
      <w:marTop w:val="0"/>
      <w:marBottom w:val="0"/>
      <w:divBdr>
        <w:top w:val="none" w:sz="0" w:space="0" w:color="auto"/>
        <w:left w:val="none" w:sz="0" w:space="0" w:color="auto"/>
        <w:bottom w:val="none" w:sz="0" w:space="0" w:color="auto"/>
        <w:right w:val="none" w:sz="0" w:space="0" w:color="auto"/>
      </w:divBdr>
    </w:div>
    <w:div w:id="191041360">
      <w:bodyDiv w:val="1"/>
      <w:marLeft w:val="0"/>
      <w:marRight w:val="0"/>
      <w:marTop w:val="0"/>
      <w:marBottom w:val="0"/>
      <w:divBdr>
        <w:top w:val="none" w:sz="0" w:space="0" w:color="auto"/>
        <w:left w:val="none" w:sz="0" w:space="0" w:color="auto"/>
        <w:bottom w:val="none" w:sz="0" w:space="0" w:color="auto"/>
        <w:right w:val="none" w:sz="0" w:space="0" w:color="auto"/>
      </w:divBdr>
      <w:divsChild>
        <w:div w:id="228663018">
          <w:marLeft w:val="720"/>
          <w:marRight w:val="0"/>
          <w:marTop w:val="120"/>
          <w:marBottom w:val="120"/>
          <w:divBdr>
            <w:top w:val="none" w:sz="0" w:space="0" w:color="auto"/>
            <w:left w:val="none" w:sz="0" w:space="0" w:color="auto"/>
            <w:bottom w:val="none" w:sz="0" w:space="0" w:color="auto"/>
            <w:right w:val="none" w:sz="0" w:space="0" w:color="auto"/>
          </w:divBdr>
        </w:div>
        <w:div w:id="307900041">
          <w:marLeft w:val="720"/>
          <w:marRight w:val="0"/>
          <w:marTop w:val="120"/>
          <w:marBottom w:val="120"/>
          <w:divBdr>
            <w:top w:val="none" w:sz="0" w:space="0" w:color="auto"/>
            <w:left w:val="none" w:sz="0" w:space="0" w:color="auto"/>
            <w:bottom w:val="none" w:sz="0" w:space="0" w:color="auto"/>
            <w:right w:val="none" w:sz="0" w:space="0" w:color="auto"/>
          </w:divBdr>
        </w:div>
        <w:div w:id="533467923">
          <w:marLeft w:val="720"/>
          <w:marRight w:val="0"/>
          <w:marTop w:val="120"/>
          <w:marBottom w:val="120"/>
          <w:divBdr>
            <w:top w:val="none" w:sz="0" w:space="0" w:color="auto"/>
            <w:left w:val="none" w:sz="0" w:space="0" w:color="auto"/>
            <w:bottom w:val="none" w:sz="0" w:space="0" w:color="auto"/>
            <w:right w:val="none" w:sz="0" w:space="0" w:color="auto"/>
          </w:divBdr>
        </w:div>
        <w:div w:id="892618392">
          <w:marLeft w:val="720"/>
          <w:marRight w:val="0"/>
          <w:marTop w:val="120"/>
          <w:marBottom w:val="120"/>
          <w:divBdr>
            <w:top w:val="none" w:sz="0" w:space="0" w:color="auto"/>
            <w:left w:val="none" w:sz="0" w:space="0" w:color="auto"/>
            <w:bottom w:val="none" w:sz="0" w:space="0" w:color="auto"/>
            <w:right w:val="none" w:sz="0" w:space="0" w:color="auto"/>
          </w:divBdr>
        </w:div>
      </w:divsChild>
    </w:div>
    <w:div w:id="195697189">
      <w:bodyDiv w:val="1"/>
      <w:marLeft w:val="0"/>
      <w:marRight w:val="0"/>
      <w:marTop w:val="0"/>
      <w:marBottom w:val="0"/>
      <w:divBdr>
        <w:top w:val="none" w:sz="0" w:space="0" w:color="auto"/>
        <w:left w:val="none" w:sz="0" w:space="0" w:color="auto"/>
        <w:bottom w:val="none" w:sz="0" w:space="0" w:color="auto"/>
        <w:right w:val="none" w:sz="0" w:space="0" w:color="auto"/>
      </w:divBdr>
    </w:div>
    <w:div w:id="199517731">
      <w:bodyDiv w:val="1"/>
      <w:marLeft w:val="0"/>
      <w:marRight w:val="0"/>
      <w:marTop w:val="0"/>
      <w:marBottom w:val="0"/>
      <w:divBdr>
        <w:top w:val="none" w:sz="0" w:space="0" w:color="auto"/>
        <w:left w:val="none" w:sz="0" w:space="0" w:color="auto"/>
        <w:bottom w:val="none" w:sz="0" w:space="0" w:color="auto"/>
        <w:right w:val="none" w:sz="0" w:space="0" w:color="auto"/>
      </w:divBdr>
    </w:div>
    <w:div w:id="212742945">
      <w:bodyDiv w:val="1"/>
      <w:marLeft w:val="0"/>
      <w:marRight w:val="0"/>
      <w:marTop w:val="0"/>
      <w:marBottom w:val="0"/>
      <w:divBdr>
        <w:top w:val="none" w:sz="0" w:space="0" w:color="auto"/>
        <w:left w:val="none" w:sz="0" w:space="0" w:color="auto"/>
        <w:bottom w:val="none" w:sz="0" w:space="0" w:color="auto"/>
        <w:right w:val="none" w:sz="0" w:space="0" w:color="auto"/>
      </w:divBdr>
    </w:div>
    <w:div w:id="226115681">
      <w:bodyDiv w:val="1"/>
      <w:marLeft w:val="0"/>
      <w:marRight w:val="0"/>
      <w:marTop w:val="0"/>
      <w:marBottom w:val="0"/>
      <w:divBdr>
        <w:top w:val="none" w:sz="0" w:space="0" w:color="auto"/>
        <w:left w:val="none" w:sz="0" w:space="0" w:color="auto"/>
        <w:bottom w:val="none" w:sz="0" w:space="0" w:color="auto"/>
        <w:right w:val="none" w:sz="0" w:space="0" w:color="auto"/>
      </w:divBdr>
    </w:div>
    <w:div w:id="241304510">
      <w:bodyDiv w:val="1"/>
      <w:marLeft w:val="0"/>
      <w:marRight w:val="0"/>
      <w:marTop w:val="0"/>
      <w:marBottom w:val="0"/>
      <w:divBdr>
        <w:top w:val="none" w:sz="0" w:space="0" w:color="auto"/>
        <w:left w:val="none" w:sz="0" w:space="0" w:color="auto"/>
        <w:bottom w:val="none" w:sz="0" w:space="0" w:color="auto"/>
        <w:right w:val="none" w:sz="0" w:space="0" w:color="auto"/>
      </w:divBdr>
    </w:div>
    <w:div w:id="256715666">
      <w:bodyDiv w:val="1"/>
      <w:marLeft w:val="0"/>
      <w:marRight w:val="0"/>
      <w:marTop w:val="0"/>
      <w:marBottom w:val="0"/>
      <w:divBdr>
        <w:top w:val="none" w:sz="0" w:space="0" w:color="auto"/>
        <w:left w:val="none" w:sz="0" w:space="0" w:color="auto"/>
        <w:bottom w:val="none" w:sz="0" w:space="0" w:color="auto"/>
        <w:right w:val="none" w:sz="0" w:space="0" w:color="auto"/>
      </w:divBdr>
    </w:div>
    <w:div w:id="275797608">
      <w:bodyDiv w:val="1"/>
      <w:marLeft w:val="0"/>
      <w:marRight w:val="0"/>
      <w:marTop w:val="0"/>
      <w:marBottom w:val="0"/>
      <w:divBdr>
        <w:top w:val="none" w:sz="0" w:space="0" w:color="auto"/>
        <w:left w:val="none" w:sz="0" w:space="0" w:color="auto"/>
        <w:bottom w:val="none" w:sz="0" w:space="0" w:color="auto"/>
        <w:right w:val="none" w:sz="0" w:space="0" w:color="auto"/>
      </w:divBdr>
    </w:div>
    <w:div w:id="276063008">
      <w:bodyDiv w:val="1"/>
      <w:marLeft w:val="0"/>
      <w:marRight w:val="0"/>
      <w:marTop w:val="0"/>
      <w:marBottom w:val="0"/>
      <w:divBdr>
        <w:top w:val="none" w:sz="0" w:space="0" w:color="auto"/>
        <w:left w:val="none" w:sz="0" w:space="0" w:color="auto"/>
        <w:bottom w:val="none" w:sz="0" w:space="0" w:color="auto"/>
        <w:right w:val="none" w:sz="0" w:space="0" w:color="auto"/>
      </w:divBdr>
    </w:div>
    <w:div w:id="280768989">
      <w:bodyDiv w:val="1"/>
      <w:marLeft w:val="0"/>
      <w:marRight w:val="0"/>
      <w:marTop w:val="0"/>
      <w:marBottom w:val="0"/>
      <w:divBdr>
        <w:top w:val="none" w:sz="0" w:space="0" w:color="auto"/>
        <w:left w:val="none" w:sz="0" w:space="0" w:color="auto"/>
        <w:bottom w:val="none" w:sz="0" w:space="0" w:color="auto"/>
        <w:right w:val="none" w:sz="0" w:space="0" w:color="auto"/>
      </w:divBdr>
    </w:div>
    <w:div w:id="282081716">
      <w:bodyDiv w:val="1"/>
      <w:marLeft w:val="0"/>
      <w:marRight w:val="0"/>
      <w:marTop w:val="0"/>
      <w:marBottom w:val="0"/>
      <w:divBdr>
        <w:top w:val="none" w:sz="0" w:space="0" w:color="auto"/>
        <w:left w:val="none" w:sz="0" w:space="0" w:color="auto"/>
        <w:bottom w:val="none" w:sz="0" w:space="0" w:color="auto"/>
        <w:right w:val="none" w:sz="0" w:space="0" w:color="auto"/>
      </w:divBdr>
    </w:div>
    <w:div w:id="285626290">
      <w:bodyDiv w:val="1"/>
      <w:marLeft w:val="0"/>
      <w:marRight w:val="0"/>
      <w:marTop w:val="0"/>
      <w:marBottom w:val="0"/>
      <w:divBdr>
        <w:top w:val="none" w:sz="0" w:space="0" w:color="auto"/>
        <w:left w:val="none" w:sz="0" w:space="0" w:color="auto"/>
        <w:bottom w:val="none" w:sz="0" w:space="0" w:color="auto"/>
        <w:right w:val="none" w:sz="0" w:space="0" w:color="auto"/>
      </w:divBdr>
    </w:div>
    <w:div w:id="300228386">
      <w:bodyDiv w:val="1"/>
      <w:marLeft w:val="0"/>
      <w:marRight w:val="0"/>
      <w:marTop w:val="0"/>
      <w:marBottom w:val="0"/>
      <w:divBdr>
        <w:top w:val="none" w:sz="0" w:space="0" w:color="auto"/>
        <w:left w:val="none" w:sz="0" w:space="0" w:color="auto"/>
        <w:bottom w:val="none" w:sz="0" w:space="0" w:color="auto"/>
        <w:right w:val="none" w:sz="0" w:space="0" w:color="auto"/>
      </w:divBdr>
    </w:div>
    <w:div w:id="356779801">
      <w:bodyDiv w:val="1"/>
      <w:marLeft w:val="0"/>
      <w:marRight w:val="0"/>
      <w:marTop w:val="0"/>
      <w:marBottom w:val="0"/>
      <w:divBdr>
        <w:top w:val="none" w:sz="0" w:space="0" w:color="auto"/>
        <w:left w:val="none" w:sz="0" w:space="0" w:color="auto"/>
        <w:bottom w:val="none" w:sz="0" w:space="0" w:color="auto"/>
        <w:right w:val="none" w:sz="0" w:space="0" w:color="auto"/>
      </w:divBdr>
    </w:div>
    <w:div w:id="385225257">
      <w:bodyDiv w:val="1"/>
      <w:marLeft w:val="0"/>
      <w:marRight w:val="0"/>
      <w:marTop w:val="0"/>
      <w:marBottom w:val="0"/>
      <w:divBdr>
        <w:top w:val="none" w:sz="0" w:space="0" w:color="auto"/>
        <w:left w:val="none" w:sz="0" w:space="0" w:color="auto"/>
        <w:bottom w:val="none" w:sz="0" w:space="0" w:color="auto"/>
        <w:right w:val="none" w:sz="0" w:space="0" w:color="auto"/>
      </w:divBdr>
    </w:div>
    <w:div w:id="391195702">
      <w:bodyDiv w:val="1"/>
      <w:marLeft w:val="0"/>
      <w:marRight w:val="0"/>
      <w:marTop w:val="0"/>
      <w:marBottom w:val="0"/>
      <w:divBdr>
        <w:top w:val="none" w:sz="0" w:space="0" w:color="auto"/>
        <w:left w:val="none" w:sz="0" w:space="0" w:color="auto"/>
        <w:bottom w:val="none" w:sz="0" w:space="0" w:color="auto"/>
        <w:right w:val="none" w:sz="0" w:space="0" w:color="auto"/>
      </w:divBdr>
    </w:div>
    <w:div w:id="391462573">
      <w:bodyDiv w:val="1"/>
      <w:marLeft w:val="0"/>
      <w:marRight w:val="0"/>
      <w:marTop w:val="0"/>
      <w:marBottom w:val="0"/>
      <w:divBdr>
        <w:top w:val="none" w:sz="0" w:space="0" w:color="auto"/>
        <w:left w:val="none" w:sz="0" w:space="0" w:color="auto"/>
        <w:bottom w:val="none" w:sz="0" w:space="0" w:color="auto"/>
        <w:right w:val="none" w:sz="0" w:space="0" w:color="auto"/>
      </w:divBdr>
    </w:div>
    <w:div w:id="392126224">
      <w:bodyDiv w:val="1"/>
      <w:marLeft w:val="0"/>
      <w:marRight w:val="0"/>
      <w:marTop w:val="0"/>
      <w:marBottom w:val="0"/>
      <w:divBdr>
        <w:top w:val="none" w:sz="0" w:space="0" w:color="auto"/>
        <w:left w:val="none" w:sz="0" w:space="0" w:color="auto"/>
        <w:bottom w:val="none" w:sz="0" w:space="0" w:color="auto"/>
        <w:right w:val="none" w:sz="0" w:space="0" w:color="auto"/>
      </w:divBdr>
    </w:div>
    <w:div w:id="394477858">
      <w:bodyDiv w:val="1"/>
      <w:marLeft w:val="0"/>
      <w:marRight w:val="0"/>
      <w:marTop w:val="0"/>
      <w:marBottom w:val="0"/>
      <w:divBdr>
        <w:top w:val="none" w:sz="0" w:space="0" w:color="auto"/>
        <w:left w:val="none" w:sz="0" w:space="0" w:color="auto"/>
        <w:bottom w:val="none" w:sz="0" w:space="0" w:color="auto"/>
        <w:right w:val="none" w:sz="0" w:space="0" w:color="auto"/>
      </w:divBdr>
    </w:div>
    <w:div w:id="395973008">
      <w:bodyDiv w:val="1"/>
      <w:marLeft w:val="0"/>
      <w:marRight w:val="0"/>
      <w:marTop w:val="0"/>
      <w:marBottom w:val="0"/>
      <w:divBdr>
        <w:top w:val="none" w:sz="0" w:space="0" w:color="auto"/>
        <w:left w:val="none" w:sz="0" w:space="0" w:color="auto"/>
        <w:bottom w:val="none" w:sz="0" w:space="0" w:color="auto"/>
        <w:right w:val="none" w:sz="0" w:space="0" w:color="auto"/>
      </w:divBdr>
    </w:div>
    <w:div w:id="406267345">
      <w:bodyDiv w:val="1"/>
      <w:marLeft w:val="0"/>
      <w:marRight w:val="0"/>
      <w:marTop w:val="0"/>
      <w:marBottom w:val="0"/>
      <w:divBdr>
        <w:top w:val="none" w:sz="0" w:space="0" w:color="auto"/>
        <w:left w:val="none" w:sz="0" w:space="0" w:color="auto"/>
        <w:bottom w:val="none" w:sz="0" w:space="0" w:color="auto"/>
        <w:right w:val="none" w:sz="0" w:space="0" w:color="auto"/>
      </w:divBdr>
    </w:div>
    <w:div w:id="424690978">
      <w:bodyDiv w:val="1"/>
      <w:marLeft w:val="0"/>
      <w:marRight w:val="0"/>
      <w:marTop w:val="0"/>
      <w:marBottom w:val="0"/>
      <w:divBdr>
        <w:top w:val="none" w:sz="0" w:space="0" w:color="auto"/>
        <w:left w:val="none" w:sz="0" w:space="0" w:color="auto"/>
        <w:bottom w:val="none" w:sz="0" w:space="0" w:color="auto"/>
        <w:right w:val="none" w:sz="0" w:space="0" w:color="auto"/>
      </w:divBdr>
    </w:div>
    <w:div w:id="424883975">
      <w:bodyDiv w:val="1"/>
      <w:marLeft w:val="0"/>
      <w:marRight w:val="0"/>
      <w:marTop w:val="0"/>
      <w:marBottom w:val="0"/>
      <w:divBdr>
        <w:top w:val="none" w:sz="0" w:space="0" w:color="auto"/>
        <w:left w:val="none" w:sz="0" w:space="0" w:color="auto"/>
        <w:bottom w:val="none" w:sz="0" w:space="0" w:color="auto"/>
        <w:right w:val="none" w:sz="0" w:space="0" w:color="auto"/>
      </w:divBdr>
    </w:div>
    <w:div w:id="428819556">
      <w:bodyDiv w:val="1"/>
      <w:marLeft w:val="0"/>
      <w:marRight w:val="0"/>
      <w:marTop w:val="0"/>
      <w:marBottom w:val="0"/>
      <w:divBdr>
        <w:top w:val="none" w:sz="0" w:space="0" w:color="auto"/>
        <w:left w:val="none" w:sz="0" w:space="0" w:color="auto"/>
        <w:bottom w:val="none" w:sz="0" w:space="0" w:color="auto"/>
        <w:right w:val="none" w:sz="0" w:space="0" w:color="auto"/>
      </w:divBdr>
    </w:div>
    <w:div w:id="445006724">
      <w:bodyDiv w:val="1"/>
      <w:marLeft w:val="0"/>
      <w:marRight w:val="0"/>
      <w:marTop w:val="0"/>
      <w:marBottom w:val="0"/>
      <w:divBdr>
        <w:top w:val="none" w:sz="0" w:space="0" w:color="auto"/>
        <w:left w:val="none" w:sz="0" w:space="0" w:color="auto"/>
        <w:bottom w:val="none" w:sz="0" w:space="0" w:color="auto"/>
        <w:right w:val="none" w:sz="0" w:space="0" w:color="auto"/>
      </w:divBdr>
    </w:div>
    <w:div w:id="446900123">
      <w:bodyDiv w:val="1"/>
      <w:marLeft w:val="0"/>
      <w:marRight w:val="0"/>
      <w:marTop w:val="0"/>
      <w:marBottom w:val="0"/>
      <w:divBdr>
        <w:top w:val="none" w:sz="0" w:space="0" w:color="auto"/>
        <w:left w:val="none" w:sz="0" w:space="0" w:color="auto"/>
        <w:bottom w:val="none" w:sz="0" w:space="0" w:color="auto"/>
        <w:right w:val="none" w:sz="0" w:space="0" w:color="auto"/>
      </w:divBdr>
    </w:div>
    <w:div w:id="454912571">
      <w:bodyDiv w:val="1"/>
      <w:marLeft w:val="0"/>
      <w:marRight w:val="0"/>
      <w:marTop w:val="0"/>
      <w:marBottom w:val="0"/>
      <w:divBdr>
        <w:top w:val="none" w:sz="0" w:space="0" w:color="auto"/>
        <w:left w:val="none" w:sz="0" w:space="0" w:color="auto"/>
        <w:bottom w:val="none" w:sz="0" w:space="0" w:color="auto"/>
        <w:right w:val="none" w:sz="0" w:space="0" w:color="auto"/>
      </w:divBdr>
    </w:div>
    <w:div w:id="473526356">
      <w:bodyDiv w:val="1"/>
      <w:marLeft w:val="0"/>
      <w:marRight w:val="0"/>
      <w:marTop w:val="0"/>
      <w:marBottom w:val="0"/>
      <w:divBdr>
        <w:top w:val="none" w:sz="0" w:space="0" w:color="auto"/>
        <w:left w:val="none" w:sz="0" w:space="0" w:color="auto"/>
        <w:bottom w:val="none" w:sz="0" w:space="0" w:color="auto"/>
        <w:right w:val="none" w:sz="0" w:space="0" w:color="auto"/>
      </w:divBdr>
    </w:div>
    <w:div w:id="526986453">
      <w:bodyDiv w:val="1"/>
      <w:marLeft w:val="0"/>
      <w:marRight w:val="0"/>
      <w:marTop w:val="0"/>
      <w:marBottom w:val="0"/>
      <w:divBdr>
        <w:top w:val="none" w:sz="0" w:space="0" w:color="auto"/>
        <w:left w:val="none" w:sz="0" w:space="0" w:color="auto"/>
        <w:bottom w:val="none" w:sz="0" w:space="0" w:color="auto"/>
        <w:right w:val="none" w:sz="0" w:space="0" w:color="auto"/>
      </w:divBdr>
    </w:div>
    <w:div w:id="535852619">
      <w:bodyDiv w:val="1"/>
      <w:marLeft w:val="0"/>
      <w:marRight w:val="0"/>
      <w:marTop w:val="0"/>
      <w:marBottom w:val="0"/>
      <w:divBdr>
        <w:top w:val="none" w:sz="0" w:space="0" w:color="auto"/>
        <w:left w:val="none" w:sz="0" w:space="0" w:color="auto"/>
        <w:bottom w:val="none" w:sz="0" w:space="0" w:color="auto"/>
        <w:right w:val="none" w:sz="0" w:space="0" w:color="auto"/>
      </w:divBdr>
    </w:div>
    <w:div w:id="535968771">
      <w:bodyDiv w:val="1"/>
      <w:marLeft w:val="0"/>
      <w:marRight w:val="0"/>
      <w:marTop w:val="0"/>
      <w:marBottom w:val="0"/>
      <w:divBdr>
        <w:top w:val="none" w:sz="0" w:space="0" w:color="auto"/>
        <w:left w:val="none" w:sz="0" w:space="0" w:color="auto"/>
        <w:bottom w:val="none" w:sz="0" w:space="0" w:color="auto"/>
        <w:right w:val="none" w:sz="0" w:space="0" w:color="auto"/>
      </w:divBdr>
    </w:div>
    <w:div w:id="553663134">
      <w:bodyDiv w:val="1"/>
      <w:marLeft w:val="0"/>
      <w:marRight w:val="0"/>
      <w:marTop w:val="0"/>
      <w:marBottom w:val="0"/>
      <w:divBdr>
        <w:top w:val="none" w:sz="0" w:space="0" w:color="auto"/>
        <w:left w:val="none" w:sz="0" w:space="0" w:color="auto"/>
        <w:bottom w:val="none" w:sz="0" w:space="0" w:color="auto"/>
        <w:right w:val="none" w:sz="0" w:space="0" w:color="auto"/>
      </w:divBdr>
    </w:div>
    <w:div w:id="553855569">
      <w:bodyDiv w:val="1"/>
      <w:marLeft w:val="0"/>
      <w:marRight w:val="0"/>
      <w:marTop w:val="0"/>
      <w:marBottom w:val="0"/>
      <w:divBdr>
        <w:top w:val="none" w:sz="0" w:space="0" w:color="auto"/>
        <w:left w:val="none" w:sz="0" w:space="0" w:color="auto"/>
        <w:bottom w:val="none" w:sz="0" w:space="0" w:color="auto"/>
        <w:right w:val="none" w:sz="0" w:space="0" w:color="auto"/>
      </w:divBdr>
    </w:div>
    <w:div w:id="566067043">
      <w:bodyDiv w:val="1"/>
      <w:marLeft w:val="0"/>
      <w:marRight w:val="0"/>
      <w:marTop w:val="0"/>
      <w:marBottom w:val="0"/>
      <w:divBdr>
        <w:top w:val="none" w:sz="0" w:space="0" w:color="auto"/>
        <w:left w:val="none" w:sz="0" w:space="0" w:color="auto"/>
        <w:bottom w:val="none" w:sz="0" w:space="0" w:color="auto"/>
        <w:right w:val="none" w:sz="0" w:space="0" w:color="auto"/>
      </w:divBdr>
    </w:div>
    <w:div w:id="575827788">
      <w:bodyDiv w:val="1"/>
      <w:marLeft w:val="0"/>
      <w:marRight w:val="0"/>
      <w:marTop w:val="0"/>
      <w:marBottom w:val="0"/>
      <w:divBdr>
        <w:top w:val="none" w:sz="0" w:space="0" w:color="auto"/>
        <w:left w:val="none" w:sz="0" w:space="0" w:color="auto"/>
        <w:bottom w:val="none" w:sz="0" w:space="0" w:color="auto"/>
        <w:right w:val="none" w:sz="0" w:space="0" w:color="auto"/>
      </w:divBdr>
    </w:div>
    <w:div w:id="582298039">
      <w:bodyDiv w:val="1"/>
      <w:marLeft w:val="0"/>
      <w:marRight w:val="0"/>
      <w:marTop w:val="0"/>
      <w:marBottom w:val="0"/>
      <w:divBdr>
        <w:top w:val="none" w:sz="0" w:space="0" w:color="auto"/>
        <w:left w:val="none" w:sz="0" w:space="0" w:color="auto"/>
        <w:bottom w:val="none" w:sz="0" w:space="0" w:color="auto"/>
        <w:right w:val="none" w:sz="0" w:space="0" w:color="auto"/>
      </w:divBdr>
    </w:div>
    <w:div w:id="588735565">
      <w:bodyDiv w:val="1"/>
      <w:marLeft w:val="0"/>
      <w:marRight w:val="0"/>
      <w:marTop w:val="0"/>
      <w:marBottom w:val="0"/>
      <w:divBdr>
        <w:top w:val="none" w:sz="0" w:space="0" w:color="auto"/>
        <w:left w:val="none" w:sz="0" w:space="0" w:color="auto"/>
        <w:bottom w:val="none" w:sz="0" w:space="0" w:color="auto"/>
        <w:right w:val="none" w:sz="0" w:space="0" w:color="auto"/>
      </w:divBdr>
    </w:div>
    <w:div w:id="593171571">
      <w:bodyDiv w:val="1"/>
      <w:marLeft w:val="0"/>
      <w:marRight w:val="0"/>
      <w:marTop w:val="0"/>
      <w:marBottom w:val="0"/>
      <w:divBdr>
        <w:top w:val="none" w:sz="0" w:space="0" w:color="auto"/>
        <w:left w:val="none" w:sz="0" w:space="0" w:color="auto"/>
        <w:bottom w:val="none" w:sz="0" w:space="0" w:color="auto"/>
        <w:right w:val="none" w:sz="0" w:space="0" w:color="auto"/>
      </w:divBdr>
    </w:div>
    <w:div w:id="601761522">
      <w:bodyDiv w:val="1"/>
      <w:marLeft w:val="0"/>
      <w:marRight w:val="0"/>
      <w:marTop w:val="0"/>
      <w:marBottom w:val="0"/>
      <w:divBdr>
        <w:top w:val="none" w:sz="0" w:space="0" w:color="auto"/>
        <w:left w:val="none" w:sz="0" w:space="0" w:color="auto"/>
        <w:bottom w:val="none" w:sz="0" w:space="0" w:color="auto"/>
        <w:right w:val="none" w:sz="0" w:space="0" w:color="auto"/>
      </w:divBdr>
    </w:div>
    <w:div w:id="604113010">
      <w:bodyDiv w:val="1"/>
      <w:marLeft w:val="0"/>
      <w:marRight w:val="0"/>
      <w:marTop w:val="0"/>
      <w:marBottom w:val="0"/>
      <w:divBdr>
        <w:top w:val="none" w:sz="0" w:space="0" w:color="auto"/>
        <w:left w:val="none" w:sz="0" w:space="0" w:color="auto"/>
        <w:bottom w:val="none" w:sz="0" w:space="0" w:color="auto"/>
        <w:right w:val="none" w:sz="0" w:space="0" w:color="auto"/>
      </w:divBdr>
    </w:div>
    <w:div w:id="614865981">
      <w:bodyDiv w:val="1"/>
      <w:marLeft w:val="0"/>
      <w:marRight w:val="0"/>
      <w:marTop w:val="0"/>
      <w:marBottom w:val="0"/>
      <w:divBdr>
        <w:top w:val="none" w:sz="0" w:space="0" w:color="auto"/>
        <w:left w:val="none" w:sz="0" w:space="0" w:color="auto"/>
        <w:bottom w:val="none" w:sz="0" w:space="0" w:color="auto"/>
        <w:right w:val="none" w:sz="0" w:space="0" w:color="auto"/>
      </w:divBdr>
    </w:div>
    <w:div w:id="617950564">
      <w:bodyDiv w:val="1"/>
      <w:marLeft w:val="0"/>
      <w:marRight w:val="0"/>
      <w:marTop w:val="0"/>
      <w:marBottom w:val="0"/>
      <w:divBdr>
        <w:top w:val="none" w:sz="0" w:space="0" w:color="auto"/>
        <w:left w:val="none" w:sz="0" w:space="0" w:color="auto"/>
        <w:bottom w:val="none" w:sz="0" w:space="0" w:color="auto"/>
        <w:right w:val="none" w:sz="0" w:space="0" w:color="auto"/>
      </w:divBdr>
    </w:div>
    <w:div w:id="623466953">
      <w:bodyDiv w:val="1"/>
      <w:marLeft w:val="0"/>
      <w:marRight w:val="0"/>
      <w:marTop w:val="0"/>
      <w:marBottom w:val="0"/>
      <w:divBdr>
        <w:top w:val="none" w:sz="0" w:space="0" w:color="auto"/>
        <w:left w:val="none" w:sz="0" w:space="0" w:color="auto"/>
        <w:bottom w:val="none" w:sz="0" w:space="0" w:color="auto"/>
        <w:right w:val="none" w:sz="0" w:space="0" w:color="auto"/>
      </w:divBdr>
    </w:div>
    <w:div w:id="624121925">
      <w:bodyDiv w:val="1"/>
      <w:marLeft w:val="0"/>
      <w:marRight w:val="0"/>
      <w:marTop w:val="0"/>
      <w:marBottom w:val="0"/>
      <w:divBdr>
        <w:top w:val="none" w:sz="0" w:space="0" w:color="auto"/>
        <w:left w:val="none" w:sz="0" w:space="0" w:color="auto"/>
        <w:bottom w:val="none" w:sz="0" w:space="0" w:color="auto"/>
        <w:right w:val="none" w:sz="0" w:space="0" w:color="auto"/>
      </w:divBdr>
    </w:div>
    <w:div w:id="626546872">
      <w:bodyDiv w:val="1"/>
      <w:marLeft w:val="0"/>
      <w:marRight w:val="0"/>
      <w:marTop w:val="0"/>
      <w:marBottom w:val="0"/>
      <w:divBdr>
        <w:top w:val="none" w:sz="0" w:space="0" w:color="auto"/>
        <w:left w:val="none" w:sz="0" w:space="0" w:color="auto"/>
        <w:bottom w:val="none" w:sz="0" w:space="0" w:color="auto"/>
        <w:right w:val="none" w:sz="0" w:space="0" w:color="auto"/>
      </w:divBdr>
    </w:div>
    <w:div w:id="627666951">
      <w:bodyDiv w:val="1"/>
      <w:marLeft w:val="0"/>
      <w:marRight w:val="0"/>
      <w:marTop w:val="0"/>
      <w:marBottom w:val="0"/>
      <w:divBdr>
        <w:top w:val="none" w:sz="0" w:space="0" w:color="auto"/>
        <w:left w:val="none" w:sz="0" w:space="0" w:color="auto"/>
        <w:bottom w:val="none" w:sz="0" w:space="0" w:color="auto"/>
        <w:right w:val="none" w:sz="0" w:space="0" w:color="auto"/>
      </w:divBdr>
    </w:div>
    <w:div w:id="632637287">
      <w:bodyDiv w:val="1"/>
      <w:marLeft w:val="0"/>
      <w:marRight w:val="0"/>
      <w:marTop w:val="0"/>
      <w:marBottom w:val="0"/>
      <w:divBdr>
        <w:top w:val="none" w:sz="0" w:space="0" w:color="auto"/>
        <w:left w:val="none" w:sz="0" w:space="0" w:color="auto"/>
        <w:bottom w:val="none" w:sz="0" w:space="0" w:color="auto"/>
        <w:right w:val="none" w:sz="0" w:space="0" w:color="auto"/>
      </w:divBdr>
    </w:div>
    <w:div w:id="639068583">
      <w:bodyDiv w:val="1"/>
      <w:marLeft w:val="0"/>
      <w:marRight w:val="0"/>
      <w:marTop w:val="0"/>
      <w:marBottom w:val="0"/>
      <w:divBdr>
        <w:top w:val="none" w:sz="0" w:space="0" w:color="auto"/>
        <w:left w:val="none" w:sz="0" w:space="0" w:color="auto"/>
        <w:bottom w:val="none" w:sz="0" w:space="0" w:color="auto"/>
        <w:right w:val="none" w:sz="0" w:space="0" w:color="auto"/>
      </w:divBdr>
    </w:div>
    <w:div w:id="648091035">
      <w:bodyDiv w:val="1"/>
      <w:marLeft w:val="0"/>
      <w:marRight w:val="0"/>
      <w:marTop w:val="0"/>
      <w:marBottom w:val="0"/>
      <w:divBdr>
        <w:top w:val="none" w:sz="0" w:space="0" w:color="auto"/>
        <w:left w:val="none" w:sz="0" w:space="0" w:color="auto"/>
        <w:bottom w:val="none" w:sz="0" w:space="0" w:color="auto"/>
        <w:right w:val="none" w:sz="0" w:space="0" w:color="auto"/>
      </w:divBdr>
    </w:div>
    <w:div w:id="654188694">
      <w:bodyDiv w:val="1"/>
      <w:marLeft w:val="0"/>
      <w:marRight w:val="0"/>
      <w:marTop w:val="0"/>
      <w:marBottom w:val="0"/>
      <w:divBdr>
        <w:top w:val="none" w:sz="0" w:space="0" w:color="auto"/>
        <w:left w:val="none" w:sz="0" w:space="0" w:color="auto"/>
        <w:bottom w:val="none" w:sz="0" w:space="0" w:color="auto"/>
        <w:right w:val="none" w:sz="0" w:space="0" w:color="auto"/>
      </w:divBdr>
    </w:div>
    <w:div w:id="663506865">
      <w:bodyDiv w:val="1"/>
      <w:marLeft w:val="0"/>
      <w:marRight w:val="0"/>
      <w:marTop w:val="0"/>
      <w:marBottom w:val="0"/>
      <w:divBdr>
        <w:top w:val="none" w:sz="0" w:space="0" w:color="auto"/>
        <w:left w:val="none" w:sz="0" w:space="0" w:color="auto"/>
        <w:bottom w:val="none" w:sz="0" w:space="0" w:color="auto"/>
        <w:right w:val="none" w:sz="0" w:space="0" w:color="auto"/>
      </w:divBdr>
    </w:div>
    <w:div w:id="681274141">
      <w:bodyDiv w:val="1"/>
      <w:marLeft w:val="0"/>
      <w:marRight w:val="0"/>
      <w:marTop w:val="0"/>
      <w:marBottom w:val="0"/>
      <w:divBdr>
        <w:top w:val="none" w:sz="0" w:space="0" w:color="auto"/>
        <w:left w:val="none" w:sz="0" w:space="0" w:color="auto"/>
        <w:bottom w:val="none" w:sz="0" w:space="0" w:color="auto"/>
        <w:right w:val="none" w:sz="0" w:space="0" w:color="auto"/>
      </w:divBdr>
    </w:div>
    <w:div w:id="681974125">
      <w:bodyDiv w:val="1"/>
      <w:marLeft w:val="0"/>
      <w:marRight w:val="0"/>
      <w:marTop w:val="0"/>
      <w:marBottom w:val="0"/>
      <w:divBdr>
        <w:top w:val="none" w:sz="0" w:space="0" w:color="auto"/>
        <w:left w:val="none" w:sz="0" w:space="0" w:color="auto"/>
        <w:bottom w:val="none" w:sz="0" w:space="0" w:color="auto"/>
        <w:right w:val="none" w:sz="0" w:space="0" w:color="auto"/>
      </w:divBdr>
    </w:div>
    <w:div w:id="682055649">
      <w:bodyDiv w:val="1"/>
      <w:marLeft w:val="0"/>
      <w:marRight w:val="0"/>
      <w:marTop w:val="0"/>
      <w:marBottom w:val="0"/>
      <w:divBdr>
        <w:top w:val="none" w:sz="0" w:space="0" w:color="auto"/>
        <w:left w:val="none" w:sz="0" w:space="0" w:color="auto"/>
        <w:bottom w:val="none" w:sz="0" w:space="0" w:color="auto"/>
        <w:right w:val="none" w:sz="0" w:space="0" w:color="auto"/>
      </w:divBdr>
    </w:div>
    <w:div w:id="687753834">
      <w:bodyDiv w:val="1"/>
      <w:marLeft w:val="0"/>
      <w:marRight w:val="0"/>
      <w:marTop w:val="0"/>
      <w:marBottom w:val="0"/>
      <w:divBdr>
        <w:top w:val="none" w:sz="0" w:space="0" w:color="auto"/>
        <w:left w:val="none" w:sz="0" w:space="0" w:color="auto"/>
        <w:bottom w:val="none" w:sz="0" w:space="0" w:color="auto"/>
        <w:right w:val="none" w:sz="0" w:space="0" w:color="auto"/>
      </w:divBdr>
    </w:div>
    <w:div w:id="707948827">
      <w:bodyDiv w:val="1"/>
      <w:marLeft w:val="0"/>
      <w:marRight w:val="0"/>
      <w:marTop w:val="0"/>
      <w:marBottom w:val="0"/>
      <w:divBdr>
        <w:top w:val="none" w:sz="0" w:space="0" w:color="auto"/>
        <w:left w:val="none" w:sz="0" w:space="0" w:color="auto"/>
        <w:bottom w:val="none" w:sz="0" w:space="0" w:color="auto"/>
        <w:right w:val="none" w:sz="0" w:space="0" w:color="auto"/>
      </w:divBdr>
    </w:div>
    <w:div w:id="709768092">
      <w:bodyDiv w:val="1"/>
      <w:marLeft w:val="0"/>
      <w:marRight w:val="0"/>
      <w:marTop w:val="0"/>
      <w:marBottom w:val="0"/>
      <w:divBdr>
        <w:top w:val="none" w:sz="0" w:space="0" w:color="auto"/>
        <w:left w:val="none" w:sz="0" w:space="0" w:color="auto"/>
        <w:bottom w:val="none" w:sz="0" w:space="0" w:color="auto"/>
        <w:right w:val="none" w:sz="0" w:space="0" w:color="auto"/>
      </w:divBdr>
    </w:div>
    <w:div w:id="712273907">
      <w:bodyDiv w:val="1"/>
      <w:marLeft w:val="0"/>
      <w:marRight w:val="0"/>
      <w:marTop w:val="0"/>
      <w:marBottom w:val="0"/>
      <w:divBdr>
        <w:top w:val="none" w:sz="0" w:space="0" w:color="auto"/>
        <w:left w:val="none" w:sz="0" w:space="0" w:color="auto"/>
        <w:bottom w:val="none" w:sz="0" w:space="0" w:color="auto"/>
        <w:right w:val="none" w:sz="0" w:space="0" w:color="auto"/>
      </w:divBdr>
    </w:div>
    <w:div w:id="718209042">
      <w:bodyDiv w:val="1"/>
      <w:marLeft w:val="0"/>
      <w:marRight w:val="0"/>
      <w:marTop w:val="0"/>
      <w:marBottom w:val="0"/>
      <w:divBdr>
        <w:top w:val="none" w:sz="0" w:space="0" w:color="auto"/>
        <w:left w:val="none" w:sz="0" w:space="0" w:color="auto"/>
        <w:bottom w:val="none" w:sz="0" w:space="0" w:color="auto"/>
        <w:right w:val="none" w:sz="0" w:space="0" w:color="auto"/>
      </w:divBdr>
    </w:div>
    <w:div w:id="721171320">
      <w:bodyDiv w:val="1"/>
      <w:marLeft w:val="0"/>
      <w:marRight w:val="0"/>
      <w:marTop w:val="0"/>
      <w:marBottom w:val="0"/>
      <w:divBdr>
        <w:top w:val="none" w:sz="0" w:space="0" w:color="auto"/>
        <w:left w:val="none" w:sz="0" w:space="0" w:color="auto"/>
        <w:bottom w:val="none" w:sz="0" w:space="0" w:color="auto"/>
        <w:right w:val="none" w:sz="0" w:space="0" w:color="auto"/>
      </w:divBdr>
    </w:div>
    <w:div w:id="728189165">
      <w:bodyDiv w:val="1"/>
      <w:marLeft w:val="0"/>
      <w:marRight w:val="0"/>
      <w:marTop w:val="0"/>
      <w:marBottom w:val="0"/>
      <w:divBdr>
        <w:top w:val="none" w:sz="0" w:space="0" w:color="auto"/>
        <w:left w:val="none" w:sz="0" w:space="0" w:color="auto"/>
        <w:bottom w:val="none" w:sz="0" w:space="0" w:color="auto"/>
        <w:right w:val="none" w:sz="0" w:space="0" w:color="auto"/>
      </w:divBdr>
    </w:div>
    <w:div w:id="732239652">
      <w:bodyDiv w:val="1"/>
      <w:marLeft w:val="0"/>
      <w:marRight w:val="0"/>
      <w:marTop w:val="0"/>
      <w:marBottom w:val="0"/>
      <w:divBdr>
        <w:top w:val="none" w:sz="0" w:space="0" w:color="auto"/>
        <w:left w:val="none" w:sz="0" w:space="0" w:color="auto"/>
        <w:bottom w:val="none" w:sz="0" w:space="0" w:color="auto"/>
        <w:right w:val="none" w:sz="0" w:space="0" w:color="auto"/>
      </w:divBdr>
    </w:div>
    <w:div w:id="734932466">
      <w:bodyDiv w:val="1"/>
      <w:marLeft w:val="0"/>
      <w:marRight w:val="0"/>
      <w:marTop w:val="0"/>
      <w:marBottom w:val="0"/>
      <w:divBdr>
        <w:top w:val="none" w:sz="0" w:space="0" w:color="auto"/>
        <w:left w:val="none" w:sz="0" w:space="0" w:color="auto"/>
        <w:bottom w:val="none" w:sz="0" w:space="0" w:color="auto"/>
        <w:right w:val="none" w:sz="0" w:space="0" w:color="auto"/>
      </w:divBdr>
    </w:div>
    <w:div w:id="735127562">
      <w:bodyDiv w:val="1"/>
      <w:marLeft w:val="0"/>
      <w:marRight w:val="0"/>
      <w:marTop w:val="0"/>
      <w:marBottom w:val="0"/>
      <w:divBdr>
        <w:top w:val="none" w:sz="0" w:space="0" w:color="auto"/>
        <w:left w:val="none" w:sz="0" w:space="0" w:color="auto"/>
        <w:bottom w:val="none" w:sz="0" w:space="0" w:color="auto"/>
        <w:right w:val="none" w:sz="0" w:space="0" w:color="auto"/>
      </w:divBdr>
    </w:div>
    <w:div w:id="751048583">
      <w:bodyDiv w:val="1"/>
      <w:marLeft w:val="0"/>
      <w:marRight w:val="0"/>
      <w:marTop w:val="0"/>
      <w:marBottom w:val="0"/>
      <w:divBdr>
        <w:top w:val="none" w:sz="0" w:space="0" w:color="auto"/>
        <w:left w:val="none" w:sz="0" w:space="0" w:color="auto"/>
        <w:bottom w:val="none" w:sz="0" w:space="0" w:color="auto"/>
        <w:right w:val="none" w:sz="0" w:space="0" w:color="auto"/>
      </w:divBdr>
    </w:div>
    <w:div w:id="756632407">
      <w:bodyDiv w:val="1"/>
      <w:marLeft w:val="0"/>
      <w:marRight w:val="0"/>
      <w:marTop w:val="0"/>
      <w:marBottom w:val="0"/>
      <w:divBdr>
        <w:top w:val="none" w:sz="0" w:space="0" w:color="auto"/>
        <w:left w:val="none" w:sz="0" w:space="0" w:color="auto"/>
        <w:bottom w:val="none" w:sz="0" w:space="0" w:color="auto"/>
        <w:right w:val="none" w:sz="0" w:space="0" w:color="auto"/>
      </w:divBdr>
    </w:div>
    <w:div w:id="778990333">
      <w:bodyDiv w:val="1"/>
      <w:marLeft w:val="0"/>
      <w:marRight w:val="0"/>
      <w:marTop w:val="0"/>
      <w:marBottom w:val="0"/>
      <w:divBdr>
        <w:top w:val="none" w:sz="0" w:space="0" w:color="auto"/>
        <w:left w:val="none" w:sz="0" w:space="0" w:color="auto"/>
        <w:bottom w:val="none" w:sz="0" w:space="0" w:color="auto"/>
        <w:right w:val="none" w:sz="0" w:space="0" w:color="auto"/>
      </w:divBdr>
    </w:div>
    <w:div w:id="784883582">
      <w:bodyDiv w:val="1"/>
      <w:marLeft w:val="0"/>
      <w:marRight w:val="0"/>
      <w:marTop w:val="0"/>
      <w:marBottom w:val="0"/>
      <w:divBdr>
        <w:top w:val="none" w:sz="0" w:space="0" w:color="auto"/>
        <w:left w:val="none" w:sz="0" w:space="0" w:color="auto"/>
        <w:bottom w:val="none" w:sz="0" w:space="0" w:color="auto"/>
        <w:right w:val="none" w:sz="0" w:space="0" w:color="auto"/>
      </w:divBdr>
    </w:div>
    <w:div w:id="792209993">
      <w:bodyDiv w:val="1"/>
      <w:marLeft w:val="0"/>
      <w:marRight w:val="0"/>
      <w:marTop w:val="0"/>
      <w:marBottom w:val="0"/>
      <w:divBdr>
        <w:top w:val="none" w:sz="0" w:space="0" w:color="auto"/>
        <w:left w:val="none" w:sz="0" w:space="0" w:color="auto"/>
        <w:bottom w:val="none" w:sz="0" w:space="0" w:color="auto"/>
        <w:right w:val="none" w:sz="0" w:space="0" w:color="auto"/>
      </w:divBdr>
    </w:div>
    <w:div w:id="830826519">
      <w:bodyDiv w:val="1"/>
      <w:marLeft w:val="0"/>
      <w:marRight w:val="0"/>
      <w:marTop w:val="0"/>
      <w:marBottom w:val="0"/>
      <w:divBdr>
        <w:top w:val="none" w:sz="0" w:space="0" w:color="auto"/>
        <w:left w:val="none" w:sz="0" w:space="0" w:color="auto"/>
        <w:bottom w:val="none" w:sz="0" w:space="0" w:color="auto"/>
        <w:right w:val="none" w:sz="0" w:space="0" w:color="auto"/>
      </w:divBdr>
    </w:div>
    <w:div w:id="845706509">
      <w:bodyDiv w:val="1"/>
      <w:marLeft w:val="0"/>
      <w:marRight w:val="0"/>
      <w:marTop w:val="0"/>
      <w:marBottom w:val="0"/>
      <w:divBdr>
        <w:top w:val="none" w:sz="0" w:space="0" w:color="auto"/>
        <w:left w:val="none" w:sz="0" w:space="0" w:color="auto"/>
        <w:bottom w:val="none" w:sz="0" w:space="0" w:color="auto"/>
        <w:right w:val="none" w:sz="0" w:space="0" w:color="auto"/>
      </w:divBdr>
    </w:div>
    <w:div w:id="862598937">
      <w:bodyDiv w:val="1"/>
      <w:marLeft w:val="0"/>
      <w:marRight w:val="0"/>
      <w:marTop w:val="0"/>
      <w:marBottom w:val="0"/>
      <w:divBdr>
        <w:top w:val="none" w:sz="0" w:space="0" w:color="auto"/>
        <w:left w:val="none" w:sz="0" w:space="0" w:color="auto"/>
        <w:bottom w:val="none" w:sz="0" w:space="0" w:color="auto"/>
        <w:right w:val="none" w:sz="0" w:space="0" w:color="auto"/>
      </w:divBdr>
    </w:div>
    <w:div w:id="866723734">
      <w:bodyDiv w:val="1"/>
      <w:marLeft w:val="0"/>
      <w:marRight w:val="0"/>
      <w:marTop w:val="0"/>
      <w:marBottom w:val="0"/>
      <w:divBdr>
        <w:top w:val="none" w:sz="0" w:space="0" w:color="auto"/>
        <w:left w:val="none" w:sz="0" w:space="0" w:color="auto"/>
        <w:bottom w:val="none" w:sz="0" w:space="0" w:color="auto"/>
        <w:right w:val="none" w:sz="0" w:space="0" w:color="auto"/>
      </w:divBdr>
    </w:div>
    <w:div w:id="880438204">
      <w:bodyDiv w:val="1"/>
      <w:marLeft w:val="0"/>
      <w:marRight w:val="0"/>
      <w:marTop w:val="0"/>
      <w:marBottom w:val="0"/>
      <w:divBdr>
        <w:top w:val="none" w:sz="0" w:space="0" w:color="auto"/>
        <w:left w:val="none" w:sz="0" w:space="0" w:color="auto"/>
        <w:bottom w:val="none" w:sz="0" w:space="0" w:color="auto"/>
        <w:right w:val="none" w:sz="0" w:space="0" w:color="auto"/>
      </w:divBdr>
    </w:div>
    <w:div w:id="888688087">
      <w:bodyDiv w:val="1"/>
      <w:marLeft w:val="0"/>
      <w:marRight w:val="0"/>
      <w:marTop w:val="0"/>
      <w:marBottom w:val="0"/>
      <w:divBdr>
        <w:top w:val="none" w:sz="0" w:space="0" w:color="auto"/>
        <w:left w:val="none" w:sz="0" w:space="0" w:color="auto"/>
        <w:bottom w:val="none" w:sz="0" w:space="0" w:color="auto"/>
        <w:right w:val="none" w:sz="0" w:space="0" w:color="auto"/>
      </w:divBdr>
    </w:div>
    <w:div w:id="901792150">
      <w:bodyDiv w:val="1"/>
      <w:marLeft w:val="0"/>
      <w:marRight w:val="0"/>
      <w:marTop w:val="0"/>
      <w:marBottom w:val="0"/>
      <w:divBdr>
        <w:top w:val="none" w:sz="0" w:space="0" w:color="auto"/>
        <w:left w:val="none" w:sz="0" w:space="0" w:color="auto"/>
        <w:bottom w:val="none" w:sz="0" w:space="0" w:color="auto"/>
        <w:right w:val="none" w:sz="0" w:space="0" w:color="auto"/>
      </w:divBdr>
    </w:div>
    <w:div w:id="903298371">
      <w:bodyDiv w:val="1"/>
      <w:marLeft w:val="0"/>
      <w:marRight w:val="0"/>
      <w:marTop w:val="0"/>
      <w:marBottom w:val="0"/>
      <w:divBdr>
        <w:top w:val="none" w:sz="0" w:space="0" w:color="auto"/>
        <w:left w:val="none" w:sz="0" w:space="0" w:color="auto"/>
        <w:bottom w:val="none" w:sz="0" w:space="0" w:color="auto"/>
        <w:right w:val="none" w:sz="0" w:space="0" w:color="auto"/>
      </w:divBdr>
    </w:div>
    <w:div w:id="909081251">
      <w:bodyDiv w:val="1"/>
      <w:marLeft w:val="0"/>
      <w:marRight w:val="0"/>
      <w:marTop w:val="0"/>
      <w:marBottom w:val="0"/>
      <w:divBdr>
        <w:top w:val="none" w:sz="0" w:space="0" w:color="auto"/>
        <w:left w:val="none" w:sz="0" w:space="0" w:color="auto"/>
        <w:bottom w:val="none" w:sz="0" w:space="0" w:color="auto"/>
        <w:right w:val="none" w:sz="0" w:space="0" w:color="auto"/>
      </w:divBdr>
    </w:div>
    <w:div w:id="909660798">
      <w:bodyDiv w:val="1"/>
      <w:marLeft w:val="0"/>
      <w:marRight w:val="0"/>
      <w:marTop w:val="0"/>
      <w:marBottom w:val="0"/>
      <w:divBdr>
        <w:top w:val="none" w:sz="0" w:space="0" w:color="auto"/>
        <w:left w:val="none" w:sz="0" w:space="0" w:color="auto"/>
        <w:bottom w:val="none" w:sz="0" w:space="0" w:color="auto"/>
        <w:right w:val="none" w:sz="0" w:space="0" w:color="auto"/>
      </w:divBdr>
    </w:div>
    <w:div w:id="917591669">
      <w:bodyDiv w:val="1"/>
      <w:marLeft w:val="0"/>
      <w:marRight w:val="0"/>
      <w:marTop w:val="0"/>
      <w:marBottom w:val="0"/>
      <w:divBdr>
        <w:top w:val="none" w:sz="0" w:space="0" w:color="auto"/>
        <w:left w:val="none" w:sz="0" w:space="0" w:color="auto"/>
        <w:bottom w:val="none" w:sz="0" w:space="0" w:color="auto"/>
        <w:right w:val="none" w:sz="0" w:space="0" w:color="auto"/>
      </w:divBdr>
    </w:div>
    <w:div w:id="922181507">
      <w:bodyDiv w:val="1"/>
      <w:marLeft w:val="0"/>
      <w:marRight w:val="0"/>
      <w:marTop w:val="0"/>
      <w:marBottom w:val="0"/>
      <w:divBdr>
        <w:top w:val="none" w:sz="0" w:space="0" w:color="auto"/>
        <w:left w:val="none" w:sz="0" w:space="0" w:color="auto"/>
        <w:bottom w:val="none" w:sz="0" w:space="0" w:color="auto"/>
        <w:right w:val="none" w:sz="0" w:space="0" w:color="auto"/>
      </w:divBdr>
    </w:div>
    <w:div w:id="924922873">
      <w:bodyDiv w:val="1"/>
      <w:marLeft w:val="0"/>
      <w:marRight w:val="0"/>
      <w:marTop w:val="0"/>
      <w:marBottom w:val="0"/>
      <w:divBdr>
        <w:top w:val="none" w:sz="0" w:space="0" w:color="auto"/>
        <w:left w:val="none" w:sz="0" w:space="0" w:color="auto"/>
        <w:bottom w:val="none" w:sz="0" w:space="0" w:color="auto"/>
        <w:right w:val="none" w:sz="0" w:space="0" w:color="auto"/>
      </w:divBdr>
      <w:divsChild>
        <w:div w:id="296305904">
          <w:marLeft w:val="1080"/>
          <w:marRight w:val="0"/>
          <w:marTop w:val="100"/>
          <w:marBottom w:val="0"/>
          <w:divBdr>
            <w:top w:val="none" w:sz="0" w:space="0" w:color="auto"/>
            <w:left w:val="none" w:sz="0" w:space="0" w:color="auto"/>
            <w:bottom w:val="none" w:sz="0" w:space="0" w:color="auto"/>
            <w:right w:val="none" w:sz="0" w:space="0" w:color="auto"/>
          </w:divBdr>
        </w:div>
      </w:divsChild>
    </w:div>
    <w:div w:id="926576908">
      <w:bodyDiv w:val="1"/>
      <w:marLeft w:val="0"/>
      <w:marRight w:val="0"/>
      <w:marTop w:val="0"/>
      <w:marBottom w:val="0"/>
      <w:divBdr>
        <w:top w:val="none" w:sz="0" w:space="0" w:color="auto"/>
        <w:left w:val="none" w:sz="0" w:space="0" w:color="auto"/>
        <w:bottom w:val="none" w:sz="0" w:space="0" w:color="auto"/>
        <w:right w:val="none" w:sz="0" w:space="0" w:color="auto"/>
      </w:divBdr>
    </w:div>
    <w:div w:id="952858317">
      <w:bodyDiv w:val="1"/>
      <w:marLeft w:val="0"/>
      <w:marRight w:val="0"/>
      <w:marTop w:val="0"/>
      <w:marBottom w:val="0"/>
      <w:divBdr>
        <w:top w:val="none" w:sz="0" w:space="0" w:color="auto"/>
        <w:left w:val="none" w:sz="0" w:space="0" w:color="auto"/>
        <w:bottom w:val="none" w:sz="0" w:space="0" w:color="auto"/>
        <w:right w:val="none" w:sz="0" w:space="0" w:color="auto"/>
      </w:divBdr>
    </w:div>
    <w:div w:id="965738808">
      <w:bodyDiv w:val="1"/>
      <w:marLeft w:val="0"/>
      <w:marRight w:val="0"/>
      <w:marTop w:val="0"/>
      <w:marBottom w:val="0"/>
      <w:divBdr>
        <w:top w:val="none" w:sz="0" w:space="0" w:color="auto"/>
        <w:left w:val="none" w:sz="0" w:space="0" w:color="auto"/>
        <w:bottom w:val="none" w:sz="0" w:space="0" w:color="auto"/>
        <w:right w:val="none" w:sz="0" w:space="0" w:color="auto"/>
      </w:divBdr>
    </w:div>
    <w:div w:id="967589735">
      <w:bodyDiv w:val="1"/>
      <w:marLeft w:val="0"/>
      <w:marRight w:val="0"/>
      <w:marTop w:val="0"/>
      <w:marBottom w:val="0"/>
      <w:divBdr>
        <w:top w:val="none" w:sz="0" w:space="0" w:color="auto"/>
        <w:left w:val="none" w:sz="0" w:space="0" w:color="auto"/>
        <w:bottom w:val="none" w:sz="0" w:space="0" w:color="auto"/>
        <w:right w:val="none" w:sz="0" w:space="0" w:color="auto"/>
      </w:divBdr>
    </w:div>
    <w:div w:id="971131744">
      <w:bodyDiv w:val="1"/>
      <w:marLeft w:val="0"/>
      <w:marRight w:val="0"/>
      <w:marTop w:val="0"/>
      <w:marBottom w:val="0"/>
      <w:divBdr>
        <w:top w:val="none" w:sz="0" w:space="0" w:color="auto"/>
        <w:left w:val="none" w:sz="0" w:space="0" w:color="auto"/>
        <w:bottom w:val="none" w:sz="0" w:space="0" w:color="auto"/>
        <w:right w:val="none" w:sz="0" w:space="0" w:color="auto"/>
      </w:divBdr>
    </w:div>
    <w:div w:id="981546006">
      <w:bodyDiv w:val="1"/>
      <w:marLeft w:val="0"/>
      <w:marRight w:val="0"/>
      <w:marTop w:val="0"/>
      <w:marBottom w:val="0"/>
      <w:divBdr>
        <w:top w:val="none" w:sz="0" w:space="0" w:color="auto"/>
        <w:left w:val="none" w:sz="0" w:space="0" w:color="auto"/>
        <w:bottom w:val="none" w:sz="0" w:space="0" w:color="auto"/>
        <w:right w:val="none" w:sz="0" w:space="0" w:color="auto"/>
      </w:divBdr>
    </w:div>
    <w:div w:id="982076055">
      <w:bodyDiv w:val="1"/>
      <w:marLeft w:val="0"/>
      <w:marRight w:val="0"/>
      <w:marTop w:val="0"/>
      <w:marBottom w:val="0"/>
      <w:divBdr>
        <w:top w:val="none" w:sz="0" w:space="0" w:color="auto"/>
        <w:left w:val="none" w:sz="0" w:space="0" w:color="auto"/>
        <w:bottom w:val="none" w:sz="0" w:space="0" w:color="auto"/>
        <w:right w:val="none" w:sz="0" w:space="0" w:color="auto"/>
      </w:divBdr>
    </w:div>
    <w:div w:id="997264531">
      <w:bodyDiv w:val="1"/>
      <w:marLeft w:val="0"/>
      <w:marRight w:val="0"/>
      <w:marTop w:val="0"/>
      <w:marBottom w:val="0"/>
      <w:divBdr>
        <w:top w:val="none" w:sz="0" w:space="0" w:color="auto"/>
        <w:left w:val="none" w:sz="0" w:space="0" w:color="auto"/>
        <w:bottom w:val="none" w:sz="0" w:space="0" w:color="auto"/>
        <w:right w:val="none" w:sz="0" w:space="0" w:color="auto"/>
      </w:divBdr>
    </w:div>
    <w:div w:id="1004555080">
      <w:bodyDiv w:val="1"/>
      <w:marLeft w:val="0"/>
      <w:marRight w:val="0"/>
      <w:marTop w:val="0"/>
      <w:marBottom w:val="0"/>
      <w:divBdr>
        <w:top w:val="none" w:sz="0" w:space="0" w:color="auto"/>
        <w:left w:val="none" w:sz="0" w:space="0" w:color="auto"/>
        <w:bottom w:val="none" w:sz="0" w:space="0" w:color="auto"/>
        <w:right w:val="none" w:sz="0" w:space="0" w:color="auto"/>
      </w:divBdr>
    </w:div>
    <w:div w:id="1005669176">
      <w:bodyDiv w:val="1"/>
      <w:marLeft w:val="0"/>
      <w:marRight w:val="0"/>
      <w:marTop w:val="0"/>
      <w:marBottom w:val="0"/>
      <w:divBdr>
        <w:top w:val="none" w:sz="0" w:space="0" w:color="auto"/>
        <w:left w:val="none" w:sz="0" w:space="0" w:color="auto"/>
        <w:bottom w:val="none" w:sz="0" w:space="0" w:color="auto"/>
        <w:right w:val="none" w:sz="0" w:space="0" w:color="auto"/>
      </w:divBdr>
    </w:div>
    <w:div w:id="1028331424">
      <w:bodyDiv w:val="1"/>
      <w:marLeft w:val="0"/>
      <w:marRight w:val="0"/>
      <w:marTop w:val="0"/>
      <w:marBottom w:val="0"/>
      <w:divBdr>
        <w:top w:val="none" w:sz="0" w:space="0" w:color="auto"/>
        <w:left w:val="none" w:sz="0" w:space="0" w:color="auto"/>
        <w:bottom w:val="none" w:sz="0" w:space="0" w:color="auto"/>
        <w:right w:val="none" w:sz="0" w:space="0" w:color="auto"/>
      </w:divBdr>
    </w:div>
    <w:div w:id="1030838448">
      <w:bodyDiv w:val="1"/>
      <w:marLeft w:val="0"/>
      <w:marRight w:val="0"/>
      <w:marTop w:val="0"/>
      <w:marBottom w:val="0"/>
      <w:divBdr>
        <w:top w:val="none" w:sz="0" w:space="0" w:color="auto"/>
        <w:left w:val="none" w:sz="0" w:space="0" w:color="auto"/>
        <w:bottom w:val="none" w:sz="0" w:space="0" w:color="auto"/>
        <w:right w:val="none" w:sz="0" w:space="0" w:color="auto"/>
      </w:divBdr>
    </w:div>
    <w:div w:id="1061976679">
      <w:bodyDiv w:val="1"/>
      <w:marLeft w:val="0"/>
      <w:marRight w:val="0"/>
      <w:marTop w:val="0"/>
      <w:marBottom w:val="0"/>
      <w:divBdr>
        <w:top w:val="none" w:sz="0" w:space="0" w:color="auto"/>
        <w:left w:val="none" w:sz="0" w:space="0" w:color="auto"/>
        <w:bottom w:val="none" w:sz="0" w:space="0" w:color="auto"/>
        <w:right w:val="none" w:sz="0" w:space="0" w:color="auto"/>
      </w:divBdr>
    </w:div>
    <w:div w:id="1067801670">
      <w:bodyDiv w:val="1"/>
      <w:marLeft w:val="0"/>
      <w:marRight w:val="0"/>
      <w:marTop w:val="0"/>
      <w:marBottom w:val="0"/>
      <w:divBdr>
        <w:top w:val="none" w:sz="0" w:space="0" w:color="auto"/>
        <w:left w:val="none" w:sz="0" w:space="0" w:color="auto"/>
        <w:bottom w:val="none" w:sz="0" w:space="0" w:color="auto"/>
        <w:right w:val="none" w:sz="0" w:space="0" w:color="auto"/>
      </w:divBdr>
    </w:div>
    <w:div w:id="1070233378">
      <w:bodyDiv w:val="1"/>
      <w:marLeft w:val="0"/>
      <w:marRight w:val="0"/>
      <w:marTop w:val="0"/>
      <w:marBottom w:val="0"/>
      <w:divBdr>
        <w:top w:val="none" w:sz="0" w:space="0" w:color="auto"/>
        <w:left w:val="none" w:sz="0" w:space="0" w:color="auto"/>
        <w:bottom w:val="none" w:sz="0" w:space="0" w:color="auto"/>
        <w:right w:val="none" w:sz="0" w:space="0" w:color="auto"/>
      </w:divBdr>
    </w:div>
    <w:div w:id="1073160715">
      <w:bodyDiv w:val="1"/>
      <w:marLeft w:val="0"/>
      <w:marRight w:val="0"/>
      <w:marTop w:val="0"/>
      <w:marBottom w:val="0"/>
      <w:divBdr>
        <w:top w:val="none" w:sz="0" w:space="0" w:color="auto"/>
        <w:left w:val="none" w:sz="0" w:space="0" w:color="auto"/>
        <w:bottom w:val="none" w:sz="0" w:space="0" w:color="auto"/>
        <w:right w:val="none" w:sz="0" w:space="0" w:color="auto"/>
      </w:divBdr>
    </w:div>
    <w:div w:id="1079210172">
      <w:bodyDiv w:val="1"/>
      <w:marLeft w:val="0"/>
      <w:marRight w:val="0"/>
      <w:marTop w:val="0"/>
      <w:marBottom w:val="0"/>
      <w:divBdr>
        <w:top w:val="none" w:sz="0" w:space="0" w:color="auto"/>
        <w:left w:val="none" w:sz="0" w:space="0" w:color="auto"/>
        <w:bottom w:val="none" w:sz="0" w:space="0" w:color="auto"/>
        <w:right w:val="none" w:sz="0" w:space="0" w:color="auto"/>
      </w:divBdr>
    </w:div>
    <w:div w:id="1079592444">
      <w:bodyDiv w:val="1"/>
      <w:marLeft w:val="0"/>
      <w:marRight w:val="0"/>
      <w:marTop w:val="0"/>
      <w:marBottom w:val="0"/>
      <w:divBdr>
        <w:top w:val="none" w:sz="0" w:space="0" w:color="auto"/>
        <w:left w:val="none" w:sz="0" w:space="0" w:color="auto"/>
        <w:bottom w:val="none" w:sz="0" w:space="0" w:color="auto"/>
        <w:right w:val="none" w:sz="0" w:space="0" w:color="auto"/>
      </w:divBdr>
    </w:div>
    <w:div w:id="1100684101">
      <w:bodyDiv w:val="1"/>
      <w:marLeft w:val="0"/>
      <w:marRight w:val="0"/>
      <w:marTop w:val="0"/>
      <w:marBottom w:val="0"/>
      <w:divBdr>
        <w:top w:val="none" w:sz="0" w:space="0" w:color="auto"/>
        <w:left w:val="none" w:sz="0" w:space="0" w:color="auto"/>
        <w:bottom w:val="none" w:sz="0" w:space="0" w:color="auto"/>
        <w:right w:val="none" w:sz="0" w:space="0" w:color="auto"/>
      </w:divBdr>
    </w:div>
    <w:div w:id="1103771040">
      <w:bodyDiv w:val="1"/>
      <w:marLeft w:val="0"/>
      <w:marRight w:val="0"/>
      <w:marTop w:val="0"/>
      <w:marBottom w:val="0"/>
      <w:divBdr>
        <w:top w:val="none" w:sz="0" w:space="0" w:color="auto"/>
        <w:left w:val="none" w:sz="0" w:space="0" w:color="auto"/>
        <w:bottom w:val="none" w:sz="0" w:space="0" w:color="auto"/>
        <w:right w:val="none" w:sz="0" w:space="0" w:color="auto"/>
      </w:divBdr>
    </w:div>
    <w:div w:id="1106197718">
      <w:bodyDiv w:val="1"/>
      <w:marLeft w:val="0"/>
      <w:marRight w:val="0"/>
      <w:marTop w:val="0"/>
      <w:marBottom w:val="0"/>
      <w:divBdr>
        <w:top w:val="none" w:sz="0" w:space="0" w:color="auto"/>
        <w:left w:val="none" w:sz="0" w:space="0" w:color="auto"/>
        <w:bottom w:val="none" w:sz="0" w:space="0" w:color="auto"/>
        <w:right w:val="none" w:sz="0" w:space="0" w:color="auto"/>
      </w:divBdr>
    </w:div>
    <w:div w:id="1110929735">
      <w:bodyDiv w:val="1"/>
      <w:marLeft w:val="0"/>
      <w:marRight w:val="0"/>
      <w:marTop w:val="0"/>
      <w:marBottom w:val="0"/>
      <w:divBdr>
        <w:top w:val="none" w:sz="0" w:space="0" w:color="auto"/>
        <w:left w:val="none" w:sz="0" w:space="0" w:color="auto"/>
        <w:bottom w:val="none" w:sz="0" w:space="0" w:color="auto"/>
        <w:right w:val="none" w:sz="0" w:space="0" w:color="auto"/>
      </w:divBdr>
    </w:div>
    <w:div w:id="1119883700">
      <w:bodyDiv w:val="1"/>
      <w:marLeft w:val="0"/>
      <w:marRight w:val="0"/>
      <w:marTop w:val="0"/>
      <w:marBottom w:val="0"/>
      <w:divBdr>
        <w:top w:val="none" w:sz="0" w:space="0" w:color="auto"/>
        <w:left w:val="none" w:sz="0" w:space="0" w:color="auto"/>
        <w:bottom w:val="none" w:sz="0" w:space="0" w:color="auto"/>
        <w:right w:val="none" w:sz="0" w:space="0" w:color="auto"/>
      </w:divBdr>
    </w:div>
    <w:div w:id="1134639205">
      <w:bodyDiv w:val="1"/>
      <w:marLeft w:val="0"/>
      <w:marRight w:val="0"/>
      <w:marTop w:val="0"/>
      <w:marBottom w:val="0"/>
      <w:divBdr>
        <w:top w:val="none" w:sz="0" w:space="0" w:color="auto"/>
        <w:left w:val="none" w:sz="0" w:space="0" w:color="auto"/>
        <w:bottom w:val="none" w:sz="0" w:space="0" w:color="auto"/>
        <w:right w:val="none" w:sz="0" w:space="0" w:color="auto"/>
      </w:divBdr>
    </w:div>
    <w:div w:id="1147237189">
      <w:bodyDiv w:val="1"/>
      <w:marLeft w:val="0"/>
      <w:marRight w:val="0"/>
      <w:marTop w:val="0"/>
      <w:marBottom w:val="0"/>
      <w:divBdr>
        <w:top w:val="none" w:sz="0" w:space="0" w:color="auto"/>
        <w:left w:val="none" w:sz="0" w:space="0" w:color="auto"/>
        <w:bottom w:val="none" w:sz="0" w:space="0" w:color="auto"/>
        <w:right w:val="none" w:sz="0" w:space="0" w:color="auto"/>
      </w:divBdr>
    </w:div>
    <w:div w:id="1159226548">
      <w:bodyDiv w:val="1"/>
      <w:marLeft w:val="0"/>
      <w:marRight w:val="0"/>
      <w:marTop w:val="0"/>
      <w:marBottom w:val="0"/>
      <w:divBdr>
        <w:top w:val="none" w:sz="0" w:space="0" w:color="auto"/>
        <w:left w:val="none" w:sz="0" w:space="0" w:color="auto"/>
        <w:bottom w:val="none" w:sz="0" w:space="0" w:color="auto"/>
        <w:right w:val="none" w:sz="0" w:space="0" w:color="auto"/>
      </w:divBdr>
    </w:div>
    <w:div w:id="1171606855">
      <w:bodyDiv w:val="1"/>
      <w:marLeft w:val="0"/>
      <w:marRight w:val="0"/>
      <w:marTop w:val="0"/>
      <w:marBottom w:val="0"/>
      <w:divBdr>
        <w:top w:val="none" w:sz="0" w:space="0" w:color="auto"/>
        <w:left w:val="none" w:sz="0" w:space="0" w:color="auto"/>
        <w:bottom w:val="none" w:sz="0" w:space="0" w:color="auto"/>
        <w:right w:val="none" w:sz="0" w:space="0" w:color="auto"/>
      </w:divBdr>
    </w:div>
    <w:div w:id="1187870613">
      <w:bodyDiv w:val="1"/>
      <w:marLeft w:val="0"/>
      <w:marRight w:val="0"/>
      <w:marTop w:val="0"/>
      <w:marBottom w:val="0"/>
      <w:divBdr>
        <w:top w:val="none" w:sz="0" w:space="0" w:color="auto"/>
        <w:left w:val="none" w:sz="0" w:space="0" w:color="auto"/>
        <w:bottom w:val="none" w:sz="0" w:space="0" w:color="auto"/>
        <w:right w:val="none" w:sz="0" w:space="0" w:color="auto"/>
      </w:divBdr>
    </w:div>
    <w:div w:id="1228565939">
      <w:bodyDiv w:val="1"/>
      <w:marLeft w:val="0"/>
      <w:marRight w:val="0"/>
      <w:marTop w:val="0"/>
      <w:marBottom w:val="0"/>
      <w:divBdr>
        <w:top w:val="none" w:sz="0" w:space="0" w:color="auto"/>
        <w:left w:val="none" w:sz="0" w:space="0" w:color="auto"/>
        <w:bottom w:val="none" w:sz="0" w:space="0" w:color="auto"/>
        <w:right w:val="none" w:sz="0" w:space="0" w:color="auto"/>
      </w:divBdr>
    </w:div>
    <w:div w:id="1241910962">
      <w:bodyDiv w:val="1"/>
      <w:marLeft w:val="0"/>
      <w:marRight w:val="0"/>
      <w:marTop w:val="0"/>
      <w:marBottom w:val="0"/>
      <w:divBdr>
        <w:top w:val="none" w:sz="0" w:space="0" w:color="auto"/>
        <w:left w:val="none" w:sz="0" w:space="0" w:color="auto"/>
        <w:bottom w:val="none" w:sz="0" w:space="0" w:color="auto"/>
        <w:right w:val="none" w:sz="0" w:space="0" w:color="auto"/>
      </w:divBdr>
    </w:div>
    <w:div w:id="1270505644">
      <w:bodyDiv w:val="1"/>
      <w:marLeft w:val="0"/>
      <w:marRight w:val="0"/>
      <w:marTop w:val="0"/>
      <w:marBottom w:val="0"/>
      <w:divBdr>
        <w:top w:val="none" w:sz="0" w:space="0" w:color="auto"/>
        <w:left w:val="none" w:sz="0" w:space="0" w:color="auto"/>
        <w:bottom w:val="none" w:sz="0" w:space="0" w:color="auto"/>
        <w:right w:val="none" w:sz="0" w:space="0" w:color="auto"/>
      </w:divBdr>
    </w:div>
    <w:div w:id="1271738644">
      <w:bodyDiv w:val="1"/>
      <w:marLeft w:val="0"/>
      <w:marRight w:val="0"/>
      <w:marTop w:val="0"/>
      <w:marBottom w:val="0"/>
      <w:divBdr>
        <w:top w:val="none" w:sz="0" w:space="0" w:color="auto"/>
        <w:left w:val="none" w:sz="0" w:space="0" w:color="auto"/>
        <w:bottom w:val="none" w:sz="0" w:space="0" w:color="auto"/>
        <w:right w:val="none" w:sz="0" w:space="0" w:color="auto"/>
      </w:divBdr>
    </w:div>
    <w:div w:id="1272932956">
      <w:bodyDiv w:val="1"/>
      <w:marLeft w:val="0"/>
      <w:marRight w:val="0"/>
      <w:marTop w:val="0"/>
      <w:marBottom w:val="0"/>
      <w:divBdr>
        <w:top w:val="none" w:sz="0" w:space="0" w:color="auto"/>
        <w:left w:val="none" w:sz="0" w:space="0" w:color="auto"/>
        <w:bottom w:val="none" w:sz="0" w:space="0" w:color="auto"/>
        <w:right w:val="none" w:sz="0" w:space="0" w:color="auto"/>
      </w:divBdr>
    </w:div>
    <w:div w:id="1283881978">
      <w:bodyDiv w:val="1"/>
      <w:marLeft w:val="0"/>
      <w:marRight w:val="0"/>
      <w:marTop w:val="0"/>
      <w:marBottom w:val="0"/>
      <w:divBdr>
        <w:top w:val="none" w:sz="0" w:space="0" w:color="auto"/>
        <w:left w:val="none" w:sz="0" w:space="0" w:color="auto"/>
        <w:bottom w:val="none" w:sz="0" w:space="0" w:color="auto"/>
        <w:right w:val="none" w:sz="0" w:space="0" w:color="auto"/>
      </w:divBdr>
    </w:div>
    <w:div w:id="1302999640">
      <w:bodyDiv w:val="1"/>
      <w:marLeft w:val="0"/>
      <w:marRight w:val="0"/>
      <w:marTop w:val="0"/>
      <w:marBottom w:val="0"/>
      <w:divBdr>
        <w:top w:val="none" w:sz="0" w:space="0" w:color="auto"/>
        <w:left w:val="none" w:sz="0" w:space="0" w:color="auto"/>
        <w:bottom w:val="none" w:sz="0" w:space="0" w:color="auto"/>
        <w:right w:val="none" w:sz="0" w:space="0" w:color="auto"/>
      </w:divBdr>
    </w:div>
    <w:div w:id="1310593317">
      <w:bodyDiv w:val="1"/>
      <w:marLeft w:val="0"/>
      <w:marRight w:val="0"/>
      <w:marTop w:val="0"/>
      <w:marBottom w:val="0"/>
      <w:divBdr>
        <w:top w:val="none" w:sz="0" w:space="0" w:color="auto"/>
        <w:left w:val="none" w:sz="0" w:space="0" w:color="auto"/>
        <w:bottom w:val="none" w:sz="0" w:space="0" w:color="auto"/>
        <w:right w:val="none" w:sz="0" w:space="0" w:color="auto"/>
      </w:divBdr>
    </w:div>
    <w:div w:id="1321041700">
      <w:bodyDiv w:val="1"/>
      <w:marLeft w:val="0"/>
      <w:marRight w:val="0"/>
      <w:marTop w:val="0"/>
      <w:marBottom w:val="0"/>
      <w:divBdr>
        <w:top w:val="none" w:sz="0" w:space="0" w:color="auto"/>
        <w:left w:val="none" w:sz="0" w:space="0" w:color="auto"/>
        <w:bottom w:val="none" w:sz="0" w:space="0" w:color="auto"/>
        <w:right w:val="none" w:sz="0" w:space="0" w:color="auto"/>
      </w:divBdr>
    </w:div>
    <w:div w:id="1325470047">
      <w:bodyDiv w:val="1"/>
      <w:marLeft w:val="0"/>
      <w:marRight w:val="0"/>
      <w:marTop w:val="0"/>
      <w:marBottom w:val="0"/>
      <w:divBdr>
        <w:top w:val="none" w:sz="0" w:space="0" w:color="auto"/>
        <w:left w:val="none" w:sz="0" w:space="0" w:color="auto"/>
        <w:bottom w:val="none" w:sz="0" w:space="0" w:color="auto"/>
        <w:right w:val="none" w:sz="0" w:space="0" w:color="auto"/>
      </w:divBdr>
    </w:div>
    <w:div w:id="1344940602">
      <w:bodyDiv w:val="1"/>
      <w:marLeft w:val="0"/>
      <w:marRight w:val="0"/>
      <w:marTop w:val="0"/>
      <w:marBottom w:val="0"/>
      <w:divBdr>
        <w:top w:val="none" w:sz="0" w:space="0" w:color="auto"/>
        <w:left w:val="none" w:sz="0" w:space="0" w:color="auto"/>
        <w:bottom w:val="none" w:sz="0" w:space="0" w:color="auto"/>
        <w:right w:val="none" w:sz="0" w:space="0" w:color="auto"/>
      </w:divBdr>
    </w:div>
    <w:div w:id="1369185064">
      <w:bodyDiv w:val="1"/>
      <w:marLeft w:val="0"/>
      <w:marRight w:val="0"/>
      <w:marTop w:val="0"/>
      <w:marBottom w:val="0"/>
      <w:divBdr>
        <w:top w:val="none" w:sz="0" w:space="0" w:color="auto"/>
        <w:left w:val="none" w:sz="0" w:space="0" w:color="auto"/>
        <w:bottom w:val="none" w:sz="0" w:space="0" w:color="auto"/>
        <w:right w:val="none" w:sz="0" w:space="0" w:color="auto"/>
      </w:divBdr>
    </w:div>
    <w:div w:id="1375932671">
      <w:bodyDiv w:val="1"/>
      <w:marLeft w:val="0"/>
      <w:marRight w:val="0"/>
      <w:marTop w:val="0"/>
      <w:marBottom w:val="0"/>
      <w:divBdr>
        <w:top w:val="none" w:sz="0" w:space="0" w:color="auto"/>
        <w:left w:val="none" w:sz="0" w:space="0" w:color="auto"/>
        <w:bottom w:val="none" w:sz="0" w:space="0" w:color="auto"/>
        <w:right w:val="none" w:sz="0" w:space="0" w:color="auto"/>
      </w:divBdr>
    </w:div>
    <w:div w:id="1383404830">
      <w:bodyDiv w:val="1"/>
      <w:marLeft w:val="0"/>
      <w:marRight w:val="0"/>
      <w:marTop w:val="0"/>
      <w:marBottom w:val="0"/>
      <w:divBdr>
        <w:top w:val="none" w:sz="0" w:space="0" w:color="auto"/>
        <w:left w:val="none" w:sz="0" w:space="0" w:color="auto"/>
        <w:bottom w:val="none" w:sz="0" w:space="0" w:color="auto"/>
        <w:right w:val="none" w:sz="0" w:space="0" w:color="auto"/>
      </w:divBdr>
    </w:div>
    <w:div w:id="1391461016">
      <w:bodyDiv w:val="1"/>
      <w:marLeft w:val="0"/>
      <w:marRight w:val="0"/>
      <w:marTop w:val="0"/>
      <w:marBottom w:val="0"/>
      <w:divBdr>
        <w:top w:val="none" w:sz="0" w:space="0" w:color="auto"/>
        <w:left w:val="none" w:sz="0" w:space="0" w:color="auto"/>
        <w:bottom w:val="none" w:sz="0" w:space="0" w:color="auto"/>
        <w:right w:val="none" w:sz="0" w:space="0" w:color="auto"/>
      </w:divBdr>
    </w:div>
    <w:div w:id="1393117627">
      <w:bodyDiv w:val="1"/>
      <w:marLeft w:val="0"/>
      <w:marRight w:val="0"/>
      <w:marTop w:val="0"/>
      <w:marBottom w:val="0"/>
      <w:divBdr>
        <w:top w:val="none" w:sz="0" w:space="0" w:color="auto"/>
        <w:left w:val="none" w:sz="0" w:space="0" w:color="auto"/>
        <w:bottom w:val="none" w:sz="0" w:space="0" w:color="auto"/>
        <w:right w:val="none" w:sz="0" w:space="0" w:color="auto"/>
      </w:divBdr>
    </w:div>
    <w:div w:id="1418400738">
      <w:bodyDiv w:val="1"/>
      <w:marLeft w:val="0"/>
      <w:marRight w:val="0"/>
      <w:marTop w:val="0"/>
      <w:marBottom w:val="0"/>
      <w:divBdr>
        <w:top w:val="none" w:sz="0" w:space="0" w:color="auto"/>
        <w:left w:val="none" w:sz="0" w:space="0" w:color="auto"/>
        <w:bottom w:val="none" w:sz="0" w:space="0" w:color="auto"/>
        <w:right w:val="none" w:sz="0" w:space="0" w:color="auto"/>
      </w:divBdr>
    </w:div>
    <w:div w:id="1425570023">
      <w:bodyDiv w:val="1"/>
      <w:marLeft w:val="0"/>
      <w:marRight w:val="0"/>
      <w:marTop w:val="0"/>
      <w:marBottom w:val="0"/>
      <w:divBdr>
        <w:top w:val="none" w:sz="0" w:space="0" w:color="auto"/>
        <w:left w:val="none" w:sz="0" w:space="0" w:color="auto"/>
        <w:bottom w:val="none" w:sz="0" w:space="0" w:color="auto"/>
        <w:right w:val="none" w:sz="0" w:space="0" w:color="auto"/>
      </w:divBdr>
    </w:div>
    <w:div w:id="1485583505">
      <w:bodyDiv w:val="1"/>
      <w:marLeft w:val="0"/>
      <w:marRight w:val="0"/>
      <w:marTop w:val="0"/>
      <w:marBottom w:val="0"/>
      <w:divBdr>
        <w:top w:val="none" w:sz="0" w:space="0" w:color="auto"/>
        <w:left w:val="none" w:sz="0" w:space="0" w:color="auto"/>
        <w:bottom w:val="none" w:sz="0" w:space="0" w:color="auto"/>
        <w:right w:val="none" w:sz="0" w:space="0" w:color="auto"/>
      </w:divBdr>
    </w:div>
    <w:div w:id="1488278086">
      <w:bodyDiv w:val="1"/>
      <w:marLeft w:val="0"/>
      <w:marRight w:val="0"/>
      <w:marTop w:val="0"/>
      <w:marBottom w:val="0"/>
      <w:divBdr>
        <w:top w:val="none" w:sz="0" w:space="0" w:color="auto"/>
        <w:left w:val="none" w:sz="0" w:space="0" w:color="auto"/>
        <w:bottom w:val="none" w:sz="0" w:space="0" w:color="auto"/>
        <w:right w:val="none" w:sz="0" w:space="0" w:color="auto"/>
      </w:divBdr>
    </w:div>
    <w:div w:id="1489635492">
      <w:bodyDiv w:val="1"/>
      <w:marLeft w:val="0"/>
      <w:marRight w:val="0"/>
      <w:marTop w:val="0"/>
      <w:marBottom w:val="0"/>
      <w:divBdr>
        <w:top w:val="none" w:sz="0" w:space="0" w:color="auto"/>
        <w:left w:val="none" w:sz="0" w:space="0" w:color="auto"/>
        <w:bottom w:val="none" w:sz="0" w:space="0" w:color="auto"/>
        <w:right w:val="none" w:sz="0" w:space="0" w:color="auto"/>
      </w:divBdr>
    </w:div>
    <w:div w:id="1496728736">
      <w:bodyDiv w:val="1"/>
      <w:marLeft w:val="0"/>
      <w:marRight w:val="0"/>
      <w:marTop w:val="0"/>
      <w:marBottom w:val="0"/>
      <w:divBdr>
        <w:top w:val="none" w:sz="0" w:space="0" w:color="auto"/>
        <w:left w:val="none" w:sz="0" w:space="0" w:color="auto"/>
        <w:bottom w:val="none" w:sz="0" w:space="0" w:color="auto"/>
        <w:right w:val="none" w:sz="0" w:space="0" w:color="auto"/>
      </w:divBdr>
    </w:div>
    <w:div w:id="1500004485">
      <w:bodyDiv w:val="1"/>
      <w:marLeft w:val="0"/>
      <w:marRight w:val="0"/>
      <w:marTop w:val="0"/>
      <w:marBottom w:val="0"/>
      <w:divBdr>
        <w:top w:val="none" w:sz="0" w:space="0" w:color="auto"/>
        <w:left w:val="none" w:sz="0" w:space="0" w:color="auto"/>
        <w:bottom w:val="none" w:sz="0" w:space="0" w:color="auto"/>
        <w:right w:val="none" w:sz="0" w:space="0" w:color="auto"/>
      </w:divBdr>
    </w:div>
    <w:div w:id="1506431251">
      <w:bodyDiv w:val="1"/>
      <w:marLeft w:val="0"/>
      <w:marRight w:val="0"/>
      <w:marTop w:val="0"/>
      <w:marBottom w:val="0"/>
      <w:divBdr>
        <w:top w:val="none" w:sz="0" w:space="0" w:color="auto"/>
        <w:left w:val="none" w:sz="0" w:space="0" w:color="auto"/>
        <w:bottom w:val="none" w:sz="0" w:space="0" w:color="auto"/>
        <w:right w:val="none" w:sz="0" w:space="0" w:color="auto"/>
      </w:divBdr>
    </w:div>
    <w:div w:id="1512640559">
      <w:bodyDiv w:val="1"/>
      <w:marLeft w:val="0"/>
      <w:marRight w:val="0"/>
      <w:marTop w:val="0"/>
      <w:marBottom w:val="0"/>
      <w:divBdr>
        <w:top w:val="none" w:sz="0" w:space="0" w:color="auto"/>
        <w:left w:val="none" w:sz="0" w:space="0" w:color="auto"/>
        <w:bottom w:val="none" w:sz="0" w:space="0" w:color="auto"/>
        <w:right w:val="none" w:sz="0" w:space="0" w:color="auto"/>
      </w:divBdr>
    </w:div>
    <w:div w:id="1516840668">
      <w:bodyDiv w:val="1"/>
      <w:marLeft w:val="0"/>
      <w:marRight w:val="0"/>
      <w:marTop w:val="0"/>
      <w:marBottom w:val="0"/>
      <w:divBdr>
        <w:top w:val="none" w:sz="0" w:space="0" w:color="auto"/>
        <w:left w:val="none" w:sz="0" w:space="0" w:color="auto"/>
        <w:bottom w:val="none" w:sz="0" w:space="0" w:color="auto"/>
        <w:right w:val="none" w:sz="0" w:space="0" w:color="auto"/>
      </w:divBdr>
    </w:div>
    <w:div w:id="1520436579">
      <w:bodyDiv w:val="1"/>
      <w:marLeft w:val="0"/>
      <w:marRight w:val="0"/>
      <w:marTop w:val="0"/>
      <w:marBottom w:val="0"/>
      <w:divBdr>
        <w:top w:val="none" w:sz="0" w:space="0" w:color="auto"/>
        <w:left w:val="none" w:sz="0" w:space="0" w:color="auto"/>
        <w:bottom w:val="none" w:sz="0" w:space="0" w:color="auto"/>
        <w:right w:val="none" w:sz="0" w:space="0" w:color="auto"/>
      </w:divBdr>
    </w:div>
    <w:div w:id="1537888249">
      <w:bodyDiv w:val="1"/>
      <w:marLeft w:val="0"/>
      <w:marRight w:val="0"/>
      <w:marTop w:val="0"/>
      <w:marBottom w:val="0"/>
      <w:divBdr>
        <w:top w:val="none" w:sz="0" w:space="0" w:color="auto"/>
        <w:left w:val="none" w:sz="0" w:space="0" w:color="auto"/>
        <w:bottom w:val="none" w:sz="0" w:space="0" w:color="auto"/>
        <w:right w:val="none" w:sz="0" w:space="0" w:color="auto"/>
      </w:divBdr>
    </w:div>
    <w:div w:id="1538351115">
      <w:bodyDiv w:val="1"/>
      <w:marLeft w:val="0"/>
      <w:marRight w:val="0"/>
      <w:marTop w:val="0"/>
      <w:marBottom w:val="0"/>
      <w:divBdr>
        <w:top w:val="none" w:sz="0" w:space="0" w:color="auto"/>
        <w:left w:val="none" w:sz="0" w:space="0" w:color="auto"/>
        <w:bottom w:val="none" w:sz="0" w:space="0" w:color="auto"/>
        <w:right w:val="none" w:sz="0" w:space="0" w:color="auto"/>
      </w:divBdr>
    </w:div>
    <w:div w:id="1539971465">
      <w:bodyDiv w:val="1"/>
      <w:marLeft w:val="0"/>
      <w:marRight w:val="0"/>
      <w:marTop w:val="0"/>
      <w:marBottom w:val="0"/>
      <w:divBdr>
        <w:top w:val="none" w:sz="0" w:space="0" w:color="auto"/>
        <w:left w:val="none" w:sz="0" w:space="0" w:color="auto"/>
        <w:bottom w:val="none" w:sz="0" w:space="0" w:color="auto"/>
        <w:right w:val="none" w:sz="0" w:space="0" w:color="auto"/>
      </w:divBdr>
    </w:div>
    <w:div w:id="1546060239">
      <w:bodyDiv w:val="1"/>
      <w:marLeft w:val="0"/>
      <w:marRight w:val="0"/>
      <w:marTop w:val="0"/>
      <w:marBottom w:val="0"/>
      <w:divBdr>
        <w:top w:val="none" w:sz="0" w:space="0" w:color="auto"/>
        <w:left w:val="none" w:sz="0" w:space="0" w:color="auto"/>
        <w:bottom w:val="none" w:sz="0" w:space="0" w:color="auto"/>
        <w:right w:val="none" w:sz="0" w:space="0" w:color="auto"/>
      </w:divBdr>
    </w:div>
    <w:div w:id="1568955504">
      <w:bodyDiv w:val="1"/>
      <w:marLeft w:val="0"/>
      <w:marRight w:val="0"/>
      <w:marTop w:val="0"/>
      <w:marBottom w:val="0"/>
      <w:divBdr>
        <w:top w:val="none" w:sz="0" w:space="0" w:color="auto"/>
        <w:left w:val="none" w:sz="0" w:space="0" w:color="auto"/>
        <w:bottom w:val="none" w:sz="0" w:space="0" w:color="auto"/>
        <w:right w:val="none" w:sz="0" w:space="0" w:color="auto"/>
      </w:divBdr>
    </w:div>
    <w:div w:id="1572422744">
      <w:bodyDiv w:val="1"/>
      <w:marLeft w:val="0"/>
      <w:marRight w:val="0"/>
      <w:marTop w:val="0"/>
      <w:marBottom w:val="0"/>
      <w:divBdr>
        <w:top w:val="none" w:sz="0" w:space="0" w:color="auto"/>
        <w:left w:val="none" w:sz="0" w:space="0" w:color="auto"/>
        <w:bottom w:val="none" w:sz="0" w:space="0" w:color="auto"/>
        <w:right w:val="none" w:sz="0" w:space="0" w:color="auto"/>
      </w:divBdr>
    </w:div>
    <w:div w:id="1574393990">
      <w:bodyDiv w:val="1"/>
      <w:marLeft w:val="0"/>
      <w:marRight w:val="0"/>
      <w:marTop w:val="0"/>
      <w:marBottom w:val="0"/>
      <w:divBdr>
        <w:top w:val="none" w:sz="0" w:space="0" w:color="auto"/>
        <w:left w:val="none" w:sz="0" w:space="0" w:color="auto"/>
        <w:bottom w:val="none" w:sz="0" w:space="0" w:color="auto"/>
        <w:right w:val="none" w:sz="0" w:space="0" w:color="auto"/>
      </w:divBdr>
    </w:div>
    <w:div w:id="1578201065">
      <w:bodyDiv w:val="1"/>
      <w:marLeft w:val="0"/>
      <w:marRight w:val="0"/>
      <w:marTop w:val="0"/>
      <w:marBottom w:val="0"/>
      <w:divBdr>
        <w:top w:val="none" w:sz="0" w:space="0" w:color="auto"/>
        <w:left w:val="none" w:sz="0" w:space="0" w:color="auto"/>
        <w:bottom w:val="none" w:sz="0" w:space="0" w:color="auto"/>
        <w:right w:val="none" w:sz="0" w:space="0" w:color="auto"/>
      </w:divBdr>
    </w:div>
    <w:div w:id="1580022675">
      <w:bodyDiv w:val="1"/>
      <w:marLeft w:val="0"/>
      <w:marRight w:val="0"/>
      <w:marTop w:val="0"/>
      <w:marBottom w:val="0"/>
      <w:divBdr>
        <w:top w:val="none" w:sz="0" w:space="0" w:color="auto"/>
        <w:left w:val="none" w:sz="0" w:space="0" w:color="auto"/>
        <w:bottom w:val="none" w:sz="0" w:space="0" w:color="auto"/>
        <w:right w:val="none" w:sz="0" w:space="0" w:color="auto"/>
      </w:divBdr>
    </w:div>
    <w:div w:id="1581326750">
      <w:bodyDiv w:val="1"/>
      <w:marLeft w:val="0"/>
      <w:marRight w:val="0"/>
      <w:marTop w:val="0"/>
      <w:marBottom w:val="0"/>
      <w:divBdr>
        <w:top w:val="none" w:sz="0" w:space="0" w:color="auto"/>
        <w:left w:val="none" w:sz="0" w:space="0" w:color="auto"/>
        <w:bottom w:val="none" w:sz="0" w:space="0" w:color="auto"/>
        <w:right w:val="none" w:sz="0" w:space="0" w:color="auto"/>
      </w:divBdr>
    </w:div>
    <w:div w:id="1584484322">
      <w:bodyDiv w:val="1"/>
      <w:marLeft w:val="0"/>
      <w:marRight w:val="0"/>
      <w:marTop w:val="0"/>
      <w:marBottom w:val="0"/>
      <w:divBdr>
        <w:top w:val="none" w:sz="0" w:space="0" w:color="auto"/>
        <w:left w:val="none" w:sz="0" w:space="0" w:color="auto"/>
        <w:bottom w:val="none" w:sz="0" w:space="0" w:color="auto"/>
        <w:right w:val="none" w:sz="0" w:space="0" w:color="auto"/>
      </w:divBdr>
    </w:div>
    <w:div w:id="1587572469">
      <w:bodyDiv w:val="1"/>
      <w:marLeft w:val="0"/>
      <w:marRight w:val="0"/>
      <w:marTop w:val="0"/>
      <w:marBottom w:val="0"/>
      <w:divBdr>
        <w:top w:val="none" w:sz="0" w:space="0" w:color="auto"/>
        <w:left w:val="none" w:sz="0" w:space="0" w:color="auto"/>
        <w:bottom w:val="none" w:sz="0" w:space="0" w:color="auto"/>
        <w:right w:val="none" w:sz="0" w:space="0" w:color="auto"/>
      </w:divBdr>
    </w:div>
    <w:div w:id="1606418804">
      <w:bodyDiv w:val="1"/>
      <w:marLeft w:val="0"/>
      <w:marRight w:val="0"/>
      <w:marTop w:val="0"/>
      <w:marBottom w:val="0"/>
      <w:divBdr>
        <w:top w:val="none" w:sz="0" w:space="0" w:color="auto"/>
        <w:left w:val="none" w:sz="0" w:space="0" w:color="auto"/>
        <w:bottom w:val="none" w:sz="0" w:space="0" w:color="auto"/>
        <w:right w:val="none" w:sz="0" w:space="0" w:color="auto"/>
      </w:divBdr>
    </w:div>
    <w:div w:id="1610162942">
      <w:bodyDiv w:val="1"/>
      <w:marLeft w:val="0"/>
      <w:marRight w:val="0"/>
      <w:marTop w:val="0"/>
      <w:marBottom w:val="0"/>
      <w:divBdr>
        <w:top w:val="none" w:sz="0" w:space="0" w:color="auto"/>
        <w:left w:val="none" w:sz="0" w:space="0" w:color="auto"/>
        <w:bottom w:val="none" w:sz="0" w:space="0" w:color="auto"/>
        <w:right w:val="none" w:sz="0" w:space="0" w:color="auto"/>
      </w:divBdr>
    </w:div>
    <w:div w:id="1613585278">
      <w:bodyDiv w:val="1"/>
      <w:marLeft w:val="0"/>
      <w:marRight w:val="0"/>
      <w:marTop w:val="0"/>
      <w:marBottom w:val="0"/>
      <w:divBdr>
        <w:top w:val="none" w:sz="0" w:space="0" w:color="auto"/>
        <w:left w:val="none" w:sz="0" w:space="0" w:color="auto"/>
        <w:bottom w:val="none" w:sz="0" w:space="0" w:color="auto"/>
        <w:right w:val="none" w:sz="0" w:space="0" w:color="auto"/>
      </w:divBdr>
    </w:div>
    <w:div w:id="1617832598">
      <w:bodyDiv w:val="1"/>
      <w:marLeft w:val="0"/>
      <w:marRight w:val="0"/>
      <w:marTop w:val="0"/>
      <w:marBottom w:val="0"/>
      <w:divBdr>
        <w:top w:val="none" w:sz="0" w:space="0" w:color="auto"/>
        <w:left w:val="none" w:sz="0" w:space="0" w:color="auto"/>
        <w:bottom w:val="none" w:sz="0" w:space="0" w:color="auto"/>
        <w:right w:val="none" w:sz="0" w:space="0" w:color="auto"/>
      </w:divBdr>
    </w:div>
    <w:div w:id="1622809961">
      <w:bodyDiv w:val="1"/>
      <w:marLeft w:val="0"/>
      <w:marRight w:val="0"/>
      <w:marTop w:val="0"/>
      <w:marBottom w:val="0"/>
      <w:divBdr>
        <w:top w:val="none" w:sz="0" w:space="0" w:color="auto"/>
        <w:left w:val="none" w:sz="0" w:space="0" w:color="auto"/>
        <w:bottom w:val="none" w:sz="0" w:space="0" w:color="auto"/>
        <w:right w:val="none" w:sz="0" w:space="0" w:color="auto"/>
      </w:divBdr>
    </w:div>
    <w:div w:id="1625578431">
      <w:bodyDiv w:val="1"/>
      <w:marLeft w:val="0"/>
      <w:marRight w:val="0"/>
      <w:marTop w:val="0"/>
      <w:marBottom w:val="0"/>
      <w:divBdr>
        <w:top w:val="none" w:sz="0" w:space="0" w:color="auto"/>
        <w:left w:val="none" w:sz="0" w:space="0" w:color="auto"/>
        <w:bottom w:val="none" w:sz="0" w:space="0" w:color="auto"/>
        <w:right w:val="none" w:sz="0" w:space="0" w:color="auto"/>
      </w:divBdr>
    </w:div>
    <w:div w:id="1631521027">
      <w:bodyDiv w:val="1"/>
      <w:marLeft w:val="0"/>
      <w:marRight w:val="0"/>
      <w:marTop w:val="0"/>
      <w:marBottom w:val="0"/>
      <w:divBdr>
        <w:top w:val="none" w:sz="0" w:space="0" w:color="auto"/>
        <w:left w:val="none" w:sz="0" w:space="0" w:color="auto"/>
        <w:bottom w:val="none" w:sz="0" w:space="0" w:color="auto"/>
        <w:right w:val="none" w:sz="0" w:space="0" w:color="auto"/>
      </w:divBdr>
    </w:div>
    <w:div w:id="1645087302">
      <w:bodyDiv w:val="1"/>
      <w:marLeft w:val="0"/>
      <w:marRight w:val="0"/>
      <w:marTop w:val="0"/>
      <w:marBottom w:val="0"/>
      <w:divBdr>
        <w:top w:val="none" w:sz="0" w:space="0" w:color="auto"/>
        <w:left w:val="none" w:sz="0" w:space="0" w:color="auto"/>
        <w:bottom w:val="none" w:sz="0" w:space="0" w:color="auto"/>
        <w:right w:val="none" w:sz="0" w:space="0" w:color="auto"/>
      </w:divBdr>
    </w:div>
    <w:div w:id="1658922999">
      <w:bodyDiv w:val="1"/>
      <w:marLeft w:val="0"/>
      <w:marRight w:val="0"/>
      <w:marTop w:val="0"/>
      <w:marBottom w:val="0"/>
      <w:divBdr>
        <w:top w:val="none" w:sz="0" w:space="0" w:color="auto"/>
        <w:left w:val="none" w:sz="0" w:space="0" w:color="auto"/>
        <w:bottom w:val="none" w:sz="0" w:space="0" w:color="auto"/>
        <w:right w:val="none" w:sz="0" w:space="0" w:color="auto"/>
      </w:divBdr>
    </w:div>
    <w:div w:id="1663924526">
      <w:bodyDiv w:val="1"/>
      <w:marLeft w:val="0"/>
      <w:marRight w:val="0"/>
      <w:marTop w:val="0"/>
      <w:marBottom w:val="0"/>
      <w:divBdr>
        <w:top w:val="none" w:sz="0" w:space="0" w:color="auto"/>
        <w:left w:val="none" w:sz="0" w:space="0" w:color="auto"/>
        <w:bottom w:val="none" w:sz="0" w:space="0" w:color="auto"/>
        <w:right w:val="none" w:sz="0" w:space="0" w:color="auto"/>
      </w:divBdr>
    </w:div>
    <w:div w:id="1678457538">
      <w:bodyDiv w:val="1"/>
      <w:marLeft w:val="0"/>
      <w:marRight w:val="0"/>
      <w:marTop w:val="0"/>
      <w:marBottom w:val="0"/>
      <w:divBdr>
        <w:top w:val="none" w:sz="0" w:space="0" w:color="auto"/>
        <w:left w:val="none" w:sz="0" w:space="0" w:color="auto"/>
        <w:bottom w:val="none" w:sz="0" w:space="0" w:color="auto"/>
        <w:right w:val="none" w:sz="0" w:space="0" w:color="auto"/>
      </w:divBdr>
    </w:div>
    <w:div w:id="1679960797">
      <w:bodyDiv w:val="1"/>
      <w:marLeft w:val="0"/>
      <w:marRight w:val="0"/>
      <w:marTop w:val="0"/>
      <w:marBottom w:val="0"/>
      <w:divBdr>
        <w:top w:val="none" w:sz="0" w:space="0" w:color="auto"/>
        <w:left w:val="none" w:sz="0" w:space="0" w:color="auto"/>
        <w:bottom w:val="none" w:sz="0" w:space="0" w:color="auto"/>
        <w:right w:val="none" w:sz="0" w:space="0" w:color="auto"/>
      </w:divBdr>
    </w:div>
    <w:div w:id="1703088876">
      <w:bodyDiv w:val="1"/>
      <w:marLeft w:val="0"/>
      <w:marRight w:val="0"/>
      <w:marTop w:val="0"/>
      <w:marBottom w:val="0"/>
      <w:divBdr>
        <w:top w:val="none" w:sz="0" w:space="0" w:color="auto"/>
        <w:left w:val="none" w:sz="0" w:space="0" w:color="auto"/>
        <w:bottom w:val="none" w:sz="0" w:space="0" w:color="auto"/>
        <w:right w:val="none" w:sz="0" w:space="0" w:color="auto"/>
      </w:divBdr>
    </w:div>
    <w:div w:id="1703555834">
      <w:bodyDiv w:val="1"/>
      <w:marLeft w:val="0"/>
      <w:marRight w:val="0"/>
      <w:marTop w:val="0"/>
      <w:marBottom w:val="0"/>
      <w:divBdr>
        <w:top w:val="none" w:sz="0" w:space="0" w:color="auto"/>
        <w:left w:val="none" w:sz="0" w:space="0" w:color="auto"/>
        <w:bottom w:val="none" w:sz="0" w:space="0" w:color="auto"/>
        <w:right w:val="none" w:sz="0" w:space="0" w:color="auto"/>
      </w:divBdr>
    </w:div>
    <w:div w:id="1704163223">
      <w:bodyDiv w:val="1"/>
      <w:marLeft w:val="0"/>
      <w:marRight w:val="0"/>
      <w:marTop w:val="0"/>
      <w:marBottom w:val="0"/>
      <w:divBdr>
        <w:top w:val="none" w:sz="0" w:space="0" w:color="auto"/>
        <w:left w:val="none" w:sz="0" w:space="0" w:color="auto"/>
        <w:bottom w:val="none" w:sz="0" w:space="0" w:color="auto"/>
        <w:right w:val="none" w:sz="0" w:space="0" w:color="auto"/>
      </w:divBdr>
    </w:div>
    <w:div w:id="1705716087">
      <w:bodyDiv w:val="1"/>
      <w:marLeft w:val="0"/>
      <w:marRight w:val="0"/>
      <w:marTop w:val="0"/>
      <w:marBottom w:val="0"/>
      <w:divBdr>
        <w:top w:val="none" w:sz="0" w:space="0" w:color="auto"/>
        <w:left w:val="none" w:sz="0" w:space="0" w:color="auto"/>
        <w:bottom w:val="none" w:sz="0" w:space="0" w:color="auto"/>
        <w:right w:val="none" w:sz="0" w:space="0" w:color="auto"/>
      </w:divBdr>
    </w:div>
    <w:div w:id="1730153817">
      <w:bodyDiv w:val="1"/>
      <w:marLeft w:val="0"/>
      <w:marRight w:val="0"/>
      <w:marTop w:val="0"/>
      <w:marBottom w:val="0"/>
      <w:divBdr>
        <w:top w:val="none" w:sz="0" w:space="0" w:color="auto"/>
        <w:left w:val="none" w:sz="0" w:space="0" w:color="auto"/>
        <w:bottom w:val="none" w:sz="0" w:space="0" w:color="auto"/>
        <w:right w:val="none" w:sz="0" w:space="0" w:color="auto"/>
      </w:divBdr>
    </w:div>
    <w:div w:id="1731147239">
      <w:bodyDiv w:val="1"/>
      <w:marLeft w:val="0"/>
      <w:marRight w:val="0"/>
      <w:marTop w:val="0"/>
      <w:marBottom w:val="0"/>
      <w:divBdr>
        <w:top w:val="none" w:sz="0" w:space="0" w:color="auto"/>
        <w:left w:val="none" w:sz="0" w:space="0" w:color="auto"/>
        <w:bottom w:val="none" w:sz="0" w:space="0" w:color="auto"/>
        <w:right w:val="none" w:sz="0" w:space="0" w:color="auto"/>
      </w:divBdr>
    </w:div>
    <w:div w:id="1749884761">
      <w:bodyDiv w:val="1"/>
      <w:marLeft w:val="0"/>
      <w:marRight w:val="0"/>
      <w:marTop w:val="0"/>
      <w:marBottom w:val="0"/>
      <w:divBdr>
        <w:top w:val="none" w:sz="0" w:space="0" w:color="auto"/>
        <w:left w:val="none" w:sz="0" w:space="0" w:color="auto"/>
        <w:bottom w:val="none" w:sz="0" w:space="0" w:color="auto"/>
        <w:right w:val="none" w:sz="0" w:space="0" w:color="auto"/>
      </w:divBdr>
    </w:div>
    <w:div w:id="1765689966">
      <w:bodyDiv w:val="1"/>
      <w:marLeft w:val="0"/>
      <w:marRight w:val="0"/>
      <w:marTop w:val="0"/>
      <w:marBottom w:val="0"/>
      <w:divBdr>
        <w:top w:val="none" w:sz="0" w:space="0" w:color="auto"/>
        <w:left w:val="none" w:sz="0" w:space="0" w:color="auto"/>
        <w:bottom w:val="none" w:sz="0" w:space="0" w:color="auto"/>
        <w:right w:val="none" w:sz="0" w:space="0" w:color="auto"/>
      </w:divBdr>
    </w:div>
    <w:div w:id="1768189043">
      <w:bodyDiv w:val="1"/>
      <w:marLeft w:val="0"/>
      <w:marRight w:val="0"/>
      <w:marTop w:val="0"/>
      <w:marBottom w:val="0"/>
      <w:divBdr>
        <w:top w:val="none" w:sz="0" w:space="0" w:color="auto"/>
        <w:left w:val="none" w:sz="0" w:space="0" w:color="auto"/>
        <w:bottom w:val="none" w:sz="0" w:space="0" w:color="auto"/>
        <w:right w:val="none" w:sz="0" w:space="0" w:color="auto"/>
      </w:divBdr>
    </w:div>
    <w:div w:id="1778207639">
      <w:bodyDiv w:val="1"/>
      <w:marLeft w:val="0"/>
      <w:marRight w:val="0"/>
      <w:marTop w:val="0"/>
      <w:marBottom w:val="0"/>
      <w:divBdr>
        <w:top w:val="none" w:sz="0" w:space="0" w:color="auto"/>
        <w:left w:val="none" w:sz="0" w:space="0" w:color="auto"/>
        <w:bottom w:val="none" w:sz="0" w:space="0" w:color="auto"/>
        <w:right w:val="none" w:sz="0" w:space="0" w:color="auto"/>
      </w:divBdr>
    </w:div>
    <w:div w:id="1778669339">
      <w:bodyDiv w:val="1"/>
      <w:marLeft w:val="0"/>
      <w:marRight w:val="0"/>
      <w:marTop w:val="0"/>
      <w:marBottom w:val="0"/>
      <w:divBdr>
        <w:top w:val="none" w:sz="0" w:space="0" w:color="auto"/>
        <w:left w:val="none" w:sz="0" w:space="0" w:color="auto"/>
        <w:bottom w:val="none" w:sz="0" w:space="0" w:color="auto"/>
        <w:right w:val="none" w:sz="0" w:space="0" w:color="auto"/>
      </w:divBdr>
    </w:div>
    <w:div w:id="1781873323">
      <w:bodyDiv w:val="1"/>
      <w:marLeft w:val="0"/>
      <w:marRight w:val="0"/>
      <w:marTop w:val="0"/>
      <w:marBottom w:val="0"/>
      <w:divBdr>
        <w:top w:val="none" w:sz="0" w:space="0" w:color="auto"/>
        <w:left w:val="none" w:sz="0" w:space="0" w:color="auto"/>
        <w:bottom w:val="none" w:sz="0" w:space="0" w:color="auto"/>
        <w:right w:val="none" w:sz="0" w:space="0" w:color="auto"/>
      </w:divBdr>
    </w:div>
    <w:div w:id="1798793459">
      <w:bodyDiv w:val="1"/>
      <w:marLeft w:val="0"/>
      <w:marRight w:val="0"/>
      <w:marTop w:val="0"/>
      <w:marBottom w:val="0"/>
      <w:divBdr>
        <w:top w:val="none" w:sz="0" w:space="0" w:color="auto"/>
        <w:left w:val="none" w:sz="0" w:space="0" w:color="auto"/>
        <w:bottom w:val="none" w:sz="0" w:space="0" w:color="auto"/>
        <w:right w:val="none" w:sz="0" w:space="0" w:color="auto"/>
      </w:divBdr>
    </w:div>
    <w:div w:id="1834106988">
      <w:bodyDiv w:val="1"/>
      <w:marLeft w:val="0"/>
      <w:marRight w:val="0"/>
      <w:marTop w:val="0"/>
      <w:marBottom w:val="0"/>
      <w:divBdr>
        <w:top w:val="none" w:sz="0" w:space="0" w:color="auto"/>
        <w:left w:val="none" w:sz="0" w:space="0" w:color="auto"/>
        <w:bottom w:val="none" w:sz="0" w:space="0" w:color="auto"/>
        <w:right w:val="none" w:sz="0" w:space="0" w:color="auto"/>
      </w:divBdr>
    </w:div>
    <w:div w:id="1838888091">
      <w:bodyDiv w:val="1"/>
      <w:marLeft w:val="0"/>
      <w:marRight w:val="0"/>
      <w:marTop w:val="0"/>
      <w:marBottom w:val="0"/>
      <w:divBdr>
        <w:top w:val="none" w:sz="0" w:space="0" w:color="auto"/>
        <w:left w:val="none" w:sz="0" w:space="0" w:color="auto"/>
        <w:bottom w:val="none" w:sz="0" w:space="0" w:color="auto"/>
        <w:right w:val="none" w:sz="0" w:space="0" w:color="auto"/>
      </w:divBdr>
    </w:div>
    <w:div w:id="1843160233">
      <w:bodyDiv w:val="1"/>
      <w:marLeft w:val="0"/>
      <w:marRight w:val="0"/>
      <w:marTop w:val="0"/>
      <w:marBottom w:val="0"/>
      <w:divBdr>
        <w:top w:val="none" w:sz="0" w:space="0" w:color="auto"/>
        <w:left w:val="none" w:sz="0" w:space="0" w:color="auto"/>
        <w:bottom w:val="none" w:sz="0" w:space="0" w:color="auto"/>
        <w:right w:val="none" w:sz="0" w:space="0" w:color="auto"/>
      </w:divBdr>
    </w:div>
    <w:div w:id="1848131088">
      <w:bodyDiv w:val="1"/>
      <w:marLeft w:val="0"/>
      <w:marRight w:val="0"/>
      <w:marTop w:val="0"/>
      <w:marBottom w:val="0"/>
      <w:divBdr>
        <w:top w:val="none" w:sz="0" w:space="0" w:color="auto"/>
        <w:left w:val="none" w:sz="0" w:space="0" w:color="auto"/>
        <w:bottom w:val="none" w:sz="0" w:space="0" w:color="auto"/>
        <w:right w:val="none" w:sz="0" w:space="0" w:color="auto"/>
      </w:divBdr>
    </w:div>
    <w:div w:id="1875267314">
      <w:bodyDiv w:val="1"/>
      <w:marLeft w:val="0"/>
      <w:marRight w:val="0"/>
      <w:marTop w:val="0"/>
      <w:marBottom w:val="0"/>
      <w:divBdr>
        <w:top w:val="none" w:sz="0" w:space="0" w:color="auto"/>
        <w:left w:val="none" w:sz="0" w:space="0" w:color="auto"/>
        <w:bottom w:val="none" w:sz="0" w:space="0" w:color="auto"/>
        <w:right w:val="none" w:sz="0" w:space="0" w:color="auto"/>
      </w:divBdr>
    </w:div>
    <w:div w:id="1875725949">
      <w:bodyDiv w:val="1"/>
      <w:marLeft w:val="0"/>
      <w:marRight w:val="0"/>
      <w:marTop w:val="0"/>
      <w:marBottom w:val="0"/>
      <w:divBdr>
        <w:top w:val="none" w:sz="0" w:space="0" w:color="auto"/>
        <w:left w:val="none" w:sz="0" w:space="0" w:color="auto"/>
        <w:bottom w:val="none" w:sz="0" w:space="0" w:color="auto"/>
        <w:right w:val="none" w:sz="0" w:space="0" w:color="auto"/>
      </w:divBdr>
    </w:div>
    <w:div w:id="1899510039">
      <w:bodyDiv w:val="1"/>
      <w:marLeft w:val="0"/>
      <w:marRight w:val="0"/>
      <w:marTop w:val="0"/>
      <w:marBottom w:val="0"/>
      <w:divBdr>
        <w:top w:val="none" w:sz="0" w:space="0" w:color="auto"/>
        <w:left w:val="none" w:sz="0" w:space="0" w:color="auto"/>
        <w:bottom w:val="none" w:sz="0" w:space="0" w:color="auto"/>
        <w:right w:val="none" w:sz="0" w:space="0" w:color="auto"/>
      </w:divBdr>
    </w:div>
    <w:div w:id="1906259592">
      <w:bodyDiv w:val="1"/>
      <w:marLeft w:val="0"/>
      <w:marRight w:val="0"/>
      <w:marTop w:val="0"/>
      <w:marBottom w:val="0"/>
      <w:divBdr>
        <w:top w:val="none" w:sz="0" w:space="0" w:color="auto"/>
        <w:left w:val="none" w:sz="0" w:space="0" w:color="auto"/>
        <w:bottom w:val="none" w:sz="0" w:space="0" w:color="auto"/>
        <w:right w:val="none" w:sz="0" w:space="0" w:color="auto"/>
      </w:divBdr>
    </w:div>
    <w:div w:id="1908372401">
      <w:bodyDiv w:val="1"/>
      <w:marLeft w:val="0"/>
      <w:marRight w:val="0"/>
      <w:marTop w:val="0"/>
      <w:marBottom w:val="0"/>
      <w:divBdr>
        <w:top w:val="none" w:sz="0" w:space="0" w:color="auto"/>
        <w:left w:val="none" w:sz="0" w:space="0" w:color="auto"/>
        <w:bottom w:val="none" w:sz="0" w:space="0" w:color="auto"/>
        <w:right w:val="none" w:sz="0" w:space="0" w:color="auto"/>
      </w:divBdr>
    </w:div>
    <w:div w:id="1916742518">
      <w:bodyDiv w:val="1"/>
      <w:marLeft w:val="0"/>
      <w:marRight w:val="0"/>
      <w:marTop w:val="0"/>
      <w:marBottom w:val="0"/>
      <w:divBdr>
        <w:top w:val="none" w:sz="0" w:space="0" w:color="auto"/>
        <w:left w:val="none" w:sz="0" w:space="0" w:color="auto"/>
        <w:bottom w:val="none" w:sz="0" w:space="0" w:color="auto"/>
        <w:right w:val="none" w:sz="0" w:space="0" w:color="auto"/>
      </w:divBdr>
    </w:div>
    <w:div w:id="1922449087">
      <w:bodyDiv w:val="1"/>
      <w:marLeft w:val="0"/>
      <w:marRight w:val="0"/>
      <w:marTop w:val="0"/>
      <w:marBottom w:val="0"/>
      <w:divBdr>
        <w:top w:val="none" w:sz="0" w:space="0" w:color="auto"/>
        <w:left w:val="none" w:sz="0" w:space="0" w:color="auto"/>
        <w:bottom w:val="none" w:sz="0" w:space="0" w:color="auto"/>
        <w:right w:val="none" w:sz="0" w:space="0" w:color="auto"/>
      </w:divBdr>
    </w:div>
    <w:div w:id="1924487439">
      <w:bodyDiv w:val="1"/>
      <w:marLeft w:val="0"/>
      <w:marRight w:val="0"/>
      <w:marTop w:val="0"/>
      <w:marBottom w:val="0"/>
      <w:divBdr>
        <w:top w:val="none" w:sz="0" w:space="0" w:color="auto"/>
        <w:left w:val="none" w:sz="0" w:space="0" w:color="auto"/>
        <w:bottom w:val="none" w:sz="0" w:space="0" w:color="auto"/>
        <w:right w:val="none" w:sz="0" w:space="0" w:color="auto"/>
      </w:divBdr>
    </w:div>
    <w:div w:id="1925727160">
      <w:bodyDiv w:val="1"/>
      <w:marLeft w:val="0"/>
      <w:marRight w:val="0"/>
      <w:marTop w:val="0"/>
      <w:marBottom w:val="0"/>
      <w:divBdr>
        <w:top w:val="none" w:sz="0" w:space="0" w:color="auto"/>
        <w:left w:val="none" w:sz="0" w:space="0" w:color="auto"/>
        <w:bottom w:val="none" w:sz="0" w:space="0" w:color="auto"/>
        <w:right w:val="none" w:sz="0" w:space="0" w:color="auto"/>
      </w:divBdr>
    </w:div>
    <w:div w:id="1926527619">
      <w:bodyDiv w:val="1"/>
      <w:marLeft w:val="0"/>
      <w:marRight w:val="0"/>
      <w:marTop w:val="0"/>
      <w:marBottom w:val="0"/>
      <w:divBdr>
        <w:top w:val="none" w:sz="0" w:space="0" w:color="auto"/>
        <w:left w:val="none" w:sz="0" w:space="0" w:color="auto"/>
        <w:bottom w:val="none" w:sz="0" w:space="0" w:color="auto"/>
        <w:right w:val="none" w:sz="0" w:space="0" w:color="auto"/>
      </w:divBdr>
    </w:div>
    <w:div w:id="1966428392">
      <w:bodyDiv w:val="1"/>
      <w:marLeft w:val="0"/>
      <w:marRight w:val="0"/>
      <w:marTop w:val="0"/>
      <w:marBottom w:val="0"/>
      <w:divBdr>
        <w:top w:val="none" w:sz="0" w:space="0" w:color="auto"/>
        <w:left w:val="none" w:sz="0" w:space="0" w:color="auto"/>
        <w:bottom w:val="none" w:sz="0" w:space="0" w:color="auto"/>
        <w:right w:val="none" w:sz="0" w:space="0" w:color="auto"/>
      </w:divBdr>
    </w:div>
    <w:div w:id="1967353755">
      <w:bodyDiv w:val="1"/>
      <w:marLeft w:val="0"/>
      <w:marRight w:val="0"/>
      <w:marTop w:val="0"/>
      <w:marBottom w:val="0"/>
      <w:divBdr>
        <w:top w:val="none" w:sz="0" w:space="0" w:color="auto"/>
        <w:left w:val="none" w:sz="0" w:space="0" w:color="auto"/>
        <w:bottom w:val="none" w:sz="0" w:space="0" w:color="auto"/>
        <w:right w:val="none" w:sz="0" w:space="0" w:color="auto"/>
      </w:divBdr>
    </w:div>
    <w:div w:id="1967661999">
      <w:bodyDiv w:val="1"/>
      <w:marLeft w:val="0"/>
      <w:marRight w:val="0"/>
      <w:marTop w:val="0"/>
      <w:marBottom w:val="0"/>
      <w:divBdr>
        <w:top w:val="none" w:sz="0" w:space="0" w:color="auto"/>
        <w:left w:val="none" w:sz="0" w:space="0" w:color="auto"/>
        <w:bottom w:val="none" w:sz="0" w:space="0" w:color="auto"/>
        <w:right w:val="none" w:sz="0" w:space="0" w:color="auto"/>
      </w:divBdr>
    </w:div>
    <w:div w:id="1971133006">
      <w:bodyDiv w:val="1"/>
      <w:marLeft w:val="0"/>
      <w:marRight w:val="0"/>
      <w:marTop w:val="0"/>
      <w:marBottom w:val="0"/>
      <w:divBdr>
        <w:top w:val="none" w:sz="0" w:space="0" w:color="auto"/>
        <w:left w:val="none" w:sz="0" w:space="0" w:color="auto"/>
        <w:bottom w:val="none" w:sz="0" w:space="0" w:color="auto"/>
        <w:right w:val="none" w:sz="0" w:space="0" w:color="auto"/>
      </w:divBdr>
    </w:div>
    <w:div w:id="1971519711">
      <w:bodyDiv w:val="1"/>
      <w:marLeft w:val="0"/>
      <w:marRight w:val="0"/>
      <w:marTop w:val="0"/>
      <w:marBottom w:val="0"/>
      <w:divBdr>
        <w:top w:val="none" w:sz="0" w:space="0" w:color="auto"/>
        <w:left w:val="none" w:sz="0" w:space="0" w:color="auto"/>
        <w:bottom w:val="none" w:sz="0" w:space="0" w:color="auto"/>
        <w:right w:val="none" w:sz="0" w:space="0" w:color="auto"/>
      </w:divBdr>
    </w:div>
    <w:div w:id="1972007768">
      <w:bodyDiv w:val="1"/>
      <w:marLeft w:val="0"/>
      <w:marRight w:val="0"/>
      <w:marTop w:val="0"/>
      <w:marBottom w:val="0"/>
      <w:divBdr>
        <w:top w:val="none" w:sz="0" w:space="0" w:color="auto"/>
        <w:left w:val="none" w:sz="0" w:space="0" w:color="auto"/>
        <w:bottom w:val="none" w:sz="0" w:space="0" w:color="auto"/>
        <w:right w:val="none" w:sz="0" w:space="0" w:color="auto"/>
      </w:divBdr>
    </w:div>
    <w:div w:id="1995065259">
      <w:bodyDiv w:val="1"/>
      <w:marLeft w:val="0"/>
      <w:marRight w:val="0"/>
      <w:marTop w:val="0"/>
      <w:marBottom w:val="0"/>
      <w:divBdr>
        <w:top w:val="none" w:sz="0" w:space="0" w:color="auto"/>
        <w:left w:val="none" w:sz="0" w:space="0" w:color="auto"/>
        <w:bottom w:val="none" w:sz="0" w:space="0" w:color="auto"/>
        <w:right w:val="none" w:sz="0" w:space="0" w:color="auto"/>
      </w:divBdr>
    </w:div>
    <w:div w:id="2007978124">
      <w:bodyDiv w:val="1"/>
      <w:marLeft w:val="0"/>
      <w:marRight w:val="0"/>
      <w:marTop w:val="0"/>
      <w:marBottom w:val="0"/>
      <w:divBdr>
        <w:top w:val="none" w:sz="0" w:space="0" w:color="auto"/>
        <w:left w:val="none" w:sz="0" w:space="0" w:color="auto"/>
        <w:bottom w:val="none" w:sz="0" w:space="0" w:color="auto"/>
        <w:right w:val="none" w:sz="0" w:space="0" w:color="auto"/>
      </w:divBdr>
    </w:div>
    <w:div w:id="2009866461">
      <w:bodyDiv w:val="1"/>
      <w:marLeft w:val="0"/>
      <w:marRight w:val="0"/>
      <w:marTop w:val="0"/>
      <w:marBottom w:val="0"/>
      <w:divBdr>
        <w:top w:val="none" w:sz="0" w:space="0" w:color="auto"/>
        <w:left w:val="none" w:sz="0" w:space="0" w:color="auto"/>
        <w:bottom w:val="none" w:sz="0" w:space="0" w:color="auto"/>
        <w:right w:val="none" w:sz="0" w:space="0" w:color="auto"/>
      </w:divBdr>
    </w:div>
    <w:div w:id="2017807392">
      <w:bodyDiv w:val="1"/>
      <w:marLeft w:val="0"/>
      <w:marRight w:val="0"/>
      <w:marTop w:val="0"/>
      <w:marBottom w:val="0"/>
      <w:divBdr>
        <w:top w:val="none" w:sz="0" w:space="0" w:color="auto"/>
        <w:left w:val="none" w:sz="0" w:space="0" w:color="auto"/>
        <w:bottom w:val="none" w:sz="0" w:space="0" w:color="auto"/>
        <w:right w:val="none" w:sz="0" w:space="0" w:color="auto"/>
      </w:divBdr>
    </w:div>
    <w:div w:id="2032369611">
      <w:bodyDiv w:val="1"/>
      <w:marLeft w:val="0"/>
      <w:marRight w:val="0"/>
      <w:marTop w:val="0"/>
      <w:marBottom w:val="0"/>
      <w:divBdr>
        <w:top w:val="none" w:sz="0" w:space="0" w:color="auto"/>
        <w:left w:val="none" w:sz="0" w:space="0" w:color="auto"/>
        <w:bottom w:val="none" w:sz="0" w:space="0" w:color="auto"/>
        <w:right w:val="none" w:sz="0" w:space="0" w:color="auto"/>
      </w:divBdr>
    </w:div>
    <w:div w:id="2033611013">
      <w:bodyDiv w:val="1"/>
      <w:marLeft w:val="0"/>
      <w:marRight w:val="0"/>
      <w:marTop w:val="0"/>
      <w:marBottom w:val="0"/>
      <w:divBdr>
        <w:top w:val="none" w:sz="0" w:space="0" w:color="auto"/>
        <w:left w:val="none" w:sz="0" w:space="0" w:color="auto"/>
        <w:bottom w:val="none" w:sz="0" w:space="0" w:color="auto"/>
        <w:right w:val="none" w:sz="0" w:space="0" w:color="auto"/>
      </w:divBdr>
    </w:div>
    <w:div w:id="2040036510">
      <w:bodyDiv w:val="1"/>
      <w:marLeft w:val="0"/>
      <w:marRight w:val="0"/>
      <w:marTop w:val="0"/>
      <w:marBottom w:val="0"/>
      <w:divBdr>
        <w:top w:val="none" w:sz="0" w:space="0" w:color="auto"/>
        <w:left w:val="none" w:sz="0" w:space="0" w:color="auto"/>
        <w:bottom w:val="none" w:sz="0" w:space="0" w:color="auto"/>
        <w:right w:val="none" w:sz="0" w:space="0" w:color="auto"/>
      </w:divBdr>
    </w:div>
    <w:div w:id="2042167629">
      <w:bodyDiv w:val="1"/>
      <w:marLeft w:val="0"/>
      <w:marRight w:val="0"/>
      <w:marTop w:val="0"/>
      <w:marBottom w:val="0"/>
      <w:divBdr>
        <w:top w:val="none" w:sz="0" w:space="0" w:color="auto"/>
        <w:left w:val="none" w:sz="0" w:space="0" w:color="auto"/>
        <w:bottom w:val="none" w:sz="0" w:space="0" w:color="auto"/>
        <w:right w:val="none" w:sz="0" w:space="0" w:color="auto"/>
      </w:divBdr>
    </w:div>
    <w:div w:id="2055423192">
      <w:bodyDiv w:val="1"/>
      <w:marLeft w:val="0"/>
      <w:marRight w:val="0"/>
      <w:marTop w:val="0"/>
      <w:marBottom w:val="0"/>
      <w:divBdr>
        <w:top w:val="none" w:sz="0" w:space="0" w:color="auto"/>
        <w:left w:val="none" w:sz="0" w:space="0" w:color="auto"/>
        <w:bottom w:val="none" w:sz="0" w:space="0" w:color="auto"/>
        <w:right w:val="none" w:sz="0" w:space="0" w:color="auto"/>
      </w:divBdr>
    </w:div>
    <w:div w:id="2056998193">
      <w:bodyDiv w:val="1"/>
      <w:marLeft w:val="0"/>
      <w:marRight w:val="0"/>
      <w:marTop w:val="0"/>
      <w:marBottom w:val="0"/>
      <w:divBdr>
        <w:top w:val="none" w:sz="0" w:space="0" w:color="auto"/>
        <w:left w:val="none" w:sz="0" w:space="0" w:color="auto"/>
        <w:bottom w:val="none" w:sz="0" w:space="0" w:color="auto"/>
        <w:right w:val="none" w:sz="0" w:space="0" w:color="auto"/>
      </w:divBdr>
    </w:div>
    <w:div w:id="2075807976">
      <w:bodyDiv w:val="1"/>
      <w:marLeft w:val="0"/>
      <w:marRight w:val="0"/>
      <w:marTop w:val="0"/>
      <w:marBottom w:val="0"/>
      <w:divBdr>
        <w:top w:val="none" w:sz="0" w:space="0" w:color="auto"/>
        <w:left w:val="none" w:sz="0" w:space="0" w:color="auto"/>
        <w:bottom w:val="none" w:sz="0" w:space="0" w:color="auto"/>
        <w:right w:val="none" w:sz="0" w:space="0" w:color="auto"/>
      </w:divBdr>
    </w:div>
    <w:div w:id="2085491172">
      <w:bodyDiv w:val="1"/>
      <w:marLeft w:val="0"/>
      <w:marRight w:val="0"/>
      <w:marTop w:val="0"/>
      <w:marBottom w:val="0"/>
      <w:divBdr>
        <w:top w:val="none" w:sz="0" w:space="0" w:color="auto"/>
        <w:left w:val="none" w:sz="0" w:space="0" w:color="auto"/>
        <w:bottom w:val="none" w:sz="0" w:space="0" w:color="auto"/>
        <w:right w:val="none" w:sz="0" w:space="0" w:color="auto"/>
      </w:divBdr>
    </w:div>
    <w:div w:id="2094668756">
      <w:bodyDiv w:val="1"/>
      <w:marLeft w:val="0"/>
      <w:marRight w:val="0"/>
      <w:marTop w:val="0"/>
      <w:marBottom w:val="0"/>
      <w:divBdr>
        <w:top w:val="none" w:sz="0" w:space="0" w:color="auto"/>
        <w:left w:val="none" w:sz="0" w:space="0" w:color="auto"/>
        <w:bottom w:val="none" w:sz="0" w:space="0" w:color="auto"/>
        <w:right w:val="none" w:sz="0" w:space="0" w:color="auto"/>
      </w:divBdr>
    </w:div>
    <w:div w:id="2103724578">
      <w:bodyDiv w:val="1"/>
      <w:marLeft w:val="0"/>
      <w:marRight w:val="0"/>
      <w:marTop w:val="0"/>
      <w:marBottom w:val="0"/>
      <w:divBdr>
        <w:top w:val="none" w:sz="0" w:space="0" w:color="auto"/>
        <w:left w:val="none" w:sz="0" w:space="0" w:color="auto"/>
        <w:bottom w:val="none" w:sz="0" w:space="0" w:color="auto"/>
        <w:right w:val="none" w:sz="0" w:space="0" w:color="auto"/>
      </w:divBdr>
    </w:div>
    <w:div w:id="2107456956">
      <w:bodyDiv w:val="1"/>
      <w:marLeft w:val="0"/>
      <w:marRight w:val="0"/>
      <w:marTop w:val="0"/>
      <w:marBottom w:val="0"/>
      <w:divBdr>
        <w:top w:val="none" w:sz="0" w:space="0" w:color="auto"/>
        <w:left w:val="none" w:sz="0" w:space="0" w:color="auto"/>
        <w:bottom w:val="none" w:sz="0" w:space="0" w:color="auto"/>
        <w:right w:val="none" w:sz="0" w:space="0" w:color="auto"/>
      </w:divBdr>
    </w:div>
    <w:div w:id="2127045420">
      <w:bodyDiv w:val="1"/>
      <w:marLeft w:val="0"/>
      <w:marRight w:val="0"/>
      <w:marTop w:val="0"/>
      <w:marBottom w:val="0"/>
      <w:divBdr>
        <w:top w:val="none" w:sz="0" w:space="0" w:color="auto"/>
        <w:left w:val="none" w:sz="0" w:space="0" w:color="auto"/>
        <w:bottom w:val="none" w:sz="0" w:space="0" w:color="auto"/>
        <w:right w:val="none" w:sz="0" w:space="0" w:color="auto"/>
      </w:divBdr>
    </w:div>
    <w:div w:id="2139835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omero7@rvc.ac.uk" TargetMode="Externa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image" Target="media/image4.png"/><Relationship Id="rId28" Type="http://schemas.microsoft.com/office/2018/08/relationships/commentsExtensible" Target="commentsExtensible.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DD14B-2EA8-492D-9DA0-E955506C4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64725</Words>
  <Characters>368939</Characters>
  <Application>Microsoft Office Word</Application>
  <DocSecurity>0</DocSecurity>
  <Lines>3074</Lines>
  <Paragraphs>865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Romero, Maria Pilar</dc:creator>
  <cp:keywords/>
  <dc:description/>
  <cp:lastModifiedBy>PILAR .</cp:lastModifiedBy>
  <cp:revision>21</cp:revision>
  <cp:lastPrinted>2021-12-15T16:51:00Z</cp:lastPrinted>
  <dcterms:created xsi:type="dcterms:W3CDTF">2021-11-30T18:48:00Z</dcterms:created>
  <dcterms:modified xsi:type="dcterms:W3CDTF">2021-12-15T23:13:00Z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http://www.zotero.org/styles/preventive-veterinary-medicine</vt:lpwstr>
  </property>
  <property fmtid="{D5CDD505-2E9C-101B-9397-08002B2CF9AE}" pid="21" name="Mendeley Recent Style Name 9_1">
    <vt:lpwstr>Preventive Veterinary Medicine</vt:lpwstr>
  </property>
  <property fmtid="{D5CDD505-2E9C-101B-9397-08002B2CF9AE}" pid="22" name="Mendeley Document_1">
    <vt:lpwstr>True</vt:lpwstr>
  </property>
  <property fmtid="{D5CDD505-2E9C-101B-9397-08002B2CF9AE}" pid="23" name="Mendeley Unique User Id_1">
    <vt:lpwstr>c944254e-838a-3047-a8b9-09689a10f63a</vt:lpwstr>
  </property>
  <property fmtid="{D5CDD505-2E9C-101B-9397-08002B2CF9AE}" pid="24" name="Mendeley Citation Style_1">
    <vt:lpwstr>http://www.zotero.org/styles/preventive-veterinary-medicine</vt:lpwstr>
  </property>
</Properties>
</file>